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67" w:rsidRDefault="00927567" w:rsidP="0092756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3190875" cy="666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16"/>
          <w:szCs w:val="16"/>
        </w:rPr>
        <w:t xml:space="preserve">    </w:t>
      </w: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>
        <w:rPr>
          <w:rFonts w:ascii="Tms Rmn" w:hAnsi="Tms Rmn" w:cs="Tms Rmn"/>
          <w:b/>
          <w:bCs/>
          <w:i/>
          <w:iCs/>
          <w:color w:val="000000"/>
          <w:sz w:val="20"/>
          <w:szCs w:val="20"/>
        </w:rPr>
        <w:t>Kaiser Permanente Medical Center, San Francisco</w:t>
      </w:r>
      <w:r>
        <w:rPr>
          <w:rFonts w:ascii="Tms Rmn" w:hAnsi="Tms Rmn" w:cs="Tms Rmn"/>
          <w:b/>
          <w:bCs/>
          <w:i/>
          <w:iCs/>
          <w:color w:val="000000"/>
          <w:sz w:val="20"/>
          <w:szCs w:val="20"/>
        </w:rPr>
        <w:br/>
        <w:t>Northern California Region</w:t>
      </w:r>
      <w:r>
        <w:rPr>
          <w:rFonts w:ascii="Helv" w:hAnsi="Helv" w:cs="Helv"/>
          <w:color w:val="000000"/>
          <w:sz w:val="16"/>
          <w:szCs w:val="16"/>
        </w:rPr>
        <w:t xml:space="preserve">  </w:t>
      </w: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>
        <w:rPr>
          <w:rFonts w:ascii="Helv" w:hAnsi="Helv" w:cs="Helv"/>
          <w:color w:val="000000"/>
          <w:sz w:val="16"/>
          <w:szCs w:val="16"/>
        </w:rPr>
        <w:t>****************************************** ******************************************</w:t>
      </w: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THIS DOCUMENT CONTAINS CONFIDENTIAL INFORMATION. Its use is restricted to employees with a need to know and third parties with a need to know and who have signed a non-disclosure agreement.</w:t>
      </w: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56"/>
        <w:gridCol w:w="8504"/>
      </w:tblGrid>
      <w:tr w:rsidR="00927567" w:rsidRPr="00927567">
        <w:tc>
          <w:tcPr>
            <w:tcW w:w="457" w:type="pct"/>
            <w:shd w:val="clear" w:color="auto" w:fill="E1E1E1"/>
          </w:tcPr>
          <w:p w:rsidR="00927567" w:rsidRDefault="00927567">
            <w:pPr>
              <w:keepLines/>
              <w:autoSpaceDE w:val="0"/>
              <w:autoSpaceDN w:val="0"/>
              <w:adjustRightInd w:val="0"/>
              <w:spacing w:after="0" w:line="240" w:lineRule="auto"/>
              <w:ind w:left="74" w:right="74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4"/>
                <w:szCs w:val="4"/>
              </w:rPr>
              <w:drawing>
                <wp:inline distT="0" distB="0" distL="0" distR="0">
                  <wp:extent cx="304800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4"/>
                <w:szCs w:val="4"/>
              </w:rPr>
              <w:t xml:space="preserve"> </w:t>
            </w:r>
          </w:p>
        </w:tc>
        <w:tc>
          <w:tcPr>
            <w:tcW w:w="4542" w:type="pct"/>
            <w:shd w:val="clear" w:color="auto" w:fill="E1E1E1"/>
          </w:tcPr>
          <w:p w:rsidR="00927567" w:rsidRP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80000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27567">
              <w:rPr>
                <w:rFonts w:ascii="Helv" w:hAnsi="Helv" w:cs="Helv"/>
                <w:b/>
                <w:bCs/>
                <w:color w:val="80000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Standard Operating Procedure </w:t>
            </w:r>
          </w:p>
        </w:tc>
      </w:tr>
    </w:tbl>
    <w:p w:rsidR="00927567" w:rsidRP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8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588"/>
        <w:gridCol w:w="5544"/>
        <w:gridCol w:w="3182"/>
      </w:tblGrid>
      <w:tr w:rsidR="00927567">
        <w:tc>
          <w:tcPr>
            <w:tcW w:w="31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1" w:right="20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Title:</w:t>
            </w:r>
          </w:p>
        </w:tc>
        <w:tc>
          <w:tcPr>
            <w:tcW w:w="2975" w:type="pct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800000"/>
                <w:sz w:val="20"/>
                <w:szCs w:val="20"/>
              </w:rPr>
              <w:t>IC: Laboratory Spills</w:t>
            </w:r>
          </w:p>
        </w:tc>
        <w:tc>
          <w:tcPr>
            <w:tcW w:w="170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8" w:right="33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Procedure Number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SFOSOP-0078</w:t>
            </w:r>
          </w:p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8" w:right="33"/>
              <w:rPr>
                <w:rFonts w:ascii="Helv" w:hAnsi="Helv" w:cs="Helv"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Revision: </w:t>
            </w:r>
            <w:r>
              <w:rPr>
                <w:rFonts w:ascii="Helv" w:hAnsi="Helv" w:cs="Helv"/>
                <w:color w:val="000080"/>
                <w:sz w:val="16"/>
                <w:szCs w:val="16"/>
              </w:rPr>
              <w:t>8</w:t>
            </w:r>
          </w:p>
        </w:tc>
      </w:tr>
    </w:tbl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80"/>
          <w:sz w:val="16"/>
          <w:szCs w:val="16"/>
        </w:rPr>
      </w:pP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2995"/>
        <w:gridCol w:w="3160"/>
        <w:gridCol w:w="3159"/>
      </w:tblGrid>
      <w:tr w:rsidR="00927567">
        <w:tc>
          <w:tcPr>
            <w:tcW w:w="160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02" w:right="27" w:hanging="3844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Department: </w:t>
            </w:r>
          </w:p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ind w:left="158" w:right="27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Infection Control</w:t>
            </w:r>
          </w:p>
          <w:p w:rsidR="00927567" w:rsidRDefault="00927567">
            <w:pPr>
              <w:keepLines/>
              <w:autoSpaceDE w:val="0"/>
              <w:autoSpaceDN w:val="0"/>
              <w:adjustRightInd w:val="0"/>
              <w:spacing w:after="0" w:line="240" w:lineRule="auto"/>
              <w:ind w:left="4002" w:right="27" w:hanging="3844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Area: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 </w:t>
            </w:r>
          </w:p>
          <w:p w:rsidR="00927567" w:rsidRDefault="00927567">
            <w:pPr>
              <w:keepLines/>
              <w:autoSpaceDE w:val="0"/>
              <w:autoSpaceDN w:val="0"/>
              <w:adjustRightInd w:val="0"/>
              <w:spacing w:after="0" w:line="240" w:lineRule="auto"/>
              <w:ind w:left="158" w:right="27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2200 Geary Blvd SFO Clinical Lab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br/>
              <w:t>2238 Geary Blvd SFO Clinical Lab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br/>
              <w:t>2425 Geary Blvd SFO Hospital Lab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br/>
              <w:t>4131 Geary Blvd French Campus Lab</w:t>
            </w:r>
          </w:p>
        </w:tc>
        <w:tc>
          <w:tcPr>
            <w:tcW w:w="16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7" w:right="32"/>
              <w:jc w:val="center"/>
              <w:rPr>
                <w:rFonts w:ascii="Tms Rmn" w:hAnsi="Tms Rmn" w:cs="Tms Rm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i/>
                <w:iCs/>
                <w:color w:val="FF0000"/>
                <w:sz w:val="24"/>
                <w:szCs w:val="24"/>
              </w:rPr>
              <w:t>Approved &amp; Released Standard Operating Procedure</w:t>
            </w:r>
          </w:p>
        </w:tc>
        <w:tc>
          <w:tcPr>
            <w:tcW w:w="169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67" w:right="32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Implementation Date:</w:t>
            </w:r>
          </w:p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67" w:right="32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11/22/2017</w:t>
            </w:r>
          </w:p>
        </w:tc>
      </w:tr>
    </w:tbl>
    <w:p w:rsidR="00927567" w:rsidRDefault="00927567" w:rsidP="0092756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1710" w:hanging="1710"/>
        <w:rPr>
          <w:rFonts w:ascii="Helv" w:hAnsi="Helv" w:cs="Helv"/>
          <w:color w:val="000000"/>
          <w:sz w:val="16"/>
          <w:szCs w:val="16"/>
        </w:rPr>
      </w:pP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5659"/>
        <w:gridCol w:w="3655"/>
      </w:tblGrid>
      <w:tr w:rsidR="00927567">
        <w:tc>
          <w:tcPr>
            <w:tcW w:w="303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Type of Document: </w:t>
            </w:r>
          </w:p>
          <w:p w:rsidR="00927567" w:rsidRDefault="00927567">
            <w:pPr>
              <w:keepLines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>General Lab</w:t>
            </w:r>
          </w:p>
        </w:tc>
        <w:tc>
          <w:tcPr>
            <w:tcW w:w="1962" w:type="pct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7" w:right="47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 xml:space="preserve">Review Period - 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340 </w:t>
            </w: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Days</w:t>
            </w:r>
          </w:p>
        </w:tc>
      </w:tr>
    </w:tbl>
    <w:p w:rsidR="00927567" w:rsidRDefault="00927567" w:rsidP="0092756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</w:t>
      </w:r>
    </w:p>
    <w:p w:rsidR="00927567" w:rsidRDefault="00927567" w:rsidP="00927567">
      <w:pPr>
        <w:autoSpaceDE w:val="0"/>
        <w:autoSpaceDN w:val="0"/>
        <w:adjustRightInd w:val="0"/>
        <w:spacing w:before="120"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provide guidelines for proper disinfection of surface and non-critical equipment and cleaning of biological spills in the laboratory  </w:t>
      </w: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POLICY</w:t>
      </w:r>
    </w:p>
    <w:p w:rsidR="00927567" w:rsidRDefault="00927567" w:rsidP="00927567">
      <w:pPr>
        <w:tabs>
          <w:tab w:val="left" w:pos="72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72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Use hospital-approved disinfectant when cleaning surfaces and biological spills.</w:t>
      </w: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</w:t>
      </w:r>
    </w:p>
    <w:p w:rsidR="00927567" w:rsidRDefault="00927567" w:rsidP="00927567">
      <w:pPr>
        <w:tabs>
          <w:tab w:val="left" w:pos="72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Routine Cleanup of Work Area</w:t>
      </w: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Work areas must be cleaned and disinfected with hospital-approved disinfectant at the beginning and end of each shift and after spills occur.</w:t>
      </w: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Practice Standard/Universal Precautions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 all times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567" w:rsidRDefault="00927567" w:rsidP="00927567">
      <w:pPr>
        <w:tabs>
          <w:tab w:val="left" w:pos="54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Use the hospital-approved disinfectants Sani-Cloth by PDI (Professional Disposables International, Inc.).</w:t>
      </w:r>
    </w:p>
    <w:p w:rsidR="00927567" w:rsidRDefault="00927567" w:rsidP="00927567">
      <w:pPr>
        <w:tabs>
          <w:tab w:val="left" w:pos="2160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Working solution</w:t>
      </w:r>
    </w:p>
    <w:p w:rsidR="00927567" w:rsidRDefault="00927567" w:rsidP="00927567">
      <w:pPr>
        <w:tabs>
          <w:tab w:val="left" w:pos="1440"/>
          <w:tab w:val="left" w:pos="2880"/>
          <w:tab w:val="left" w:pos="4896"/>
        </w:tabs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Super Sani-Cloth is a germicidal disposal wipe for use on pre-cleaned environmental surfaces/objects previously soiled with blood/bloody fluids.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Wipe pre-cleaned surfaces with Sani-Cloth for 2 minutes at room temperature.  It has the following activities: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bactericidal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Staphylococcus aureus, Methicillin resistant Staphylococcus aureus (MRSA), Vancomycin resistant Enterococcus faecalis (VRE), Pseudomonas aeruginosa, Salmonella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enterica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Burkholderia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cepacia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 Escherichia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coli,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Escherichi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coli 0157:H7, ESBL producing Escherichia coli,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Klebsiella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pneumoniae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tuberculocidal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Mycobacterium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bovis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BCG (tuberculosis)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fungocidal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Candida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albicans</w:t>
      </w:r>
      <w:proofErr w:type="spellEnd"/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virucidal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HIV-1, Hepatitis B (HBV), Hepatitis C (BCV), Vaccinia virus, rotavirus strain WA, Rhinovirus, Respiratory Syncytial Virus (RSV), Herpes Simplex Type 2, Adenovirus, Human coronavirus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Storage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Store in cool dry place. Do not store near heat or open flame.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Disposal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Triple rinse with water. </w:t>
      </w:r>
    </w:p>
    <w:p w:rsidR="00927567" w:rsidRDefault="00927567" w:rsidP="00927567">
      <w:pPr>
        <w:tabs>
          <w:tab w:val="left" w:pos="1440"/>
          <w:tab w:val="left" w:pos="3600"/>
        </w:tabs>
        <w:autoSpaceDE w:val="0"/>
        <w:autoSpaceDN w:val="0"/>
        <w:adjustRightInd w:val="0"/>
        <w:spacing w:after="0" w:line="240" w:lineRule="auto"/>
        <w:ind w:left="43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Recycle container or toss in regular trash container.</w:t>
      </w:r>
    </w:p>
    <w:p w:rsidR="00927567" w:rsidRDefault="00927567" w:rsidP="00927567">
      <w:pPr>
        <w:tabs>
          <w:tab w:val="left" w:pos="2160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Personal Protection</w:t>
      </w:r>
    </w:p>
    <w:p w:rsidR="00927567" w:rsidRDefault="00927567" w:rsidP="00927567">
      <w:pPr>
        <w:tabs>
          <w:tab w:val="left" w:pos="2160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Wear appropriate barrier protection such as gloves, mask, goggle, face shield or eye protection, and gowns when cleaning and disinfecting equipment soiled with blood or other potentially infectious materials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567" w:rsidRDefault="00927567" w:rsidP="00927567">
      <w:pPr>
        <w:tabs>
          <w:tab w:val="left" w:pos="2160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Wear closed-toe shoes that are impermeable to fluids.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Dispose of contaminated or bloody gloves, mask or eye protection, or paper towels in red biohazardous containers.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Place dirty lab gowns in specific bins for collection by Environmental Services.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Precleaning surfaces or non-critical equipment surface prior to disinfection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Blood and other body fluids must be thoroughly cleaned from surfaces and objects before disinfection with Sani-Cloth.  This is to remove excess organic debris that may prevent effective disinfection.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Rinse.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Rough dry.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Apply Sani-Cloth directly to surface.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Allow to remain wet for 5 minutes.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Wipe surfaces using a paper towel.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Discard towel.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Disinfecting work surfaces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Use Sani-Cloth to wipe precleaned surface, thoroughly wetting area to be disinfected.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Allow surface to remain wet for 5 minutes at room temperature.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Wipe dry with paper towel prior to use.</w:t>
      </w:r>
    </w:p>
    <w:p w:rsidR="00927567" w:rsidRDefault="00927567" w:rsidP="00927567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Discard towel.</w:t>
      </w:r>
    </w:p>
    <w:p w:rsidR="00927567" w:rsidRDefault="00927567" w:rsidP="00927567">
      <w:pPr>
        <w:tabs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5250"/>
        </w:tabs>
        <w:autoSpaceDE w:val="0"/>
        <w:autoSpaceDN w:val="0"/>
        <w:adjustRightInd w:val="0"/>
        <w:spacing w:after="0" w:line="240" w:lineRule="auto"/>
        <w:ind w:left="5250" w:hanging="5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Disinfecting non-critical equipment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surface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small metals</w:t>
      </w:r>
    </w:p>
    <w:p w:rsidR="00927567" w:rsidRDefault="00927567" w:rsidP="00927567">
      <w:pPr>
        <w:tabs>
          <w:tab w:val="left" w:pos="1440"/>
          <w:tab w:val="left" w:pos="5970"/>
        </w:tabs>
        <w:autoSpaceDE w:val="0"/>
        <w:autoSpaceDN w:val="0"/>
        <w:adjustRightInd w:val="0"/>
        <w:spacing w:after="0" w:line="240" w:lineRule="auto"/>
        <w:ind w:left="5970" w:hanging="52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Practice Standard/Universal Precautions.</w:t>
      </w:r>
    </w:p>
    <w:p w:rsidR="00927567" w:rsidRDefault="00927567" w:rsidP="00927567">
      <w:pPr>
        <w:tabs>
          <w:tab w:val="left" w:pos="1440"/>
          <w:tab w:val="left" w:pos="5970"/>
        </w:tabs>
        <w:autoSpaceDE w:val="0"/>
        <w:autoSpaceDN w:val="0"/>
        <w:adjustRightInd w:val="0"/>
        <w:spacing w:after="0" w:line="240" w:lineRule="auto"/>
        <w:ind w:left="5970" w:hanging="52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Preclean surface; follow A.5 above.</w:t>
      </w:r>
    </w:p>
    <w:p w:rsidR="00927567" w:rsidRDefault="00927567" w:rsidP="00927567">
      <w:pPr>
        <w:tabs>
          <w:tab w:val="left" w:pos="1440"/>
          <w:tab w:val="left" w:pos="5970"/>
        </w:tabs>
        <w:autoSpaceDE w:val="0"/>
        <w:autoSpaceDN w:val="0"/>
        <w:adjustRightInd w:val="0"/>
        <w:spacing w:after="0" w:line="240" w:lineRule="auto"/>
        <w:ind w:left="5970" w:hanging="52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Use Sani-Cloth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wipe precleaned surface, thoroughly wetting area to be disinfected.</w:t>
      </w:r>
    </w:p>
    <w:p w:rsidR="00927567" w:rsidRDefault="00927567" w:rsidP="00927567">
      <w:pPr>
        <w:tabs>
          <w:tab w:val="left" w:pos="1440"/>
          <w:tab w:val="left" w:pos="5970"/>
        </w:tabs>
        <w:autoSpaceDE w:val="0"/>
        <w:autoSpaceDN w:val="0"/>
        <w:adjustRightInd w:val="0"/>
        <w:spacing w:after="0" w:line="240" w:lineRule="auto"/>
        <w:ind w:left="5970" w:hanging="52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Allow surface to remain wet for 3 minutes at room temperature.</w:t>
      </w:r>
    </w:p>
    <w:p w:rsidR="00927567" w:rsidRDefault="00927567" w:rsidP="00927567">
      <w:pPr>
        <w:tabs>
          <w:tab w:val="left" w:pos="1440"/>
          <w:tab w:val="left" w:pos="5970"/>
        </w:tabs>
        <w:autoSpaceDE w:val="0"/>
        <w:autoSpaceDN w:val="0"/>
        <w:adjustRightInd w:val="0"/>
        <w:spacing w:after="0" w:line="240" w:lineRule="auto"/>
        <w:ind w:left="5970" w:hanging="52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Wipe dry with paper towel prior to use.</w:t>
      </w:r>
    </w:p>
    <w:p w:rsidR="00927567" w:rsidRDefault="00927567" w:rsidP="0092756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2876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2876" w:hanging="27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Disinfecting non-critical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instruments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small metals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Practice Standard/Universal Precautions.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Preclean to remove excess organic debris, rinsed and rough dried; follow A.5 above.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Clean and rinse lumens of hollow instruments before filling with solution or before immersion.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Using a soaking tray or an ultrasonic unit, immerse instruments into 10% bleach solution for at least3 minutes.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Remove and rinse instruments.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Wipe dry with paper towel prior to use.</w:t>
      </w:r>
    </w:p>
    <w:p w:rsidR="00927567" w:rsidRDefault="00927567" w:rsidP="00927567">
      <w:pPr>
        <w:tabs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Disinfection of spills of blood/body fluids, other clinical specimens, or microbiological specimens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Practice Standard/Universal Precautions.  Protect hands with gloves.  Wear goggles and/or face masks if splashes into the face may occur.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Cover spill with disposable towels to absorb liquid and prevent the formation of aerosols.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Disinfect by liberally swabbing with Sani-Cloth.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Dispose of towels in red bags.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Dispose of sharps in rigid, leak-proof sharps container.</w:t>
      </w:r>
    </w:p>
    <w:p w:rsidR="00927567" w:rsidRDefault="00927567" w:rsidP="00927567">
      <w:pPr>
        <w:tabs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Disinfection of tube carriers when specimen containers break or leak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the spill or breakage is contained within a biohazard bag, dispose of the specimen according to procedure.  See Infection Control procedure: "Disposal of Infectious Wastes".</w:t>
      </w:r>
    </w:p>
    <w:p w:rsidR="00927567" w:rsidRDefault="00927567" w:rsidP="00927567">
      <w:pPr>
        <w:tabs>
          <w:tab w:val="left" w:pos="1440"/>
          <w:tab w:val="left" w:pos="243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other intact specimens are in the same bag with the broken specimen,</w:t>
      </w:r>
    </w:p>
    <w:p w:rsidR="00927567" w:rsidRDefault="00927567" w:rsidP="00927567">
      <w:pPr>
        <w:tabs>
          <w:tab w:val="left" w:pos="216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Prepare a chuck or gauze on which to decontaminate them.</w:t>
      </w:r>
    </w:p>
    <w:p w:rsidR="00927567" w:rsidRDefault="00927567" w:rsidP="00927567">
      <w:pPr>
        <w:tabs>
          <w:tab w:val="left" w:pos="216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Wearing gloves, remove the intact specimens with tongs or forceps.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not put your hand in the bag.</w:t>
      </w:r>
    </w:p>
    <w:p w:rsidR="00927567" w:rsidRDefault="00927567" w:rsidP="00927567">
      <w:pPr>
        <w:tabs>
          <w:tab w:val="left" w:pos="216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Place the specimens in the gauze or chuck and proceed with decontamination with Sani-Cloth as in section D.</w:t>
      </w:r>
    </w:p>
    <w:p w:rsidR="00927567" w:rsidRDefault="00927567" w:rsidP="00927567">
      <w:pPr>
        <w:tabs>
          <w:tab w:val="left" w:pos="1440"/>
          <w:tab w:val="left" w:pos="4896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If the biohazard bag is punctured or otherwise damaged or leaking:</w:t>
      </w:r>
    </w:p>
    <w:p w:rsidR="00927567" w:rsidRDefault="00927567" w:rsidP="00927567">
      <w:pPr>
        <w:tabs>
          <w:tab w:val="left" w:pos="720"/>
          <w:tab w:val="left" w:pos="1440"/>
          <w:tab w:val="left" w:pos="2160"/>
          <w:tab w:val="left" w:pos="3240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Discard the liner along with the broken specimen according to procedure.  See Infection Control procedure "Disposal of Infectious Waste".</w:t>
      </w:r>
    </w:p>
    <w:p w:rsidR="00927567" w:rsidRDefault="00927567" w:rsidP="00927567">
      <w:pPr>
        <w:tabs>
          <w:tab w:val="left" w:pos="720"/>
          <w:tab w:val="left" w:pos="216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Decontaminate the outer carrier with hospital-approved disinfectant.</w:t>
      </w:r>
    </w:p>
    <w:p w:rsidR="00927567" w:rsidRDefault="00927567" w:rsidP="00927567">
      <w:pPr>
        <w:tabs>
          <w:tab w:val="left" w:pos="720"/>
          <w:tab w:val="left" w:pos="2160"/>
          <w:tab w:val="left" w:pos="4896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While the HIV-1 virus is inactivated in 2 minutes, use the recommended contact time for disinfection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  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minutes.</w:t>
      </w:r>
    </w:p>
    <w:p w:rsidR="00927567" w:rsidRDefault="00927567" w:rsidP="00927567">
      <w:pPr>
        <w:tabs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left="720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For tuberculocidal activity, allow 5 minute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after wiping with Sani-Cloth at room temperature.  Wipe surface using a paper or cloth towel, allow to air dry, then discard towel.</w:t>
      </w:r>
    </w:p>
    <w:p w:rsidR="00927567" w:rsidRDefault="00927567" w:rsidP="00927567">
      <w:pPr>
        <w:tabs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Use Sani-Cloth to wipe surfaces.</w:t>
      </w: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For larger spills, refer to SDS for any chemicals involved. If over 1 liter, or if spill involves chemicals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high risk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review Rainbow Chart, then contact Facility Safety Officer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clean 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(do not contact EVS for larger chemical spills).</w:t>
      </w:r>
    </w:p>
    <w:p w:rsidR="00927567" w:rsidRDefault="00927567" w:rsidP="00927567">
      <w:pPr>
        <w:tabs>
          <w:tab w:val="left" w:pos="720"/>
          <w:tab w:val="left" w:pos="4896"/>
        </w:tabs>
        <w:autoSpaceDE w:val="0"/>
        <w:autoSpaceDN w:val="0"/>
        <w:adjustRightInd w:val="0"/>
        <w:spacing w:after="0" w:line="240" w:lineRule="auto"/>
        <w:ind w:firstLine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Attached below is instructions for alternative way to clean up spill. Use this kit to clean up spill up to 1 liter.</w:t>
      </w:r>
    </w:p>
    <w:bookmarkStart w:id="0" w:name="_MON_1572873565"/>
    <w:bookmarkEnd w:id="0"/>
    <w:p w:rsidR="00927567" w:rsidRDefault="00927567" w:rsidP="00927567">
      <w:pPr>
        <w:tabs>
          <w:tab w:val="left" w:pos="126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540"/>
        <w:rPr>
          <w:rFonts w:ascii="Helv" w:hAnsi="Helv" w:cs="Helv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5pt;height:49.5pt" o:ole="">
            <v:imagedata r:id="rId6" o:title=""/>
          </v:shape>
          <o:OLEObject Type="Embed" ProgID="Word.Document.12" ShapeID="_x0000_i1031" DrawAspect="Icon" ObjectID="_1572873639" r:id="rId7">
            <o:FieldCodes>\s</o:FieldCodes>
          </o:OLEObject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927567" w:rsidRDefault="00927567" w:rsidP="00927567">
      <w:pPr>
        <w:tabs>
          <w:tab w:val="left" w:pos="540"/>
          <w:tab w:val="left" w:pos="1260"/>
          <w:tab w:val="left" w:pos="1440"/>
          <w:tab w:val="left" w:pos="2160"/>
          <w:tab w:val="left" w:pos="3240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1260"/>
        <w:rPr>
          <w:rFonts w:ascii="Helv" w:hAnsi="Helv" w:cs="Helv"/>
          <w:color w:val="000000"/>
          <w:sz w:val="18"/>
          <w:szCs w:val="18"/>
        </w:rPr>
      </w:pPr>
    </w:p>
    <w:p w:rsidR="00927567" w:rsidRDefault="00927567" w:rsidP="00927567">
      <w:pPr>
        <w:tabs>
          <w:tab w:val="left" w:pos="540"/>
          <w:tab w:val="left" w:pos="1260"/>
          <w:tab w:val="left" w:pos="144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</w:t>
      </w:r>
    </w:p>
    <w:p w:rsidR="00927567" w:rsidRDefault="00927567" w:rsidP="00927567">
      <w:pPr>
        <w:tabs>
          <w:tab w:val="left" w:pos="720"/>
          <w:tab w:val="left" w:pos="2160"/>
          <w:tab w:val="left" w:pos="3168"/>
          <w:tab w:val="left" w:pos="3600"/>
          <w:tab w:val="left" w:pos="489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           Website: http://www.cdc.gov/ohs/biosfty/bleachiv.itm</w:t>
      </w: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College of American Pathologists, Lab General GEN.73500, 74500, 74600 </w:t>
      </w:r>
      <w:r>
        <w:rPr>
          <w:rFonts w:ascii="Arial" w:hAnsi="Arial" w:cs="Arial"/>
          <w:i/>
          <w:iCs/>
          <w:color w:val="000000"/>
          <w:sz w:val="20"/>
          <w:szCs w:val="20"/>
        </w:rPr>
        <w:t>Current Edition</w:t>
      </w: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Associated Documents:</w:t>
      </w:r>
    </w:p>
    <w:p w:rsidR="00927567" w:rsidRDefault="00927567" w:rsidP="00927567">
      <w:pPr>
        <w:keepNext/>
        <w:keepLines/>
        <w:autoSpaceDE w:val="0"/>
        <w:autoSpaceDN w:val="0"/>
        <w:adjustRightInd w:val="0"/>
        <w:spacing w:before="120" w:after="120" w:line="240" w:lineRule="auto"/>
        <w:rPr>
          <w:rFonts w:ascii="Helv" w:hAnsi="Helv" w:cs="Helv"/>
          <w:color w:val="000080"/>
          <w:sz w:val="20"/>
          <w:szCs w:val="20"/>
        </w:rPr>
      </w:pPr>
      <w:r>
        <w:rPr>
          <w:rFonts w:ascii="Helv" w:hAnsi="Helv" w:cs="Helv"/>
          <w:color w:val="000080"/>
          <w:sz w:val="20"/>
          <w:szCs w:val="20"/>
        </w:rPr>
        <w:t>External Documents:</w:t>
      </w: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80"/>
          <w:sz w:val="20"/>
          <w:szCs w:val="20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before="120" w:after="120" w:line="240" w:lineRule="auto"/>
        <w:rPr>
          <w:rFonts w:ascii="Helv" w:hAnsi="Helv" w:cs="Helv"/>
          <w:color w:val="000080"/>
          <w:sz w:val="20"/>
          <w:szCs w:val="20"/>
        </w:rPr>
      </w:pPr>
      <w:r>
        <w:rPr>
          <w:rFonts w:ascii="Helv" w:hAnsi="Helv" w:cs="Helv"/>
          <w:color w:val="000080"/>
          <w:sz w:val="20"/>
          <w:szCs w:val="20"/>
        </w:rPr>
        <w:t>Associated Documents:</w:t>
      </w: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SFOSOP-0125 -- SFTY - Chemical Hygiene Plan</w:t>
      </w:r>
      <w:r>
        <w:rPr>
          <w:rFonts w:ascii="Helv" w:hAnsi="Helv" w:cs="Helv"/>
          <w:color w:val="000000"/>
          <w:sz w:val="20"/>
          <w:szCs w:val="20"/>
        </w:rPr>
        <w:br/>
        <w:t>SFOSOP-0080 -- IC: Laboratory Wastes (CAP GEN.70600 70650 73000 73100 70700)</w:t>
      </w:r>
    </w:p>
    <w:p w:rsidR="00927567" w:rsidRDefault="00927567" w:rsidP="00927567">
      <w:pPr>
        <w:keepLines/>
        <w:autoSpaceDE w:val="0"/>
        <w:autoSpaceDN w:val="0"/>
        <w:adjustRightInd w:val="0"/>
        <w:spacing w:before="120"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Click to Open an Associated Document</w:t>
      </w: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Documents Generated:</w:t>
      </w: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7567" w:rsidRDefault="00927567" w:rsidP="00927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Document Revision History:</w:t>
      </w:r>
    </w:p>
    <w:tbl>
      <w:tblPr>
        <w:tblW w:w="5000" w:type="pct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2330"/>
        <w:gridCol w:w="3201"/>
        <w:gridCol w:w="3783"/>
      </w:tblGrid>
      <w:tr w:rsidR="00927567">
        <w:tc>
          <w:tcPr>
            <w:tcW w:w="125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tabs>
                <w:tab w:val="left" w:pos="2175"/>
                <w:tab w:val="left" w:pos="3615"/>
                <w:tab w:val="left" w:pos="6495"/>
              </w:tabs>
              <w:autoSpaceDE w:val="0"/>
              <w:autoSpaceDN w:val="0"/>
              <w:adjustRightInd w:val="0"/>
              <w:spacing w:after="0" w:line="240" w:lineRule="auto"/>
              <w:ind w:left="119" w:right="8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Revision:</w:t>
            </w:r>
            <w:r>
              <w:rPr>
                <w:rFonts w:ascii="Tms Rmn" w:hAnsi="Tms Rmn" w:cs="Tms Rmn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8</w:t>
            </w:r>
          </w:p>
        </w:tc>
        <w:tc>
          <w:tcPr>
            <w:tcW w:w="171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tabs>
                <w:tab w:val="left" w:pos="5392"/>
                <w:tab w:val="left" w:pos="6832"/>
                <w:tab w:val="left" w:pos="9712"/>
              </w:tabs>
              <w:autoSpaceDE w:val="0"/>
              <w:autoSpaceDN w:val="0"/>
              <w:adjustRightInd w:val="0"/>
              <w:spacing w:after="0" w:line="240" w:lineRule="auto"/>
              <w:ind w:left="170" w:right="33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Date Created: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04/27/2007</w:t>
            </w:r>
          </w:p>
          <w:p w:rsidR="00927567" w:rsidRDefault="00927567">
            <w:pPr>
              <w:keepNext/>
              <w:keepLines/>
              <w:tabs>
                <w:tab w:val="left" w:pos="5392"/>
                <w:tab w:val="left" w:pos="6832"/>
                <w:tab w:val="left" w:pos="9712"/>
              </w:tabs>
              <w:autoSpaceDE w:val="0"/>
              <w:autoSpaceDN w:val="0"/>
              <w:adjustRightInd w:val="0"/>
              <w:spacing w:after="0" w:line="240" w:lineRule="auto"/>
              <w:ind w:left="170" w:right="33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 xml:space="preserve">Date of Last Revision: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11/22/2017</w:t>
            </w:r>
          </w:p>
        </w:tc>
        <w:tc>
          <w:tcPr>
            <w:tcW w:w="203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tabs>
                <w:tab w:val="left" w:pos="8609"/>
                <w:tab w:val="left" w:pos="10049"/>
                <w:tab w:val="left" w:pos="12929"/>
              </w:tabs>
              <w:autoSpaceDE w:val="0"/>
              <w:autoSpaceDN w:val="0"/>
              <w:adjustRightInd w:val="0"/>
              <w:spacing w:after="0" w:line="240" w:lineRule="auto"/>
              <w:ind w:left="95" w:right="50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Last Approval Date:</w:t>
            </w:r>
            <w:r>
              <w:rPr>
                <w:rFonts w:ascii="Tms Rmn" w:hAnsi="Tms Rmn" w:cs="Tms Rmn"/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Helv" w:hAnsi="Helv" w:cs="Helv"/>
                <w:color w:val="0000FF"/>
                <w:sz w:val="16"/>
                <w:szCs w:val="16"/>
              </w:rPr>
              <w:t>11/22/2017</w:t>
            </w:r>
          </w:p>
        </w:tc>
      </w:tr>
    </w:tbl>
    <w:p w:rsidR="00927567" w:rsidRDefault="00927567" w:rsidP="00927567">
      <w:pPr>
        <w:keepLines/>
        <w:autoSpaceDE w:val="0"/>
        <w:autoSpaceDN w:val="0"/>
        <w:adjustRightInd w:val="0"/>
        <w:spacing w:before="120" w:after="0" w:line="240" w:lineRule="auto"/>
        <w:rPr>
          <w:rFonts w:ascii="Helv" w:hAnsi="Helv" w:cs="Helv"/>
          <w:color w:val="0000FF"/>
          <w:sz w:val="16"/>
          <w:szCs w:val="16"/>
        </w:rPr>
      </w:pPr>
    </w:p>
    <w:tbl>
      <w:tblPr>
        <w:tblW w:w="0" w:type="auto"/>
        <w:tblInd w:w="-81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3240"/>
        <w:gridCol w:w="3240"/>
      </w:tblGrid>
      <w:tr w:rsidR="00927567"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80"/>
                <w:sz w:val="16"/>
                <w:szCs w:val="16"/>
              </w:rPr>
              <w:t>Document Author:</w:t>
            </w:r>
          </w:p>
          <w:p w:rsidR="00927567" w:rsidRDefault="00927567">
            <w:pPr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color w:val="000080"/>
                <w:sz w:val="16"/>
                <w:szCs w:val="16"/>
              </w:rPr>
            </w:pPr>
            <w:r>
              <w:rPr>
                <w:rFonts w:ascii="Helv" w:hAnsi="Helv" w:cs="Helv"/>
                <w:color w:val="000080"/>
                <w:sz w:val="16"/>
                <w:szCs w:val="16"/>
              </w:rPr>
              <w:t>Richard Chui</w:t>
            </w:r>
          </w:p>
        </w:tc>
        <w:tc>
          <w:tcPr>
            <w:tcW w:w="32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1E1E1"/>
          </w:tcPr>
          <w:p w:rsidR="00927567" w:rsidRDefault="00927567">
            <w:pPr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color w:val="000080"/>
                <w:sz w:val="16"/>
                <w:szCs w:val="16"/>
              </w:rPr>
            </w:pPr>
          </w:p>
        </w:tc>
      </w:tr>
    </w:tbl>
    <w:p w:rsidR="00927567" w:rsidRDefault="00927567" w:rsidP="00927567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Reason for Change:</w:t>
      </w:r>
    </w:p>
    <w:p w:rsidR="00927567" w:rsidRDefault="00927567" w:rsidP="00927567">
      <w:pPr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0BF" w:firstRow="1" w:lastRow="0" w:firstColumn="1" w:lastColumn="0" w:noHBand="0" w:noVBand="0"/>
      </w:tblPr>
      <w:tblGrid>
        <w:gridCol w:w="1395"/>
        <w:gridCol w:w="2314"/>
        <w:gridCol w:w="3546"/>
        <w:gridCol w:w="1710"/>
      </w:tblGrid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lastRenderedPageBreak/>
              <w:t>Revision: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>Sec/Para Changed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1" w:right="44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>Change Made: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800000"/>
                <w:sz w:val="16"/>
                <w:szCs w:val="16"/>
              </w:rPr>
              <w:t>Date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N/A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Import SOP to QSI database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09/02/2008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2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 A 3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replaced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Caviwipe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with Sani-cloth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04/26/2010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3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Select Area, 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Asso'd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docs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Added 2200 &amp; 2425 morgue.  Added SFOSOP-0080 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01/12/2011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 4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Title, Policy, Procedure, References, Approvals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Updated Title, added CAP citations to Policy, updated disinfection times for Sani-Cloth, added CAP reference, updated CLIA Med Dir/Approvals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11/06/2011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5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N/A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Change of Lab Director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tabs>
                <w:tab w:val="left" w:pos="9360"/>
                <w:tab w:val="left" w:pos="9450"/>
              </w:tabs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8/6/2013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6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Title, Policy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Removed CAP Gen numbers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4/6/2015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7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N/A 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 xml:space="preserve">Change of Director 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6/29/2016</w:t>
            </w:r>
          </w:p>
        </w:tc>
      </w:tr>
      <w:tr w:rsidR="00927567">
        <w:tc>
          <w:tcPr>
            <w:tcW w:w="13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8</w:t>
            </w:r>
          </w:p>
        </w:tc>
        <w:tc>
          <w:tcPr>
            <w:tcW w:w="23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Procedure</w:t>
            </w:r>
          </w:p>
        </w:tc>
        <w:tc>
          <w:tcPr>
            <w:tcW w:w="354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Removed "</w:t>
            </w:r>
            <w:proofErr w:type="spellStart"/>
            <w:r>
              <w:rPr>
                <w:rFonts w:ascii="Helv" w:hAnsi="Helv" w:cs="Helv"/>
                <w:color w:val="800000"/>
                <w:sz w:val="16"/>
                <w:szCs w:val="16"/>
              </w:rPr>
              <w:t>Cavicide</w:t>
            </w:r>
            <w:proofErr w:type="spellEnd"/>
            <w:r>
              <w:rPr>
                <w:rFonts w:ascii="Helv" w:hAnsi="Helv" w:cs="Helv"/>
                <w:color w:val="800000"/>
                <w:sz w:val="16"/>
                <w:szCs w:val="16"/>
              </w:rPr>
              <w:t>". Added Spill kit instructions.</w:t>
            </w:r>
          </w:p>
        </w:tc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EFCE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color w:val="800000"/>
                <w:sz w:val="16"/>
                <w:szCs w:val="16"/>
              </w:rPr>
              <w:t>11/22/2017</w:t>
            </w:r>
          </w:p>
        </w:tc>
      </w:tr>
    </w:tbl>
    <w:p w:rsidR="00927567" w:rsidRDefault="00927567" w:rsidP="00927567">
      <w:pPr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800000"/>
          <w:sz w:val="16"/>
          <w:szCs w:val="16"/>
        </w:rPr>
      </w:pPr>
    </w:p>
    <w:p w:rsidR="00927567" w:rsidRDefault="00927567" w:rsidP="0092756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Approvals:</w:t>
      </w:r>
    </w:p>
    <w:p w:rsidR="00927567" w:rsidRDefault="00927567" w:rsidP="00927567">
      <w:pPr>
        <w:keepNext/>
        <w:keepLines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BF" w:firstRow="1" w:lastRow="0" w:firstColumn="1" w:lastColumn="0" w:noHBand="0" w:noVBand="0"/>
      </w:tblPr>
      <w:tblGrid>
        <w:gridCol w:w="4141"/>
        <w:gridCol w:w="6718"/>
      </w:tblGrid>
      <w:tr w:rsidR="00927567">
        <w:tc>
          <w:tcPr>
            <w:tcW w:w="4141" w:type="dxa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88" w:right="12" w:hanging="735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Name:</w:t>
            </w: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  Eric Suba/CA/KAIPERM</w:t>
            </w:r>
          </w:p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83" w:right="12" w:hanging="571"/>
              <w:rPr>
                <w:rFonts w:ascii="Helv" w:hAnsi="Helv" w:cs="Helv"/>
                <w:color w:val="80000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Title: </w:t>
            </w:r>
            <w:r>
              <w:rPr>
                <w:rFonts w:ascii="Helv" w:hAnsi="Helv" w:cs="Helv"/>
                <w:color w:val="800000"/>
                <w:sz w:val="16"/>
                <w:szCs w:val="16"/>
              </w:rPr>
              <w:t>Chief of Pathology; CLIA Director</w:t>
            </w:r>
          </w:p>
        </w:tc>
        <w:tc>
          <w:tcPr>
            <w:tcW w:w="6718" w:type="dxa"/>
          </w:tcPr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 w:right="38"/>
              <w:rPr>
                <w:rFonts w:ascii="Helv" w:hAnsi="Helv" w:cs="Helv"/>
                <w:color w:val="0000FF"/>
                <w:sz w:val="16"/>
                <w:szCs w:val="16"/>
              </w:rPr>
            </w:pPr>
            <w:r>
              <w:rPr>
                <w:rFonts w:ascii="Helv" w:hAnsi="Helv" w:cs="Helv"/>
                <w:color w:val="0000FF"/>
                <w:sz w:val="16"/>
                <w:szCs w:val="16"/>
              </w:rPr>
              <w:t>Nov 22, 2017 04:14:05 PM PST - Approved by: Eric Suba/CA/KAIPERM</w:t>
            </w:r>
          </w:p>
          <w:p w:rsidR="00927567" w:rsidRDefault="009275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8" w:right="38"/>
              <w:rPr>
                <w:rFonts w:ascii="Helv" w:hAnsi="Helv" w:cs="Helv"/>
                <w:color w:val="0000FF"/>
                <w:sz w:val="16"/>
                <w:szCs w:val="16"/>
              </w:rPr>
            </w:pPr>
          </w:p>
        </w:tc>
      </w:tr>
    </w:tbl>
    <w:p w:rsidR="00927567" w:rsidRDefault="00927567" w:rsidP="00927567">
      <w:pPr>
        <w:keepLines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16"/>
          <w:szCs w:val="16"/>
        </w:rPr>
      </w:pPr>
    </w:p>
    <w:p w:rsidR="00927567" w:rsidRDefault="00927567" w:rsidP="00927567">
      <w:pPr>
        <w:keepNext/>
        <w:keepLines/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0000FF"/>
          <w:sz w:val="16"/>
          <w:szCs w:val="16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16"/>
          <w:szCs w:val="16"/>
        </w:rPr>
      </w:pPr>
    </w:p>
    <w:p w:rsidR="00927567" w:rsidRDefault="00927567" w:rsidP="00927567">
      <w:pPr>
        <w:keepNext/>
        <w:keepLines/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0000FF"/>
          <w:sz w:val="16"/>
          <w:szCs w:val="16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FF"/>
          <w:sz w:val="16"/>
          <w:szCs w:val="16"/>
        </w:rPr>
      </w:pPr>
    </w:p>
    <w:p w:rsidR="00927567" w:rsidRDefault="00927567" w:rsidP="00927567">
      <w:pPr>
        <w:keepLines/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0000FF"/>
          <w:sz w:val="16"/>
          <w:szCs w:val="16"/>
        </w:rPr>
      </w:pPr>
    </w:p>
    <w:p w:rsidR="00B665EC" w:rsidRDefault="00B665EC"/>
    <w:sectPr w:rsidR="00B665EC" w:rsidSect="008E61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67"/>
    <w:rsid w:val="00056147"/>
    <w:rsid w:val="000E4FC5"/>
    <w:rsid w:val="00927567"/>
    <w:rsid w:val="00B665EC"/>
    <w:rsid w:val="00B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7AC6"/>
  <w15:chartTrackingRefBased/>
  <w15:docId w15:val="{A886940D-C743-4A19-ADD8-F1C26B9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Chui</dc:creator>
  <cp:keywords/>
  <dc:description/>
  <cp:lastModifiedBy>Richard Chui</cp:lastModifiedBy>
  <cp:revision>1</cp:revision>
  <dcterms:created xsi:type="dcterms:W3CDTF">2017-11-23T00:28:00Z</dcterms:created>
  <dcterms:modified xsi:type="dcterms:W3CDTF">2017-11-23T00:34:00Z</dcterms:modified>
</cp:coreProperties>
</file>