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9538" w14:textId="11EFEDEF" w:rsidR="00800EF8" w:rsidRPr="00800EF8" w:rsidRDefault="00800EF8" w:rsidP="00800EF8">
      <w:pPr>
        <w:rPr>
          <w:rFonts w:ascii="Arial" w:hAnsi="Arial" w:cs="Arial"/>
          <w:color w:val="auto"/>
          <w:u w:val="single"/>
        </w:rPr>
      </w:pPr>
      <w:r w:rsidRPr="00800EF8">
        <w:rPr>
          <w:rFonts w:ascii="Arial" w:hAnsi="Arial" w:cs="Arial"/>
          <w:color w:val="auto"/>
          <w:u w:val="single"/>
        </w:rPr>
        <w:t xml:space="preserve">New Platelet Products Coming </w:t>
      </w:r>
      <w:r>
        <w:rPr>
          <w:rFonts w:ascii="Arial" w:hAnsi="Arial" w:cs="Arial"/>
          <w:color w:val="auto"/>
          <w:u w:val="single"/>
        </w:rPr>
        <w:t xml:space="preserve">Starting </w:t>
      </w:r>
      <w:r w:rsidRPr="00800EF8">
        <w:rPr>
          <w:rFonts w:ascii="Arial" w:hAnsi="Arial" w:cs="Arial"/>
          <w:color w:val="auto"/>
          <w:u w:val="single"/>
        </w:rPr>
        <w:t>in August 2021</w:t>
      </w:r>
      <w:r>
        <w:rPr>
          <w:rFonts w:ascii="Arial" w:hAnsi="Arial" w:cs="Arial"/>
          <w:color w:val="auto"/>
          <w:u w:val="single"/>
        </w:rPr>
        <w:t xml:space="preserve"> (week of 8/8/21)</w:t>
      </w:r>
    </w:p>
    <w:p w14:paraId="5F940267" w14:textId="77777777" w:rsidR="00800EF8" w:rsidRDefault="00800EF8" w:rsidP="00800EF8">
      <w:pPr>
        <w:rPr>
          <w:rFonts w:ascii="Arial" w:hAnsi="Arial" w:cs="Arial"/>
          <w:color w:val="auto"/>
        </w:rPr>
      </w:pPr>
    </w:p>
    <w:p w14:paraId="744BA8BE" w14:textId="3DFE4B1A" w:rsidR="00800EF8" w:rsidRDefault="00800EF8" w:rsidP="00800EF8">
      <w:pPr>
        <w:rPr>
          <w:rFonts w:ascii="Arial" w:hAnsi="Arial" w:cs="Arial"/>
        </w:rPr>
      </w:pPr>
      <w:proofErr w:type="spellStart"/>
      <w:r>
        <w:rPr>
          <w:rFonts w:ascii="Arial" w:hAnsi="Arial" w:cs="Arial"/>
          <w:color w:val="auto"/>
        </w:rPr>
        <w:t>Vitalant</w:t>
      </w:r>
      <w:proofErr w:type="spellEnd"/>
      <w:r>
        <w:rPr>
          <w:rFonts w:ascii="Arial" w:hAnsi="Arial" w:cs="Arial"/>
          <w:color w:val="auto"/>
        </w:rPr>
        <w:t xml:space="preserve"> has begun implementation of their compliance plan with FDA’s Final Guidance </w:t>
      </w:r>
      <w:hyperlink r:id="rId5" w:history="1">
        <w:r>
          <w:rPr>
            <w:rStyle w:val="Hyperlink"/>
            <w:rFonts w:ascii="Arial" w:hAnsi="Arial" w:cs="Arial"/>
            <w:color w:val="auto"/>
            <w:u w:val="none"/>
          </w:rPr>
          <w:t>“Bacterial Risk Control Strategies for Blood Collection Establishments and Transfusion Services to Enhance the Safety and Availability of Platelets for Transfusion”</w:t>
        </w:r>
      </w:hyperlink>
      <w:r>
        <w:rPr>
          <w:rFonts w:ascii="Arial" w:hAnsi="Arial" w:cs="Arial"/>
        </w:rPr>
        <w:t xml:space="preserve">.  </w:t>
      </w:r>
    </w:p>
    <w:p w14:paraId="15957132" w14:textId="77777777" w:rsidR="00800EF8" w:rsidRDefault="00800EF8" w:rsidP="00800EF8">
      <w:pPr>
        <w:rPr>
          <w:rFonts w:ascii="Arial" w:hAnsi="Arial" w:cs="Arial"/>
        </w:rPr>
      </w:pPr>
    </w:p>
    <w:p w14:paraId="21243B7F" w14:textId="77777777" w:rsidR="00800EF8" w:rsidRDefault="00800EF8" w:rsidP="00800EF8">
      <w:pPr>
        <w:rPr>
          <w:rFonts w:ascii="Arial" w:hAnsi="Arial" w:cs="Arial"/>
        </w:rPr>
      </w:pPr>
      <w:r>
        <w:rPr>
          <w:rFonts w:ascii="Arial" w:hAnsi="Arial" w:cs="Arial"/>
        </w:rPr>
        <w:t xml:space="preserve">To comply with FDA’s Bacterial Risk Mitigation Guidance, </w:t>
      </w:r>
      <w:proofErr w:type="spellStart"/>
      <w:r>
        <w:rPr>
          <w:rFonts w:ascii="Arial" w:hAnsi="Arial" w:cs="Arial"/>
        </w:rPr>
        <w:t>Vitalant</w:t>
      </w:r>
      <w:proofErr w:type="spellEnd"/>
      <w:r>
        <w:rPr>
          <w:rFonts w:ascii="Arial" w:hAnsi="Arial" w:cs="Arial"/>
        </w:rPr>
        <w:t xml:space="preserve"> will have three platelet product types:</w:t>
      </w:r>
    </w:p>
    <w:p w14:paraId="051E372C" w14:textId="77777777" w:rsidR="00BF0A62" w:rsidRDefault="00BF0A62" w:rsidP="00BF0A62">
      <w:pPr>
        <w:rPr>
          <w:rFonts w:ascii="Arial" w:hAnsi="Arial" w:cs="Arial"/>
        </w:rPr>
      </w:pPr>
      <w:r>
        <w:rPr>
          <w:rFonts w:ascii="Arial" w:hAnsi="Arial" w:cs="Arial"/>
        </w:rPr>
        <w:t xml:space="preserve">To comply with FDA’s Bacterial Risk Mitigation Guidance, </w:t>
      </w:r>
      <w:proofErr w:type="spellStart"/>
      <w:r>
        <w:rPr>
          <w:rFonts w:ascii="Arial" w:hAnsi="Arial" w:cs="Arial"/>
        </w:rPr>
        <w:t>Vitalant</w:t>
      </w:r>
      <w:proofErr w:type="spellEnd"/>
      <w:r>
        <w:rPr>
          <w:rFonts w:ascii="Arial" w:hAnsi="Arial" w:cs="Arial"/>
        </w:rPr>
        <w:t xml:space="preserve"> will have three platelet product types:</w:t>
      </w:r>
    </w:p>
    <w:p w14:paraId="73374E8D" w14:textId="77777777" w:rsidR="00BF0A62" w:rsidRDefault="00BF0A62" w:rsidP="00BF0A62">
      <w:pPr>
        <w:pStyle w:val="ListParagraph"/>
        <w:numPr>
          <w:ilvl w:val="0"/>
          <w:numId w:val="1"/>
        </w:numPr>
        <w:rPr>
          <w:color w:val="FF0000"/>
          <w:sz w:val="24"/>
          <w:szCs w:val="24"/>
        </w:rPr>
      </w:pPr>
      <w:r>
        <w:rPr>
          <w:color w:val="FF0000"/>
          <w:sz w:val="24"/>
          <w:szCs w:val="24"/>
        </w:rPr>
        <w:t>LVDS 36-hour/5-day (36 hour Large Volume Delayed Sampling – 5 day outdate) – Have the same appearance as current conventional platelets</w:t>
      </w:r>
    </w:p>
    <w:p w14:paraId="2BCD6093" w14:textId="77777777" w:rsidR="00BF0A62" w:rsidRDefault="00BF0A62" w:rsidP="00BF0A62">
      <w:pPr>
        <w:pStyle w:val="ListParagraph"/>
        <w:numPr>
          <w:ilvl w:val="0"/>
          <w:numId w:val="1"/>
        </w:numPr>
        <w:rPr>
          <w:color w:val="FF0000"/>
          <w:sz w:val="24"/>
          <w:szCs w:val="24"/>
        </w:rPr>
      </w:pPr>
      <w:r>
        <w:rPr>
          <w:color w:val="FF0000"/>
          <w:sz w:val="24"/>
          <w:szCs w:val="24"/>
        </w:rPr>
        <w:t xml:space="preserve">LVDS 48-hour/7-day (48 hour Large Volume Delayed Sampling – 7 day outdate) – Have the same appearance as current conventional platelets </w:t>
      </w:r>
    </w:p>
    <w:p w14:paraId="00FEA9DE" w14:textId="77777777" w:rsidR="00BF0A62" w:rsidRDefault="00BF0A62" w:rsidP="00BF0A62">
      <w:pPr>
        <w:pStyle w:val="ListParagraph"/>
        <w:numPr>
          <w:ilvl w:val="0"/>
          <w:numId w:val="1"/>
        </w:numPr>
        <w:rPr>
          <w:color w:val="FF0000"/>
          <w:sz w:val="24"/>
          <w:szCs w:val="24"/>
        </w:rPr>
      </w:pPr>
      <w:r>
        <w:rPr>
          <w:color w:val="FF0000"/>
          <w:sz w:val="24"/>
          <w:szCs w:val="24"/>
        </w:rPr>
        <w:t>PRT Platelets (Pathogen Reduced or Psoralen Treated – 5 day outdate for now) – Platelet bag is longer by 2.8 inches. PRT platelets are acceptable for patients requiring irradiated products, and as an alternative to CMV seronegative or CMV Safe product attributes (AABB standard 5.19.4.1 for irradiation of blood products considers the FDA approved method of pathogen reduction equivalent to irradiation).</w:t>
      </w:r>
    </w:p>
    <w:p w14:paraId="3992DE9C" w14:textId="77777777" w:rsidR="00736E18" w:rsidRPr="004C7DD9" w:rsidRDefault="00736E18" w:rsidP="00736E18">
      <w:pPr>
        <w:ind w:left="432"/>
        <w:rPr>
          <w:rFonts w:ascii="Arial" w:hAnsi="Arial" w:cs="Arial"/>
          <w:color w:val="FF0000"/>
        </w:rPr>
      </w:pPr>
      <w:r w:rsidRPr="004C7DD9">
        <w:rPr>
          <w:rFonts w:ascii="Arial" w:hAnsi="Arial" w:cs="Arial"/>
          <w:color w:val="FF0000"/>
        </w:rPr>
        <w:t>LVDS, PRT and conventional platelets can be used interchangeably for treatment of hemostasis.</w:t>
      </w:r>
    </w:p>
    <w:p w14:paraId="343C193E" w14:textId="77777777" w:rsidR="00800EF8" w:rsidRDefault="00800EF8" w:rsidP="00800EF8">
      <w:pPr>
        <w:rPr>
          <w:rFonts w:ascii="Arial" w:hAnsi="Arial" w:cs="Arial"/>
          <w:color w:val="FF0000"/>
        </w:rPr>
      </w:pPr>
      <w:r>
        <w:rPr>
          <w:rFonts w:ascii="Arial" w:hAnsi="Arial" w:cs="Arial"/>
          <w:color w:val="FF0000"/>
        </w:rPr>
        <w:t> </w:t>
      </w:r>
    </w:p>
    <w:p w14:paraId="00A12882" w14:textId="055B66EE" w:rsidR="00800EF8" w:rsidRDefault="00800EF8" w:rsidP="00800EF8">
      <w:pPr>
        <w:autoSpaceDE w:val="0"/>
        <w:autoSpaceDN w:val="0"/>
        <w:adjustRightInd w:val="0"/>
        <w:rPr>
          <w:rFonts w:ascii="Arial" w:hAnsi="Arial" w:cs="Arial"/>
          <w:color w:val="FF0000"/>
        </w:rPr>
      </w:pPr>
      <w:r>
        <w:rPr>
          <w:rFonts w:ascii="Arial" w:hAnsi="Arial" w:cs="Arial"/>
          <w:color w:val="FF0000"/>
        </w:rPr>
        <w:t xml:space="preserve">Please Note that LVDS platelets are </w:t>
      </w:r>
      <w:r w:rsidR="004C7DD9">
        <w:rPr>
          <w:rFonts w:ascii="Arial" w:hAnsi="Arial" w:cs="Arial"/>
          <w:color w:val="FF0000"/>
        </w:rPr>
        <w:t xml:space="preserve">similar to </w:t>
      </w:r>
      <w:r>
        <w:rPr>
          <w:rFonts w:ascii="Arial" w:hAnsi="Arial" w:cs="Arial"/>
          <w:color w:val="FF0000"/>
        </w:rPr>
        <w:t xml:space="preserve">conventional platelets (what we have now).  LVDS platelets are </w:t>
      </w:r>
      <w:proofErr w:type="spellStart"/>
      <w:r>
        <w:rPr>
          <w:rFonts w:ascii="Arial" w:hAnsi="Arial" w:cs="Arial"/>
          <w:color w:val="FF0000"/>
        </w:rPr>
        <w:t>leukoreduced</w:t>
      </w:r>
      <w:proofErr w:type="spellEnd"/>
      <w:r>
        <w:rPr>
          <w:rFonts w:ascii="Arial" w:hAnsi="Arial" w:cs="Arial"/>
          <w:color w:val="FF0000"/>
        </w:rPr>
        <w:t xml:space="preserve"> (CMV safe) and can be CMV Neg if tested so.  LVDS platelets must be irradiated if patient requires it.  The strategy of large volume delayed sampling involves taking larger sample volumes from each platelet unit and inoculating aerobic and anaerobic culture media 36-48 hours after collection, rather than the 24-hour interval for conventional platelets. The increased sample volume of at least 16 mL per unit, and additional incubation time prior to sampling results in increased bacterial detection.</w:t>
      </w:r>
    </w:p>
    <w:p w14:paraId="419BB38E" w14:textId="77777777" w:rsidR="00800EF8" w:rsidRDefault="00800EF8" w:rsidP="00800EF8">
      <w:pPr>
        <w:rPr>
          <w:rFonts w:ascii="Arial" w:hAnsi="Arial" w:cs="Arial"/>
          <w:color w:val="FF0000"/>
        </w:rPr>
      </w:pPr>
    </w:p>
    <w:p w14:paraId="0D442E80" w14:textId="0A4BA50B" w:rsidR="00800EF8" w:rsidRDefault="00800EF8" w:rsidP="00800EF8">
      <w:pPr>
        <w:autoSpaceDE w:val="0"/>
        <w:autoSpaceDN w:val="0"/>
        <w:adjustRightInd w:val="0"/>
        <w:rPr>
          <w:rFonts w:ascii="Arial" w:hAnsi="Arial" w:cs="Arial"/>
          <w:color w:val="FF0000"/>
        </w:rPr>
      </w:pPr>
      <w:r>
        <w:rPr>
          <w:rFonts w:ascii="Arial" w:hAnsi="Arial" w:cs="Arial"/>
          <w:color w:val="FF0000"/>
        </w:rPr>
        <w:t xml:space="preserve">PRT Platelets have been treated photochemically with psoralen (the specific psoralen used is known as </w:t>
      </w:r>
      <w:proofErr w:type="spellStart"/>
      <w:r>
        <w:rPr>
          <w:rFonts w:ascii="Arial" w:hAnsi="Arial" w:cs="Arial"/>
          <w:color w:val="FF0000"/>
        </w:rPr>
        <w:t>amotosalen</w:t>
      </w:r>
      <w:proofErr w:type="spellEnd"/>
      <w:r>
        <w:rPr>
          <w:rFonts w:ascii="Arial" w:hAnsi="Arial" w:cs="Arial"/>
          <w:color w:val="FF0000"/>
        </w:rPr>
        <w:t>) and UVA illumination to reduce pathogens (bacteria, virus, parasite) and T-cells (reduces risk of TA-GVHD).</w:t>
      </w:r>
      <w:r w:rsidR="00DC604C">
        <w:rPr>
          <w:rFonts w:ascii="Arial" w:hAnsi="Arial" w:cs="Arial"/>
          <w:color w:val="FF0000"/>
        </w:rPr>
        <w:t xml:space="preserve">  </w:t>
      </w:r>
      <w:r>
        <w:rPr>
          <w:rFonts w:ascii="Arial" w:hAnsi="Arial" w:cs="Arial"/>
          <w:color w:val="FF0000"/>
        </w:rPr>
        <w:t xml:space="preserve">PRT platelets </w:t>
      </w:r>
      <w:r w:rsidR="00C70A8F">
        <w:rPr>
          <w:rFonts w:ascii="Arial" w:hAnsi="Arial" w:cs="Arial"/>
          <w:color w:val="FF0000"/>
        </w:rPr>
        <w:t>can</w:t>
      </w:r>
      <w:r>
        <w:rPr>
          <w:rFonts w:ascii="Arial" w:hAnsi="Arial" w:cs="Arial"/>
          <w:color w:val="FF0000"/>
        </w:rPr>
        <w:t xml:space="preserve"> be dispensed as an alternative to irradiated and/or CMV negative (or CMV safe) platelets.</w:t>
      </w:r>
      <w:r w:rsidR="00DC604C">
        <w:rPr>
          <w:rFonts w:ascii="Arial" w:hAnsi="Arial" w:cs="Arial"/>
          <w:color w:val="FF0000"/>
        </w:rPr>
        <w:t xml:space="preserve">  </w:t>
      </w:r>
      <w:r w:rsidR="00DC604C" w:rsidRPr="00DC604C">
        <w:rPr>
          <w:rFonts w:ascii="Arial" w:hAnsi="Arial" w:cs="Arial"/>
          <w:color w:val="FF0000"/>
        </w:rPr>
        <w:t xml:space="preserve">Psoralen treated platelets are </w:t>
      </w:r>
      <w:proofErr w:type="spellStart"/>
      <w:r w:rsidR="00DC604C" w:rsidRPr="00DC604C">
        <w:rPr>
          <w:rFonts w:ascii="Arial" w:hAnsi="Arial" w:cs="Arial"/>
          <w:color w:val="FF0000"/>
        </w:rPr>
        <w:t>leukoreduced</w:t>
      </w:r>
      <w:proofErr w:type="spellEnd"/>
      <w:r w:rsidR="00DC604C" w:rsidRPr="00DC604C">
        <w:rPr>
          <w:rFonts w:ascii="Arial" w:hAnsi="Arial" w:cs="Arial"/>
          <w:color w:val="FF0000"/>
        </w:rPr>
        <w:t xml:space="preserve"> during the apheresis collection process.</w:t>
      </w:r>
      <w:r w:rsidR="00DC604C" w:rsidRPr="00DC604C">
        <w:rPr>
          <w:rFonts w:ascii="Arial" w:hAnsi="Arial" w:cs="Arial"/>
          <w:color w:val="FF0000"/>
        </w:rPr>
        <w:t xml:space="preserve">  </w:t>
      </w:r>
      <w:r>
        <w:rPr>
          <w:rFonts w:ascii="Arial" w:hAnsi="Arial" w:cs="Arial"/>
          <w:color w:val="FF0000"/>
        </w:rPr>
        <w:t xml:space="preserve">The PRT system that </w:t>
      </w:r>
      <w:proofErr w:type="spellStart"/>
      <w:r>
        <w:rPr>
          <w:rFonts w:ascii="Arial" w:hAnsi="Arial" w:cs="Arial"/>
          <w:color w:val="FF0000"/>
        </w:rPr>
        <w:t>Vitalant</w:t>
      </w:r>
      <w:proofErr w:type="spellEnd"/>
      <w:r>
        <w:rPr>
          <w:rFonts w:ascii="Arial" w:hAnsi="Arial" w:cs="Arial"/>
          <w:color w:val="FF0000"/>
        </w:rPr>
        <w:t xml:space="preserve"> uses is manufactured by </w:t>
      </w:r>
      <w:proofErr w:type="spellStart"/>
      <w:r>
        <w:rPr>
          <w:rFonts w:ascii="Arial" w:hAnsi="Arial" w:cs="Arial"/>
          <w:color w:val="FF0000"/>
        </w:rPr>
        <w:t>Cerus</w:t>
      </w:r>
      <w:proofErr w:type="spellEnd"/>
      <w:r>
        <w:rPr>
          <w:rFonts w:ascii="Arial" w:hAnsi="Arial" w:cs="Arial"/>
          <w:color w:val="FF0000"/>
        </w:rPr>
        <w:t xml:space="preserve"> Intercept and the platelets may sometimes be called Intercept treated platelets.  For more information, check out </w:t>
      </w:r>
      <w:hyperlink r:id="rId6" w:history="1">
        <w:r>
          <w:rPr>
            <w:rStyle w:val="Hyperlink"/>
            <w:rFonts w:ascii="Arial" w:hAnsi="Arial" w:cs="Arial"/>
          </w:rPr>
          <w:t>https://intercept-usa.com/what-is-intercept/how-intercept-works/</w:t>
        </w:r>
      </w:hyperlink>
    </w:p>
    <w:p w14:paraId="0BB89043" w14:textId="77777777" w:rsidR="00800EF8" w:rsidRDefault="00800EF8" w:rsidP="00800EF8">
      <w:pPr>
        <w:rPr>
          <w:rFonts w:ascii="Arial" w:hAnsi="Arial" w:cs="Arial"/>
          <w:color w:val="FF0000"/>
        </w:rPr>
      </w:pPr>
    </w:p>
    <w:p w14:paraId="428310D0" w14:textId="77777777" w:rsidR="00800EF8" w:rsidRDefault="00800EF8" w:rsidP="00800EF8">
      <w:pPr>
        <w:rPr>
          <w:rFonts w:ascii="Arial" w:hAnsi="Arial" w:cs="Arial"/>
          <w:color w:val="FF0000"/>
        </w:rPr>
      </w:pPr>
      <w:r>
        <w:rPr>
          <w:rFonts w:ascii="Arial" w:hAnsi="Arial" w:cs="Arial"/>
          <w:b/>
          <w:bCs/>
          <w:color w:val="FF0000"/>
        </w:rPr>
        <w:t>Starting in August</w:t>
      </w:r>
      <w:r>
        <w:rPr>
          <w:rFonts w:ascii="Arial" w:hAnsi="Arial" w:cs="Arial"/>
          <w:color w:val="FF0000"/>
        </w:rPr>
        <w:t>, we may receive a combination of different platelet product types i.e. conventional, LVDS 36-hour/5-day, LVDS 48-hour/7-day and PRT Platelets (PRT platelets will be on standing order 3 units/weekday) .</w:t>
      </w:r>
    </w:p>
    <w:p w14:paraId="3928D76D" w14:textId="77777777" w:rsidR="00800EF8" w:rsidRDefault="00800EF8" w:rsidP="00800EF8">
      <w:pPr>
        <w:rPr>
          <w:rFonts w:ascii="Arial" w:hAnsi="Arial" w:cs="Arial"/>
          <w:color w:val="auto"/>
        </w:rPr>
      </w:pPr>
    </w:p>
    <w:p w14:paraId="6EDD3E98" w14:textId="77777777" w:rsidR="00800EF8" w:rsidRDefault="00800EF8" w:rsidP="00800EF8">
      <w:pPr>
        <w:rPr>
          <w:rFonts w:ascii="Arial" w:hAnsi="Arial" w:cs="Arial"/>
          <w:color w:val="auto"/>
        </w:rPr>
      </w:pPr>
      <w:proofErr w:type="spellStart"/>
      <w:r>
        <w:rPr>
          <w:rFonts w:ascii="Arial" w:hAnsi="Arial" w:cs="Arial"/>
          <w:color w:val="auto"/>
        </w:rPr>
        <w:t>Vitalant’s</w:t>
      </w:r>
      <w:proofErr w:type="spellEnd"/>
      <w:r>
        <w:rPr>
          <w:rFonts w:ascii="Arial" w:hAnsi="Arial" w:cs="Arial"/>
          <w:color w:val="auto"/>
        </w:rPr>
        <w:t xml:space="preserve"> implementation plan includes:</w:t>
      </w:r>
    </w:p>
    <w:p w14:paraId="38B750CB" w14:textId="77777777" w:rsidR="00800EF8" w:rsidRDefault="00800EF8" w:rsidP="00800EF8">
      <w:pPr>
        <w:pStyle w:val="ListParagraph"/>
        <w:numPr>
          <w:ilvl w:val="0"/>
          <w:numId w:val="2"/>
        </w:numPr>
        <w:spacing w:before="240" w:after="0" w:line="240" w:lineRule="auto"/>
        <w:rPr>
          <w:sz w:val="24"/>
          <w:szCs w:val="24"/>
        </w:rPr>
      </w:pPr>
      <w:r>
        <w:rPr>
          <w:sz w:val="24"/>
          <w:szCs w:val="24"/>
        </w:rPr>
        <w:t xml:space="preserve">Rolling implementation across </w:t>
      </w:r>
      <w:proofErr w:type="spellStart"/>
      <w:r>
        <w:rPr>
          <w:sz w:val="24"/>
          <w:szCs w:val="24"/>
        </w:rPr>
        <w:t>Vitalant</w:t>
      </w:r>
      <w:proofErr w:type="spellEnd"/>
      <w:r>
        <w:rPr>
          <w:sz w:val="24"/>
          <w:szCs w:val="24"/>
        </w:rPr>
        <w:t xml:space="preserve"> service areas of 7-Day Large Volume Delayed Sampling (no sooner than 48 hours after collection) platelet products (LVDS 48-hour/7-day)</w:t>
      </w:r>
    </w:p>
    <w:p w14:paraId="6BA35416" w14:textId="77777777" w:rsidR="00800EF8" w:rsidRDefault="00800EF8" w:rsidP="00800EF8">
      <w:pPr>
        <w:pStyle w:val="ListParagraph"/>
        <w:numPr>
          <w:ilvl w:val="0"/>
          <w:numId w:val="2"/>
        </w:numPr>
        <w:spacing w:before="240" w:after="0" w:line="240" w:lineRule="auto"/>
        <w:rPr>
          <w:sz w:val="24"/>
          <w:szCs w:val="24"/>
        </w:rPr>
      </w:pPr>
      <w:r>
        <w:rPr>
          <w:b/>
          <w:bCs/>
          <w:color w:val="FF0000"/>
          <w:sz w:val="24"/>
          <w:szCs w:val="24"/>
        </w:rPr>
        <w:t>NOTE:</w:t>
      </w:r>
      <w:r>
        <w:rPr>
          <w:sz w:val="24"/>
          <w:szCs w:val="24"/>
        </w:rPr>
        <w:t xml:space="preserve"> </w:t>
      </w:r>
      <w:proofErr w:type="spellStart"/>
      <w:r>
        <w:rPr>
          <w:sz w:val="24"/>
          <w:szCs w:val="24"/>
        </w:rPr>
        <w:t>Vitalant</w:t>
      </w:r>
      <w:proofErr w:type="spellEnd"/>
      <w:r>
        <w:rPr>
          <w:sz w:val="24"/>
          <w:szCs w:val="24"/>
        </w:rPr>
        <w:t xml:space="preserve"> is rapidly working to have all locations obtain LVDS 48-hour/7-day licensure at time of implementation. LVDS 36-hour/5-day will only be offered by </w:t>
      </w:r>
      <w:proofErr w:type="spellStart"/>
      <w:r>
        <w:rPr>
          <w:sz w:val="24"/>
          <w:szCs w:val="24"/>
        </w:rPr>
        <w:t>Vitalant</w:t>
      </w:r>
      <w:proofErr w:type="spellEnd"/>
      <w:r>
        <w:rPr>
          <w:sz w:val="24"/>
          <w:szCs w:val="24"/>
        </w:rPr>
        <w:t xml:space="preserve"> should licensure for any locations be delayed. </w:t>
      </w:r>
    </w:p>
    <w:p w14:paraId="73DDAFBF" w14:textId="77777777" w:rsidR="00800EF8" w:rsidRDefault="00800EF8" w:rsidP="00800EF8">
      <w:pPr>
        <w:pStyle w:val="ListParagraph"/>
        <w:numPr>
          <w:ilvl w:val="0"/>
          <w:numId w:val="2"/>
        </w:numPr>
        <w:spacing w:before="240" w:after="0" w:line="240" w:lineRule="auto"/>
        <w:rPr>
          <w:sz w:val="24"/>
          <w:szCs w:val="24"/>
        </w:rPr>
      </w:pPr>
      <w:r>
        <w:rPr>
          <w:sz w:val="24"/>
          <w:szCs w:val="24"/>
        </w:rPr>
        <w:t>Ongoing availability of Pathogen Reduction Technology (PRT) platelets</w:t>
      </w:r>
    </w:p>
    <w:p w14:paraId="1AAC37FD" w14:textId="77777777" w:rsidR="00800EF8" w:rsidRDefault="00800EF8" w:rsidP="00800EF8">
      <w:pPr>
        <w:pStyle w:val="ListParagraph"/>
        <w:numPr>
          <w:ilvl w:val="0"/>
          <w:numId w:val="2"/>
        </w:numPr>
        <w:spacing w:before="240" w:after="0" w:line="240" w:lineRule="auto"/>
        <w:rPr>
          <w:sz w:val="24"/>
          <w:szCs w:val="24"/>
        </w:rPr>
      </w:pPr>
      <w:r>
        <w:rPr>
          <w:b/>
          <w:bCs/>
          <w:color w:val="FF0000"/>
          <w:sz w:val="24"/>
          <w:szCs w:val="24"/>
        </w:rPr>
        <w:lastRenderedPageBreak/>
        <w:t>NOTE:</w:t>
      </w:r>
      <w:r>
        <w:rPr>
          <w:sz w:val="24"/>
          <w:szCs w:val="24"/>
        </w:rPr>
        <w:t xml:space="preserve"> </w:t>
      </w:r>
      <w:r>
        <w:rPr>
          <w:color w:val="FF0000"/>
          <w:sz w:val="24"/>
          <w:szCs w:val="24"/>
        </w:rPr>
        <w:t xml:space="preserve">As </w:t>
      </w:r>
      <w:proofErr w:type="spellStart"/>
      <w:r>
        <w:rPr>
          <w:color w:val="FF0000"/>
          <w:sz w:val="24"/>
          <w:szCs w:val="24"/>
        </w:rPr>
        <w:t>Vitalant</w:t>
      </w:r>
      <w:proofErr w:type="spellEnd"/>
      <w:r>
        <w:rPr>
          <w:color w:val="FF0000"/>
          <w:sz w:val="24"/>
          <w:szCs w:val="24"/>
        </w:rPr>
        <w:t xml:space="preserve"> implements LVDS 48-hour/7-day on a rolling basis across service areas, </w:t>
      </w:r>
      <w:r>
        <w:rPr>
          <w:color w:val="FF0000"/>
          <w:sz w:val="24"/>
          <w:szCs w:val="24"/>
          <w:u w:val="single"/>
        </w:rPr>
        <w:t>there may be a short period</w:t>
      </w:r>
      <w:r>
        <w:rPr>
          <w:color w:val="FF0000"/>
          <w:sz w:val="24"/>
          <w:szCs w:val="24"/>
        </w:rPr>
        <w:t xml:space="preserve"> where your facility </w:t>
      </w:r>
      <w:r>
        <w:rPr>
          <w:color w:val="FF0000"/>
          <w:sz w:val="24"/>
          <w:szCs w:val="24"/>
          <w:u w:val="single"/>
        </w:rPr>
        <w:t xml:space="preserve">receives a combination of </w:t>
      </w:r>
      <w:r>
        <w:rPr>
          <w:b/>
          <w:bCs/>
          <w:color w:val="FF0000"/>
          <w:sz w:val="24"/>
          <w:szCs w:val="24"/>
          <w:u w:val="single"/>
        </w:rPr>
        <w:t>conventional</w:t>
      </w:r>
      <w:r>
        <w:rPr>
          <w:color w:val="FF0000"/>
          <w:sz w:val="24"/>
          <w:szCs w:val="24"/>
        </w:rPr>
        <w:t xml:space="preserve"> (i.e., the single donor platelet product you have historically received from </w:t>
      </w:r>
      <w:proofErr w:type="spellStart"/>
      <w:r>
        <w:rPr>
          <w:color w:val="FF0000"/>
          <w:sz w:val="24"/>
          <w:szCs w:val="24"/>
        </w:rPr>
        <w:t>Vitalant</w:t>
      </w:r>
      <w:proofErr w:type="spellEnd"/>
      <w:r>
        <w:rPr>
          <w:color w:val="FF0000"/>
          <w:sz w:val="24"/>
          <w:szCs w:val="24"/>
        </w:rPr>
        <w:t xml:space="preserve">), </w:t>
      </w:r>
      <w:r>
        <w:rPr>
          <w:b/>
          <w:bCs/>
          <w:color w:val="FF0000"/>
          <w:sz w:val="24"/>
          <w:szCs w:val="24"/>
          <w:u w:val="single"/>
        </w:rPr>
        <w:t>LVDS</w:t>
      </w:r>
      <w:r>
        <w:rPr>
          <w:sz w:val="24"/>
          <w:szCs w:val="24"/>
        </w:rPr>
        <w:t xml:space="preserve"> </w:t>
      </w:r>
      <w:r>
        <w:rPr>
          <w:color w:val="FF0000"/>
          <w:sz w:val="24"/>
          <w:szCs w:val="24"/>
        </w:rPr>
        <w:t>(36-hour/</w:t>
      </w:r>
      <w:r>
        <w:rPr>
          <w:b/>
          <w:bCs/>
          <w:color w:val="FF0000"/>
          <w:sz w:val="24"/>
          <w:szCs w:val="24"/>
          <w:u w:val="single"/>
        </w:rPr>
        <w:t>5-day</w:t>
      </w:r>
      <w:r>
        <w:rPr>
          <w:color w:val="FF0000"/>
          <w:sz w:val="24"/>
          <w:szCs w:val="24"/>
        </w:rPr>
        <w:t xml:space="preserve"> and/or 48-hour/</w:t>
      </w:r>
      <w:r>
        <w:rPr>
          <w:b/>
          <w:bCs/>
          <w:color w:val="FF0000"/>
          <w:sz w:val="24"/>
          <w:szCs w:val="24"/>
          <w:u w:val="single"/>
        </w:rPr>
        <w:t>7-day</w:t>
      </w:r>
      <w:r>
        <w:rPr>
          <w:color w:val="FF0000"/>
          <w:sz w:val="24"/>
          <w:szCs w:val="24"/>
        </w:rPr>
        <w:t xml:space="preserve">, depending on licensure timing) and </w:t>
      </w:r>
      <w:r>
        <w:rPr>
          <w:b/>
          <w:bCs/>
          <w:color w:val="FF0000"/>
          <w:sz w:val="24"/>
          <w:szCs w:val="24"/>
          <w:u w:val="single"/>
        </w:rPr>
        <w:t>PRT</w:t>
      </w:r>
      <w:r>
        <w:rPr>
          <w:color w:val="FF0000"/>
          <w:sz w:val="24"/>
          <w:szCs w:val="24"/>
        </w:rPr>
        <w:t xml:space="preserve"> products. </w:t>
      </w:r>
      <w:r>
        <w:rPr>
          <w:sz w:val="24"/>
          <w:szCs w:val="24"/>
        </w:rPr>
        <w:t>As we become fully implemented, conventional products will no longer be available.</w:t>
      </w:r>
    </w:p>
    <w:p w14:paraId="5BEC934A" w14:textId="77777777" w:rsidR="00800EF8" w:rsidRDefault="00800EF8" w:rsidP="00800EF8">
      <w:pPr>
        <w:pStyle w:val="ListParagraph"/>
        <w:numPr>
          <w:ilvl w:val="0"/>
          <w:numId w:val="3"/>
        </w:numPr>
        <w:spacing w:before="240" w:after="0" w:line="240" w:lineRule="auto"/>
        <w:rPr>
          <w:color w:val="FF0000"/>
          <w:sz w:val="24"/>
          <w:szCs w:val="24"/>
        </w:rPr>
      </w:pPr>
      <w:r>
        <w:rPr>
          <w:color w:val="FF0000"/>
          <w:sz w:val="24"/>
          <w:szCs w:val="24"/>
        </w:rPr>
        <w:t xml:space="preserve">You will receive an additional </w:t>
      </w:r>
      <w:r>
        <w:rPr>
          <w:b/>
          <w:bCs/>
          <w:color w:val="FF0000"/>
          <w:sz w:val="24"/>
          <w:szCs w:val="24"/>
          <w:u w:val="single"/>
        </w:rPr>
        <w:t>notification via paper insert in your blood product shipping containers 7 days prior to the cutover</w:t>
      </w:r>
      <w:r>
        <w:rPr>
          <w:color w:val="FF0000"/>
          <w:sz w:val="24"/>
          <w:szCs w:val="24"/>
        </w:rPr>
        <w:t xml:space="preserve"> in the regional blood center that primarily serves your organization, as well as </w:t>
      </w:r>
      <w:r>
        <w:rPr>
          <w:b/>
          <w:bCs/>
          <w:color w:val="FF0000"/>
          <w:sz w:val="24"/>
          <w:szCs w:val="24"/>
          <w:u w:val="single"/>
        </w:rPr>
        <w:t>a reminder a day before you should expect to receive your first LVDS 48-hour/7-day platelets</w:t>
      </w:r>
      <w:r>
        <w:rPr>
          <w:color w:val="FF0000"/>
          <w:sz w:val="24"/>
          <w:szCs w:val="24"/>
        </w:rPr>
        <w:t xml:space="preserve">. – </w:t>
      </w:r>
      <w:r>
        <w:rPr>
          <w:b/>
          <w:bCs/>
          <w:color w:val="FF0000"/>
          <w:sz w:val="24"/>
          <w:szCs w:val="24"/>
          <w:u w:val="single"/>
        </w:rPr>
        <w:t>Please inform Supervisor/In-Charge CLS and manager when you receive the notification and reminder.</w:t>
      </w:r>
    </w:p>
    <w:p w14:paraId="50867572" w14:textId="77777777" w:rsidR="00800EF8" w:rsidRDefault="00800EF8" w:rsidP="00800EF8">
      <w:pPr>
        <w:spacing w:before="240"/>
        <w:ind w:left="1440"/>
        <w:rPr>
          <w:noProof/>
        </w:rPr>
      </w:pPr>
      <w:r>
        <w:rPr>
          <w:noProof/>
          <w:bdr w:val="single" w:sz="4" w:space="0" w:color="auto" w:frame="1"/>
        </w:rPr>
        <w:drawing>
          <wp:inline distT="0" distB="0" distL="0" distR="0" wp14:anchorId="1695AE63" wp14:editId="7D9A25BA">
            <wp:extent cx="3750945" cy="3577108"/>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6209" cy="3601201"/>
                    </a:xfrm>
                    <a:prstGeom prst="rect">
                      <a:avLst/>
                    </a:prstGeom>
                    <a:noFill/>
                    <a:ln>
                      <a:noFill/>
                    </a:ln>
                  </pic:spPr>
                </pic:pic>
              </a:graphicData>
            </a:graphic>
          </wp:inline>
        </w:drawing>
      </w:r>
      <w:r>
        <w:rPr>
          <w:noProof/>
        </w:rPr>
        <w:t xml:space="preserve">       </w:t>
      </w:r>
    </w:p>
    <w:p w14:paraId="1DDB686F" w14:textId="287D7D20" w:rsidR="00800EF8" w:rsidRDefault="00800EF8" w:rsidP="00800EF8">
      <w:pPr>
        <w:spacing w:before="240"/>
        <w:rPr>
          <w:noProof/>
        </w:rPr>
      </w:pPr>
      <w:r>
        <w:rPr>
          <w:noProof/>
        </w:rPr>
        <w:t xml:space="preserve">                      </w:t>
      </w:r>
      <w:r>
        <w:rPr>
          <w:noProof/>
          <w:bdr w:val="single" w:sz="4" w:space="0" w:color="auto" w:frame="1"/>
        </w:rPr>
        <w:drawing>
          <wp:inline distT="0" distB="0" distL="0" distR="0" wp14:anchorId="074FDB05" wp14:editId="0F39FEE7">
            <wp:extent cx="3659567" cy="3489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8488" cy="3527077"/>
                    </a:xfrm>
                    <a:prstGeom prst="rect">
                      <a:avLst/>
                    </a:prstGeom>
                    <a:noFill/>
                    <a:ln>
                      <a:noFill/>
                    </a:ln>
                  </pic:spPr>
                </pic:pic>
              </a:graphicData>
            </a:graphic>
          </wp:inline>
        </w:drawing>
      </w:r>
    </w:p>
    <w:p w14:paraId="71360386" w14:textId="77777777" w:rsidR="00800EF8" w:rsidRDefault="00800EF8" w:rsidP="00800EF8">
      <w:pPr>
        <w:spacing w:before="240"/>
        <w:rPr>
          <w:rFonts w:ascii="Times New Roman" w:hAnsi="Times New Roman"/>
          <w:color w:val="1F3864" w:themeColor="accent1" w:themeShade="80"/>
          <w:szCs w:val="22"/>
        </w:rPr>
      </w:pPr>
    </w:p>
    <w:p w14:paraId="2B130CE5" w14:textId="77777777" w:rsidR="00800EF8" w:rsidRDefault="00800EF8" w:rsidP="00800EF8">
      <w:pPr>
        <w:spacing w:before="240"/>
        <w:ind w:left="1440"/>
        <w:rPr>
          <w:rFonts w:ascii="Times New Roman" w:hAnsi="Times New Roman"/>
          <w:color w:val="1F3864" w:themeColor="accent1" w:themeShade="80"/>
          <w:szCs w:val="22"/>
        </w:rPr>
      </w:pPr>
      <w:r w:rsidRPr="00800EF8">
        <w:rPr>
          <w:noProof/>
          <w:bdr w:val="single" w:sz="4" w:space="0" w:color="auto"/>
        </w:rPr>
        <w:drawing>
          <wp:inline distT="0" distB="0" distL="0" distR="0" wp14:anchorId="1D91F422" wp14:editId="20E9EBD5">
            <wp:extent cx="4152900" cy="3939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939540"/>
                    </a:xfrm>
                    <a:prstGeom prst="rect">
                      <a:avLst/>
                    </a:prstGeom>
                    <a:noFill/>
                    <a:ln>
                      <a:noFill/>
                    </a:ln>
                  </pic:spPr>
                </pic:pic>
              </a:graphicData>
            </a:graphic>
          </wp:inline>
        </w:drawing>
      </w:r>
    </w:p>
    <w:p w14:paraId="51C1EB4F" w14:textId="77777777" w:rsidR="00800EF8" w:rsidRDefault="00800EF8" w:rsidP="00800EF8">
      <w:pPr>
        <w:spacing w:before="240"/>
        <w:ind w:left="720"/>
        <w:rPr>
          <w:rFonts w:ascii="Times New Roman" w:hAnsi="Times New Roman"/>
          <w:color w:val="1F3864" w:themeColor="accent1" w:themeShade="80"/>
          <w:szCs w:val="22"/>
        </w:rPr>
      </w:pPr>
    </w:p>
    <w:p w14:paraId="0542290B" w14:textId="14E28982" w:rsidR="00800EF8" w:rsidRDefault="00800EF8" w:rsidP="00800EF8">
      <w:pPr>
        <w:spacing w:before="240"/>
        <w:ind w:left="720"/>
        <w:rPr>
          <w:rFonts w:ascii="Times New Roman" w:hAnsi="Times New Roman"/>
          <w:color w:val="1F3864" w:themeColor="accent1" w:themeShade="80"/>
          <w:szCs w:val="22"/>
        </w:rPr>
      </w:pPr>
      <w:r>
        <w:rPr>
          <w:rFonts w:ascii="Times New Roman" w:hAnsi="Times New Roman"/>
          <w:color w:val="1F3864" w:themeColor="accent1" w:themeShade="80"/>
          <w:szCs w:val="22"/>
        </w:rPr>
        <w:tab/>
      </w:r>
      <w:r>
        <w:rPr>
          <w:noProof/>
        </w:rPr>
        <w:drawing>
          <wp:inline distT="0" distB="0" distL="0" distR="0" wp14:anchorId="034F815D" wp14:editId="2AD0A067">
            <wp:extent cx="4236720" cy="36328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2454" cy="3646379"/>
                    </a:xfrm>
                    <a:prstGeom prst="rect">
                      <a:avLst/>
                    </a:prstGeom>
                    <a:noFill/>
                    <a:ln>
                      <a:noFill/>
                    </a:ln>
                  </pic:spPr>
                </pic:pic>
              </a:graphicData>
            </a:graphic>
          </wp:inline>
        </w:drawing>
      </w:r>
    </w:p>
    <w:p w14:paraId="562D3FBF" w14:textId="6836F47B" w:rsidR="00800EF8" w:rsidRDefault="009B35EB" w:rsidP="009B35EB">
      <w:pPr>
        <w:spacing w:before="240"/>
        <w:rPr>
          <w:rFonts w:ascii="Times New Roman" w:hAnsi="Times New Roman"/>
          <w:color w:val="1F3864" w:themeColor="accent1" w:themeShade="80"/>
          <w:szCs w:val="22"/>
        </w:rPr>
      </w:pPr>
      <w:r>
        <w:rPr>
          <w:noProof/>
        </w:rPr>
        <w:lastRenderedPageBreak/>
        <w:drawing>
          <wp:inline distT="0" distB="0" distL="0" distR="0" wp14:anchorId="1F4E01BB" wp14:editId="40AA6799">
            <wp:extent cx="6858000" cy="5177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5177790"/>
                    </a:xfrm>
                    <a:prstGeom prst="rect">
                      <a:avLst/>
                    </a:prstGeom>
                  </pic:spPr>
                </pic:pic>
              </a:graphicData>
            </a:graphic>
          </wp:inline>
        </w:drawing>
      </w:r>
    </w:p>
    <w:p w14:paraId="152B63CA" w14:textId="70B6DC7F" w:rsidR="00AE4587" w:rsidRDefault="00AE4587"/>
    <w:p w14:paraId="2D972AE3" w14:textId="77777777" w:rsidR="00736E18" w:rsidRPr="00376278" w:rsidRDefault="00736E18" w:rsidP="00736E18">
      <w:pPr>
        <w:autoSpaceDE w:val="0"/>
        <w:autoSpaceDN w:val="0"/>
        <w:adjustRightInd w:val="0"/>
        <w:ind w:left="720"/>
        <w:rPr>
          <w:rFonts w:ascii="Arial" w:hAnsi="Arial" w:cs="Arial"/>
          <w:color w:val="FF0000"/>
        </w:rPr>
      </w:pPr>
      <w:r w:rsidRPr="00376278">
        <w:rPr>
          <w:rFonts w:ascii="Arial" w:hAnsi="Arial" w:cs="Arial"/>
          <w:color w:val="FF0000"/>
        </w:rPr>
        <w:t>• Contraindications for PRT platelets:</w:t>
      </w:r>
    </w:p>
    <w:p w14:paraId="1B5514D8" w14:textId="77777777" w:rsidR="00736E18" w:rsidRPr="00376278" w:rsidRDefault="00736E18" w:rsidP="00736E18">
      <w:pPr>
        <w:pStyle w:val="ListParagraph"/>
        <w:numPr>
          <w:ilvl w:val="0"/>
          <w:numId w:val="4"/>
        </w:numPr>
        <w:autoSpaceDE w:val="0"/>
        <w:autoSpaceDN w:val="0"/>
        <w:adjustRightInd w:val="0"/>
        <w:spacing w:after="0"/>
        <w:ind w:left="1440"/>
        <w:rPr>
          <w:color w:val="FF0000"/>
          <w:sz w:val="24"/>
          <w:szCs w:val="24"/>
        </w:rPr>
      </w:pPr>
      <w:r w:rsidRPr="00376278">
        <w:rPr>
          <w:color w:val="FF0000"/>
          <w:sz w:val="24"/>
          <w:szCs w:val="24"/>
        </w:rPr>
        <w:t xml:space="preserve">Patients with a history of hypersensitivity reactions to </w:t>
      </w:r>
      <w:proofErr w:type="spellStart"/>
      <w:r w:rsidRPr="00376278">
        <w:rPr>
          <w:color w:val="FF0000"/>
          <w:sz w:val="24"/>
          <w:szCs w:val="24"/>
        </w:rPr>
        <w:t>amotosalen</w:t>
      </w:r>
      <w:proofErr w:type="spellEnd"/>
      <w:r w:rsidRPr="00376278">
        <w:rPr>
          <w:color w:val="FF0000"/>
          <w:sz w:val="24"/>
          <w:szCs w:val="24"/>
        </w:rPr>
        <w:t xml:space="preserve"> or other psoralens</w:t>
      </w:r>
    </w:p>
    <w:p w14:paraId="2A0D55CC" w14:textId="77777777" w:rsidR="00736E18" w:rsidRPr="00376278" w:rsidRDefault="00736E18" w:rsidP="00736E18">
      <w:pPr>
        <w:pStyle w:val="ListParagraph"/>
        <w:numPr>
          <w:ilvl w:val="1"/>
          <w:numId w:val="4"/>
        </w:numPr>
        <w:autoSpaceDE w:val="0"/>
        <w:autoSpaceDN w:val="0"/>
        <w:adjustRightInd w:val="0"/>
        <w:spacing w:after="0"/>
        <w:ind w:left="1800"/>
        <w:rPr>
          <w:sz w:val="24"/>
          <w:szCs w:val="24"/>
        </w:rPr>
      </w:pPr>
      <w:r w:rsidRPr="00376278">
        <w:rPr>
          <w:sz w:val="24"/>
          <w:szCs w:val="24"/>
        </w:rPr>
        <w:t>PRT platelets have been approved in Europe since 2002 and in the United</w:t>
      </w:r>
    </w:p>
    <w:p w14:paraId="5CA136D8"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States since 2014.</w:t>
      </w:r>
    </w:p>
    <w:p w14:paraId="2FC1DE1A" w14:textId="77777777" w:rsidR="00736E18" w:rsidRPr="00376278" w:rsidRDefault="00736E18" w:rsidP="00736E18">
      <w:pPr>
        <w:pStyle w:val="ListParagraph"/>
        <w:numPr>
          <w:ilvl w:val="1"/>
          <w:numId w:val="4"/>
        </w:numPr>
        <w:autoSpaceDE w:val="0"/>
        <w:autoSpaceDN w:val="0"/>
        <w:adjustRightInd w:val="0"/>
        <w:spacing w:after="0"/>
        <w:ind w:left="1800"/>
        <w:rPr>
          <w:sz w:val="24"/>
          <w:szCs w:val="24"/>
        </w:rPr>
      </w:pPr>
      <w:r w:rsidRPr="00376278">
        <w:rPr>
          <w:sz w:val="24"/>
          <w:szCs w:val="24"/>
        </w:rPr>
        <w:t xml:space="preserve">No cases of psoralen or </w:t>
      </w:r>
      <w:proofErr w:type="spellStart"/>
      <w:r w:rsidRPr="00376278">
        <w:rPr>
          <w:sz w:val="24"/>
          <w:szCs w:val="24"/>
        </w:rPr>
        <w:t>amotosalen</w:t>
      </w:r>
      <w:proofErr w:type="spellEnd"/>
      <w:r w:rsidRPr="00376278">
        <w:rPr>
          <w:sz w:val="24"/>
          <w:szCs w:val="24"/>
        </w:rPr>
        <w:t xml:space="preserve"> hypersensitivity have been reported</w:t>
      </w:r>
    </w:p>
    <w:p w14:paraId="3B7258EC"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after millions of PRT transfusions.</w:t>
      </w:r>
    </w:p>
    <w:p w14:paraId="2CCA2888" w14:textId="77777777" w:rsidR="00736E18" w:rsidRPr="00376278" w:rsidRDefault="00736E18" w:rsidP="00736E18">
      <w:pPr>
        <w:pStyle w:val="ListParagraph"/>
        <w:numPr>
          <w:ilvl w:val="0"/>
          <w:numId w:val="4"/>
        </w:numPr>
        <w:autoSpaceDE w:val="0"/>
        <w:autoSpaceDN w:val="0"/>
        <w:adjustRightInd w:val="0"/>
        <w:spacing w:after="0"/>
        <w:ind w:left="1440"/>
        <w:rPr>
          <w:color w:val="FF0000"/>
          <w:sz w:val="24"/>
          <w:szCs w:val="24"/>
        </w:rPr>
      </w:pPr>
      <w:r w:rsidRPr="00376278">
        <w:rPr>
          <w:color w:val="FF0000"/>
          <w:sz w:val="24"/>
          <w:szCs w:val="24"/>
        </w:rPr>
        <w:t>Neonatal patients treated with phototherapy devices that emit a peak energy</w:t>
      </w:r>
    </w:p>
    <w:p w14:paraId="6281B83B" w14:textId="77777777" w:rsidR="00736E18" w:rsidRPr="00376278" w:rsidRDefault="00736E18" w:rsidP="00736E18">
      <w:pPr>
        <w:pStyle w:val="ListParagraph"/>
        <w:autoSpaceDE w:val="0"/>
        <w:autoSpaceDN w:val="0"/>
        <w:adjustRightInd w:val="0"/>
        <w:spacing w:after="0"/>
        <w:ind w:left="1440"/>
        <w:rPr>
          <w:color w:val="FF0000"/>
          <w:sz w:val="24"/>
          <w:szCs w:val="24"/>
        </w:rPr>
      </w:pPr>
      <w:r w:rsidRPr="00376278">
        <w:rPr>
          <w:color w:val="FF0000"/>
          <w:sz w:val="24"/>
          <w:szCs w:val="24"/>
        </w:rPr>
        <w:t>wavelength less than 425 nm, or have a lower bound of the emission bandwidth less</w:t>
      </w:r>
    </w:p>
    <w:p w14:paraId="25858C92" w14:textId="77777777" w:rsidR="00736E18" w:rsidRPr="00376278" w:rsidRDefault="00736E18" w:rsidP="00736E18">
      <w:pPr>
        <w:pStyle w:val="ListParagraph"/>
        <w:autoSpaceDE w:val="0"/>
        <w:autoSpaceDN w:val="0"/>
        <w:adjustRightInd w:val="0"/>
        <w:spacing w:after="0"/>
        <w:ind w:left="1440"/>
        <w:rPr>
          <w:color w:val="FF0000"/>
          <w:sz w:val="24"/>
          <w:szCs w:val="24"/>
        </w:rPr>
      </w:pPr>
      <w:r w:rsidRPr="00376278">
        <w:rPr>
          <w:color w:val="FF0000"/>
          <w:sz w:val="24"/>
          <w:szCs w:val="24"/>
        </w:rPr>
        <w:t>than 375 nm</w:t>
      </w:r>
    </w:p>
    <w:p w14:paraId="0F6E8E6A" w14:textId="77777777" w:rsidR="00736E18" w:rsidRPr="00376278" w:rsidRDefault="00736E18" w:rsidP="00736E18">
      <w:pPr>
        <w:pStyle w:val="ListParagraph"/>
        <w:numPr>
          <w:ilvl w:val="0"/>
          <w:numId w:val="5"/>
        </w:numPr>
        <w:autoSpaceDE w:val="0"/>
        <w:autoSpaceDN w:val="0"/>
        <w:adjustRightInd w:val="0"/>
        <w:spacing w:after="0"/>
        <w:ind w:left="1800"/>
        <w:rPr>
          <w:sz w:val="24"/>
          <w:szCs w:val="24"/>
        </w:rPr>
      </w:pPr>
      <w:r w:rsidRPr="00376278">
        <w:rPr>
          <w:sz w:val="24"/>
          <w:szCs w:val="24"/>
        </w:rPr>
        <w:t>The American Academy of Pediatrics-Clinical Practice Guidelines</w:t>
      </w:r>
    </w:p>
    <w:p w14:paraId="1F5A3607"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recommend a spectrum between 430-490 nm for intensive phototherapy;</w:t>
      </w:r>
    </w:p>
    <w:p w14:paraId="62D762E3"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which is outside of the bounds of the listed PRT contraindication. None of the</w:t>
      </w:r>
    </w:p>
    <w:p w14:paraId="7BF98F14"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neonatal phototherapy devices currently approved for market in the U.S. emit</w:t>
      </w:r>
    </w:p>
    <w:p w14:paraId="2FF2F2B2"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a peak wavelength below 425 nm, and/or a lower bound of the emission</w:t>
      </w:r>
    </w:p>
    <w:p w14:paraId="16555708"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bandwidth less than 375 nm.</w:t>
      </w:r>
    </w:p>
    <w:p w14:paraId="62F88281" w14:textId="77777777" w:rsidR="00736E18" w:rsidRPr="00376278" w:rsidRDefault="00736E18" w:rsidP="00736E18">
      <w:pPr>
        <w:pStyle w:val="ListParagraph"/>
        <w:numPr>
          <w:ilvl w:val="0"/>
          <w:numId w:val="5"/>
        </w:numPr>
        <w:autoSpaceDE w:val="0"/>
        <w:autoSpaceDN w:val="0"/>
        <w:adjustRightInd w:val="0"/>
        <w:spacing w:after="0"/>
        <w:ind w:left="1800"/>
        <w:rPr>
          <w:sz w:val="24"/>
          <w:szCs w:val="24"/>
        </w:rPr>
      </w:pPr>
      <w:r w:rsidRPr="00376278">
        <w:rPr>
          <w:sz w:val="24"/>
          <w:szCs w:val="24"/>
        </w:rPr>
        <w:t xml:space="preserve">No photosensitivity reactions have been reported in neonates undergoing </w:t>
      </w:r>
    </w:p>
    <w:p w14:paraId="72B37C55" w14:textId="77777777" w:rsidR="00736E18" w:rsidRPr="00376278" w:rsidRDefault="00736E18" w:rsidP="00736E18">
      <w:pPr>
        <w:pStyle w:val="ListParagraph"/>
        <w:autoSpaceDE w:val="0"/>
        <w:autoSpaceDN w:val="0"/>
        <w:adjustRightInd w:val="0"/>
        <w:spacing w:after="0"/>
        <w:ind w:left="1800"/>
        <w:rPr>
          <w:sz w:val="24"/>
          <w:szCs w:val="24"/>
        </w:rPr>
      </w:pPr>
      <w:r w:rsidRPr="00376278">
        <w:rPr>
          <w:sz w:val="24"/>
          <w:szCs w:val="24"/>
        </w:rPr>
        <w:t>phototherapy who have received PRT platelets.</w:t>
      </w:r>
    </w:p>
    <w:p w14:paraId="3235F371" w14:textId="3A34AFD5" w:rsidR="00736E18" w:rsidRPr="00376278" w:rsidRDefault="00736E18"/>
    <w:p w14:paraId="124A408B" w14:textId="459AD6E2" w:rsidR="00EF342F" w:rsidRPr="00376278" w:rsidRDefault="00EF342F"/>
    <w:p w14:paraId="69E441CA" w14:textId="77777777" w:rsidR="00EF342F" w:rsidRPr="00376278" w:rsidRDefault="00EF342F" w:rsidP="00EF342F">
      <w:pPr>
        <w:autoSpaceDE w:val="0"/>
        <w:autoSpaceDN w:val="0"/>
        <w:adjustRightInd w:val="0"/>
        <w:ind w:left="720"/>
        <w:rPr>
          <w:rFonts w:ascii="ArialMT" w:hAnsi="ArialMT" w:cs="ArialMT"/>
          <w:color w:val="auto"/>
        </w:rPr>
      </w:pPr>
      <w:r w:rsidRPr="00376278">
        <w:rPr>
          <w:rFonts w:ascii="SymbolMT" w:hAnsi="SymbolMT" w:cs="SymbolMT"/>
          <w:color w:val="auto"/>
        </w:rPr>
        <w:t xml:space="preserve">• </w:t>
      </w:r>
      <w:r w:rsidRPr="00376278">
        <w:rPr>
          <w:rFonts w:ascii="ArialMT" w:hAnsi="ArialMT" w:cs="ArialMT"/>
          <w:color w:val="auto"/>
        </w:rPr>
        <w:t>The contraindications for PRT platelets are generally not applicable for the vast</w:t>
      </w:r>
    </w:p>
    <w:p w14:paraId="74BCC3DD" w14:textId="77777777" w:rsidR="00EF342F" w:rsidRPr="00376278" w:rsidRDefault="00EF342F" w:rsidP="00EF342F">
      <w:pPr>
        <w:ind w:left="720"/>
        <w:rPr>
          <w:rFonts w:ascii="Arial" w:hAnsi="Arial" w:cs="Arial"/>
          <w:color w:val="FF0000"/>
        </w:rPr>
      </w:pPr>
      <w:r w:rsidRPr="00376278">
        <w:rPr>
          <w:rFonts w:ascii="ArialMT" w:hAnsi="ArialMT" w:cs="ArialMT"/>
          <w:color w:val="auto"/>
        </w:rPr>
        <w:t xml:space="preserve">   majority of patients.</w:t>
      </w:r>
    </w:p>
    <w:p w14:paraId="60327364" w14:textId="77777777" w:rsidR="00EF342F" w:rsidRDefault="00EF342F"/>
    <w:sectPr w:rsidR="00EF342F" w:rsidSect="00E9756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5EFE"/>
    <w:multiLevelType w:val="hybridMultilevel"/>
    <w:tmpl w:val="1AF81DA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09B2340A"/>
    <w:multiLevelType w:val="hybridMultilevel"/>
    <w:tmpl w:val="AE3A866C"/>
    <w:lvl w:ilvl="0" w:tplc="3BD0248A">
      <w:start w:val="1"/>
      <w:numFmt w:val="decimal"/>
      <w:lvlText w:val="%1."/>
      <w:lvlJc w:val="left"/>
      <w:pPr>
        <w:ind w:left="792" w:hanging="360"/>
      </w:pPr>
      <w:rPr>
        <w:b w:val="0"/>
        <w:bCs w:val="0"/>
        <w:color w:val="000000"/>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3F7531CB"/>
    <w:multiLevelType w:val="hybridMultilevel"/>
    <w:tmpl w:val="52C4BE84"/>
    <w:lvl w:ilvl="0" w:tplc="97949A84">
      <w:numFmt w:val="bullet"/>
      <w:lvlText w:val=""/>
      <w:lvlJc w:val="left"/>
      <w:pPr>
        <w:ind w:left="768" w:hanging="408"/>
      </w:pPr>
      <w:rPr>
        <w:rFonts w:ascii="Symbol" w:eastAsiaTheme="minorHAnsi" w:hAnsi="Symbol" w:cs="Arial"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2727A4"/>
    <w:multiLevelType w:val="hybridMultilevel"/>
    <w:tmpl w:val="170C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482A55"/>
    <w:multiLevelType w:val="hybridMultilevel"/>
    <w:tmpl w:val="72548B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E"/>
    <w:rsid w:val="00376278"/>
    <w:rsid w:val="003D3584"/>
    <w:rsid w:val="004C7DD9"/>
    <w:rsid w:val="006B101E"/>
    <w:rsid w:val="00736E18"/>
    <w:rsid w:val="00800EF8"/>
    <w:rsid w:val="009B35EB"/>
    <w:rsid w:val="00AE4587"/>
    <w:rsid w:val="00B66C09"/>
    <w:rsid w:val="00BF0A62"/>
    <w:rsid w:val="00C70A8F"/>
    <w:rsid w:val="00DC604C"/>
    <w:rsid w:val="00E9756E"/>
    <w:rsid w:val="00EF342F"/>
    <w:rsid w:val="00F2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4796"/>
  <w15:chartTrackingRefBased/>
  <w15:docId w15:val="{797B4901-5ED4-4AE8-8D48-1AE280B2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F8"/>
    <w:pPr>
      <w:spacing w:after="0" w:line="240" w:lineRule="auto"/>
    </w:pPr>
    <w:rPr>
      <w:rFonts w:ascii="Trebuchet MS" w:hAnsi="Trebuchet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EF8"/>
    <w:rPr>
      <w:color w:val="009999"/>
      <w:u w:val="single"/>
    </w:rPr>
  </w:style>
  <w:style w:type="paragraph" w:styleId="ListParagraph">
    <w:name w:val="List Paragraph"/>
    <w:basedOn w:val="Normal"/>
    <w:uiPriority w:val="34"/>
    <w:qFormat/>
    <w:rsid w:val="00800EF8"/>
    <w:pPr>
      <w:spacing w:after="160" w:line="254" w:lineRule="auto"/>
      <w:ind w:left="720"/>
    </w:pPr>
    <w:rPr>
      <w:rFonts w:ascii="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4865">
      <w:bodyDiv w:val="1"/>
      <w:marLeft w:val="0"/>
      <w:marRight w:val="0"/>
      <w:marTop w:val="0"/>
      <w:marBottom w:val="0"/>
      <w:divBdr>
        <w:top w:val="none" w:sz="0" w:space="0" w:color="auto"/>
        <w:left w:val="none" w:sz="0" w:space="0" w:color="auto"/>
        <w:bottom w:val="none" w:sz="0" w:space="0" w:color="auto"/>
        <w:right w:val="none" w:sz="0" w:space="0" w:color="auto"/>
      </w:divBdr>
    </w:div>
    <w:div w:id="885875774">
      <w:bodyDiv w:val="1"/>
      <w:marLeft w:val="0"/>
      <w:marRight w:val="0"/>
      <w:marTop w:val="0"/>
      <w:marBottom w:val="0"/>
      <w:divBdr>
        <w:top w:val="none" w:sz="0" w:space="0" w:color="auto"/>
        <w:left w:val="none" w:sz="0" w:space="0" w:color="auto"/>
        <w:bottom w:val="none" w:sz="0" w:space="0" w:color="auto"/>
        <w:right w:val="none" w:sz="0" w:space="0" w:color="auto"/>
      </w:divBdr>
    </w:div>
    <w:div w:id="999581107">
      <w:bodyDiv w:val="1"/>
      <w:marLeft w:val="0"/>
      <w:marRight w:val="0"/>
      <w:marTop w:val="0"/>
      <w:marBottom w:val="0"/>
      <w:divBdr>
        <w:top w:val="none" w:sz="0" w:space="0" w:color="auto"/>
        <w:left w:val="none" w:sz="0" w:space="0" w:color="auto"/>
        <w:bottom w:val="none" w:sz="0" w:space="0" w:color="auto"/>
        <w:right w:val="none" w:sz="0" w:space="0" w:color="auto"/>
      </w:divBdr>
    </w:div>
    <w:div w:id="1016618365">
      <w:bodyDiv w:val="1"/>
      <w:marLeft w:val="0"/>
      <w:marRight w:val="0"/>
      <w:marTop w:val="0"/>
      <w:marBottom w:val="0"/>
      <w:divBdr>
        <w:top w:val="none" w:sz="0" w:space="0" w:color="auto"/>
        <w:left w:val="none" w:sz="0" w:space="0" w:color="auto"/>
        <w:bottom w:val="none" w:sz="0" w:space="0" w:color="auto"/>
        <w:right w:val="none" w:sz="0" w:space="0" w:color="auto"/>
      </w:divBdr>
    </w:div>
    <w:div w:id="1026324629">
      <w:bodyDiv w:val="1"/>
      <w:marLeft w:val="0"/>
      <w:marRight w:val="0"/>
      <w:marTop w:val="0"/>
      <w:marBottom w:val="0"/>
      <w:divBdr>
        <w:top w:val="none" w:sz="0" w:space="0" w:color="auto"/>
        <w:left w:val="none" w:sz="0" w:space="0" w:color="auto"/>
        <w:bottom w:val="none" w:sz="0" w:space="0" w:color="auto"/>
        <w:right w:val="none" w:sz="0" w:space="0" w:color="auto"/>
      </w:divBdr>
    </w:div>
    <w:div w:id="20419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cept-usa.com/what-is-intercept/how-intercept-works/" TargetMode="External"/><Relationship Id="rId11" Type="http://schemas.openxmlformats.org/officeDocument/2006/relationships/image" Target="media/image5.png"/><Relationship Id="rId5" Type="http://schemas.openxmlformats.org/officeDocument/2006/relationships/hyperlink" Target="https://urldefense.com/v3/__https:/www.fda.gov/regulatory-information/search-fda-guidance-documents/bacterial-risk-control-strategies-blood-collection-establishments-and-transfusion-services-enhance__;!!BZ50a36bapWJ!76dcKU9VhXLXvJxMu6CH48T2aZlKaUQ89o3lSoTvdrrLgawnMYxv41dLv9A0SQ$"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H.Lim</dc:creator>
  <cp:keywords/>
  <dc:description/>
  <cp:lastModifiedBy>Cara H.Lim</cp:lastModifiedBy>
  <cp:revision>12</cp:revision>
  <dcterms:created xsi:type="dcterms:W3CDTF">2021-07-08T19:05:00Z</dcterms:created>
  <dcterms:modified xsi:type="dcterms:W3CDTF">2021-07-08T23:10:00Z</dcterms:modified>
</cp:coreProperties>
</file>