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header2.xml" ContentType="application/vnd.openxmlformats-officedocument.wordprocessingml.header+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2760"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PURPOSE</w:t>
      </w:r>
    </w:p>
    <w:p w14:paraId="5A18573B" w14:textId="61F8517C" w:rsidR="001D3BE5" w:rsidRPr="00220F55" w:rsidRDefault="003834A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procedure provides instructions </w:t>
      </w:r>
      <w:r w:rsidR="00A220E2">
        <w:rPr>
          <w:rFonts w:ascii="Times New Roman" w:hAnsi="Times New Roman" w:cs="Times New Roman"/>
          <w:color w:val="000000"/>
          <w:sz w:val="24"/>
          <w:szCs w:val="24"/>
        </w:rPr>
        <w:t>for</w:t>
      </w:r>
      <w:r w:rsidR="00B843B0" w:rsidRPr="00220F55">
        <w:rPr>
          <w:rFonts w:ascii="Times New Roman" w:hAnsi="Times New Roman" w:cs="Times New Roman"/>
          <w:color w:val="000000"/>
          <w:sz w:val="24"/>
          <w:szCs w:val="24"/>
        </w:rPr>
        <w:t xml:space="preserve"> test</w:t>
      </w:r>
      <w:r w:rsidR="00A220E2">
        <w:rPr>
          <w:rFonts w:ascii="Times New Roman" w:hAnsi="Times New Roman" w:cs="Times New Roman"/>
          <w:color w:val="000000"/>
          <w:sz w:val="24"/>
          <w:szCs w:val="24"/>
        </w:rPr>
        <w:t>ing</w:t>
      </w:r>
      <w:r w:rsidR="00B843B0" w:rsidRPr="00220F55">
        <w:rPr>
          <w:rFonts w:ascii="Times New Roman" w:hAnsi="Times New Roman" w:cs="Times New Roman"/>
          <w:color w:val="000000"/>
          <w:sz w:val="24"/>
          <w:szCs w:val="24"/>
        </w:rPr>
        <w:t xml:space="preserve"> the red cell antigen(s) of a patient in antibody identification or test</w:t>
      </w:r>
      <w:r w:rsidR="00A220E2">
        <w:rPr>
          <w:rFonts w:ascii="Times New Roman" w:hAnsi="Times New Roman" w:cs="Times New Roman"/>
          <w:color w:val="000000"/>
          <w:sz w:val="24"/>
          <w:szCs w:val="24"/>
        </w:rPr>
        <w:t>ing of</w:t>
      </w:r>
      <w:r w:rsidR="00B843B0" w:rsidRPr="00220F55">
        <w:rPr>
          <w:rFonts w:ascii="Times New Roman" w:hAnsi="Times New Roman" w:cs="Times New Roman"/>
          <w:color w:val="000000"/>
          <w:sz w:val="24"/>
          <w:szCs w:val="24"/>
        </w:rPr>
        <w:t xml:space="preserve"> donor red cell antigen(s) when selecting antigen negative units for a patient with history of clinically significant antibodies. </w:t>
      </w:r>
      <w:r>
        <w:rPr>
          <w:rFonts w:ascii="Times New Roman" w:hAnsi="Times New Roman" w:cs="Times New Roman"/>
          <w:color w:val="000000"/>
          <w:sz w:val="24"/>
          <w:szCs w:val="24"/>
        </w:rPr>
        <w:t xml:space="preserve"> </w:t>
      </w:r>
      <w:r w:rsidR="00B843B0" w:rsidRPr="00220F55">
        <w:rPr>
          <w:rFonts w:ascii="Times New Roman" w:hAnsi="Times New Roman" w:cs="Times New Roman"/>
          <w:color w:val="000000"/>
          <w:sz w:val="24"/>
          <w:szCs w:val="24"/>
        </w:rPr>
        <w:t xml:space="preserve">Patient makes alloantibody to the antigen they are lacking.  Antigen typing of the patient is to confirm the antibody identification or to rule out alloantibody when the patient tests positive for the corresponding antigen.  </w:t>
      </w:r>
    </w:p>
    <w:p w14:paraId="72D7459A" w14:textId="77777777" w:rsidR="001D3BE5" w:rsidRPr="00220F55" w:rsidRDefault="001D3BE5">
      <w:pPr>
        <w:widowControl w:val="0"/>
        <w:autoSpaceDE w:val="0"/>
        <w:autoSpaceDN w:val="0"/>
        <w:adjustRightInd w:val="0"/>
        <w:spacing w:after="0" w:line="240" w:lineRule="auto"/>
        <w:rPr>
          <w:rFonts w:ascii="Times New Roman" w:hAnsi="Times New Roman" w:cs="Times New Roman"/>
          <w:color w:val="000000"/>
          <w:sz w:val="24"/>
          <w:szCs w:val="24"/>
        </w:rPr>
      </w:pPr>
    </w:p>
    <w:p w14:paraId="4796169D"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REAGENTS</w:t>
      </w:r>
    </w:p>
    <w:p w14:paraId="63EE4DA4"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Anti-sera</w:t>
      </w:r>
    </w:p>
    <w:p w14:paraId="482566CB"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Anti-IgG anti human globulin</w:t>
      </w:r>
    </w:p>
    <w:p w14:paraId="5DE547E5"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C.</w:t>
      </w:r>
      <w:r w:rsidRPr="00220F55">
        <w:rPr>
          <w:rFonts w:ascii="Times New Roman" w:hAnsi="Times New Roman" w:cs="Times New Roman"/>
          <w:color w:val="000000"/>
          <w:sz w:val="24"/>
          <w:szCs w:val="24"/>
        </w:rPr>
        <w:tab/>
        <w:t>IgG coated Coombs control cells</w:t>
      </w:r>
    </w:p>
    <w:p w14:paraId="40040757" w14:textId="77777777" w:rsidR="001D3BE5" w:rsidRPr="00220F55" w:rsidRDefault="001D3BE5">
      <w:pPr>
        <w:widowControl w:val="0"/>
        <w:autoSpaceDE w:val="0"/>
        <w:autoSpaceDN w:val="0"/>
        <w:adjustRightInd w:val="0"/>
        <w:spacing w:after="0" w:line="240" w:lineRule="auto"/>
        <w:rPr>
          <w:rFonts w:ascii="Times New Roman" w:hAnsi="Times New Roman" w:cs="Times New Roman"/>
          <w:color w:val="000000"/>
          <w:sz w:val="24"/>
          <w:szCs w:val="24"/>
        </w:rPr>
      </w:pPr>
    </w:p>
    <w:p w14:paraId="759A64B3"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EQUIPMENT</w:t>
      </w:r>
    </w:p>
    <w:p w14:paraId="3F162DE6"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12 x 75 mm Tubes</w:t>
      </w:r>
    </w:p>
    <w:p w14:paraId="50EBA898"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Transfer pipettes</w:t>
      </w:r>
    </w:p>
    <w:p w14:paraId="7BAFB977"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C.</w:t>
      </w:r>
      <w:r w:rsidRPr="00220F55">
        <w:rPr>
          <w:rFonts w:ascii="Times New Roman" w:hAnsi="Times New Roman" w:cs="Times New Roman"/>
          <w:color w:val="000000"/>
          <w:sz w:val="24"/>
          <w:szCs w:val="24"/>
        </w:rPr>
        <w:tab/>
        <w:t>Heat block</w:t>
      </w:r>
    </w:p>
    <w:p w14:paraId="1F6AF9CD"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D.</w:t>
      </w:r>
      <w:r w:rsidRPr="00220F55">
        <w:rPr>
          <w:rFonts w:ascii="Times New Roman" w:hAnsi="Times New Roman" w:cs="Times New Roman"/>
          <w:color w:val="000000"/>
          <w:sz w:val="24"/>
          <w:szCs w:val="24"/>
        </w:rPr>
        <w:tab/>
        <w:t xml:space="preserve">Centrifuge </w:t>
      </w:r>
    </w:p>
    <w:p w14:paraId="65FDF2C8"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E.</w:t>
      </w:r>
      <w:r w:rsidRPr="00220F55">
        <w:rPr>
          <w:rFonts w:ascii="Times New Roman" w:hAnsi="Times New Roman" w:cs="Times New Roman"/>
          <w:color w:val="000000"/>
          <w:sz w:val="24"/>
          <w:szCs w:val="24"/>
        </w:rPr>
        <w:tab/>
        <w:t>Timer</w:t>
      </w:r>
    </w:p>
    <w:p w14:paraId="5A57BD2B"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F.</w:t>
      </w:r>
      <w:r w:rsidRPr="00220F55">
        <w:rPr>
          <w:rFonts w:ascii="Times New Roman" w:hAnsi="Times New Roman" w:cs="Times New Roman"/>
          <w:color w:val="000000"/>
          <w:sz w:val="24"/>
          <w:szCs w:val="24"/>
        </w:rPr>
        <w:tab/>
        <w:t>Cellwasher</w:t>
      </w:r>
    </w:p>
    <w:p w14:paraId="730104A4" w14:textId="77777777" w:rsidR="001D3BE5" w:rsidRPr="00220F55" w:rsidRDefault="001D3BE5">
      <w:pPr>
        <w:widowControl w:val="0"/>
        <w:autoSpaceDE w:val="0"/>
        <w:autoSpaceDN w:val="0"/>
        <w:adjustRightInd w:val="0"/>
        <w:spacing w:after="0" w:line="240" w:lineRule="auto"/>
        <w:rPr>
          <w:rFonts w:ascii="Times New Roman" w:hAnsi="Times New Roman" w:cs="Times New Roman"/>
          <w:color w:val="000000"/>
          <w:sz w:val="24"/>
          <w:szCs w:val="24"/>
        </w:rPr>
      </w:pPr>
    </w:p>
    <w:p w14:paraId="091C089C"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SPECIMEN</w:t>
      </w:r>
    </w:p>
    <w:p w14:paraId="1382F40F"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Patient specimen in EDTA anticoagulant</w:t>
      </w:r>
    </w:p>
    <w:p w14:paraId="21D99D72"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 xml:space="preserve">Donor red cells </w:t>
      </w:r>
    </w:p>
    <w:p w14:paraId="3479E885" w14:textId="33EBD0D3" w:rsidR="001D3BE5" w:rsidRDefault="001D3BE5">
      <w:pPr>
        <w:widowControl w:val="0"/>
        <w:autoSpaceDE w:val="0"/>
        <w:autoSpaceDN w:val="0"/>
        <w:adjustRightInd w:val="0"/>
        <w:spacing w:after="0" w:line="240" w:lineRule="auto"/>
        <w:ind w:left="360" w:hanging="360"/>
        <w:rPr>
          <w:rFonts w:ascii="Times New Roman" w:hAnsi="Times New Roman" w:cs="Times New Roman"/>
          <w:color w:val="000000"/>
          <w:sz w:val="24"/>
          <w:szCs w:val="24"/>
        </w:rPr>
      </w:pPr>
    </w:p>
    <w:p w14:paraId="78B70950" w14:textId="0534EB79" w:rsidR="00220F55" w:rsidRDefault="00220F55">
      <w:pPr>
        <w:widowControl w:val="0"/>
        <w:autoSpaceDE w:val="0"/>
        <w:autoSpaceDN w:val="0"/>
        <w:adjustRightInd w:val="0"/>
        <w:spacing w:after="0" w:line="240" w:lineRule="auto"/>
        <w:ind w:left="360" w:hanging="360"/>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SCOPE</w:t>
      </w:r>
    </w:p>
    <w:p w14:paraId="5A3A2A3E" w14:textId="3A723F22" w:rsidR="00220F55" w:rsidRPr="00220F55" w:rsidRDefault="00220F55">
      <w:pPr>
        <w:widowControl w:val="0"/>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Transfusion Service CLS trained in this procedure.</w:t>
      </w:r>
    </w:p>
    <w:p w14:paraId="2BA572E1" w14:textId="77777777" w:rsidR="00220F55" w:rsidRPr="00220F55" w:rsidRDefault="00220F55">
      <w:pPr>
        <w:widowControl w:val="0"/>
        <w:autoSpaceDE w:val="0"/>
        <w:autoSpaceDN w:val="0"/>
        <w:adjustRightInd w:val="0"/>
        <w:spacing w:after="0" w:line="240" w:lineRule="auto"/>
        <w:ind w:left="360" w:hanging="360"/>
        <w:rPr>
          <w:rFonts w:ascii="Times New Roman" w:hAnsi="Times New Roman" w:cs="Times New Roman"/>
          <w:color w:val="000000"/>
          <w:sz w:val="24"/>
          <w:szCs w:val="24"/>
        </w:rPr>
      </w:pPr>
    </w:p>
    <w:p w14:paraId="43DA0272"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CONTROLS</w:t>
      </w:r>
    </w:p>
    <w:p w14:paraId="1D9C97DF"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Positive and negative control performed each day of use.</w:t>
      </w:r>
    </w:p>
    <w:p w14:paraId="1B7B124B"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Antigen typing procedures must follow manufacturer's insert.</w:t>
      </w:r>
    </w:p>
    <w:p w14:paraId="5B797746"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C.</w:t>
      </w:r>
      <w:r w:rsidRPr="00220F55">
        <w:rPr>
          <w:rFonts w:ascii="Times New Roman" w:hAnsi="Times New Roman" w:cs="Times New Roman"/>
          <w:color w:val="000000"/>
          <w:sz w:val="24"/>
          <w:szCs w:val="24"/>
        </w:rPr>
        <w:tab/>
        <w:t>Antigen typing quality control is reviewed by supervisor or designee the next day.</w:t>
      </w:r>
    </w:p>
    <w:p w14:paraId="5DE1A2D4" w14:textId="77777777" w:rsidR="001D3BE5" w:rsidRPr="00220F55" w:rsidRDefault="001D3BE5" w:rsidP="00647B4D">
      <w:pPr>
        <w:widowControl w:val="0"/>
        <w:autoSpaceDE w:val="0"/>
        <w:autoSpaceDN w:val="0"/>
        <w:adjustRightInd w:val="0"/>
        <w:spacing w:line="240" w:lineRule="auto"/>
        <w:rPr>
          <w:rFonts w:ascii="Times New Roman" w:hAnsi="Times New Roman" w:cs="Times New Roman"/>
          <w:color w:val="000000"/>
          <w:sz w:val="24"/>
          <w:szCs w:val="24"/>
        </w:rPr>
      </w:pPr>
    </w:p>
    <w:p w14:paraId="34307629"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PROCEDURE:</w:t>
      </w:r>
    </w:p>
    <w:p w14:paraId="4231BFE3"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b/>
          <w:bCs/>
          <w:color w:val="000000"/>
          <w:sz w:val="24"/>
          <w:szCs w:val="24"/>
        </w:rPr>
        <w:tab/>
        <w:t>Perform quality control of the antiserum</w:t>
      </w:r>
      <w:r w:rsidRPr="00220F55">
        <w:rPr>
          <w:rFonts w:ascii="Times New Roman" w:hAnsi="Times New Roman" w:cs="Times New Roman"/>
          <w:color w:val="000000"/>
          <w:sz w:val="24"/>
          <w:szCs w:val="24"/>
        </w:rPr>
        <w:t xml:space="preserve"> </w:t>
      </w:r>
      <w:r w:rsidRPr="00220F55">
        <w:rPr>
          <w:rFonts w:ascii="Times New Roman" w:hAnsi="Times New Roman" w:cs="Times New Roman"/>
          <w:b/>
          <w:bCs/>
          <w:color w:val="000000"/>
          <w:sz w:val="24"/>
          <w:szCs w:val="24"/>
        </w:rPr>
        <w:t>once a day</w:t>
      </w:r>
      <w:r w:rsidRPr="00220F55">
        <w:rPr>
          <w:rFonts w:ascii="Times New Roman" w:hAnsi="Times New Roman" w:cs="Times New Roman"/>
          <w:color w:val="000000"/>
          <w:sz w:val="24"/>
          <w:szCs w:val="24"/>
        </w:rPr>
        <w:t xml:space="preserve"> according to the current manufacturer's insert.</w:t>
      </w:r>
    </w:p>
    <w:p w14:paraId="099B3BC3"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1.</w:t>
      </w:r>
      <w:r w:rsidRPr="00220F55">
        <w:rPr>
          <w:rFonts w:ascii="Times New Roman" w:hAnsi="Times New Roman" w:cs="Times New Roman"/>
          <w:color w:val="000000"/>
          <w:sz w:val="24"/>
          <w:szCs w:val="24"/>
        </w:rPr>
        <w:tab/>
        <w:t>Verify that the antiserum is within its expiration date before testing.  Do not use expired antiserum.  Remove expired antiserum and place on the Expired Reagents shelf in Fridge#2.</w:t>
      </w:r>
    </w:p>
    <w:p w14:paraId="23506894"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2.</w:t>
      </w:r>
      <w:r w:rsidRPr="00220F55">
        <w:rPr>
          <w:rFonts w:ascii="Times New Roman" w:hAnsi="Times New Roman" w:cs="Times New Roman"/>
          <w:color w:val="000000"/>
          <w:sz w:val="24"/>
          <w:szCs w:val="24"/>
        </w:rPr>
        <w:tab/>
        <w:t>Find the lot# of the vial on the Reagent Supply Order &amp; Receipt Log and follow the manufacturer's instructions that has the corresponding insert code.</w:t>
      </w:r>
    </w:p>
    <w:p w14:paraId="5EC8CD35"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3.</w:t>
      </w:r>
      <w:r w:rsidRPr="00220F55">
        <w:rPr>
          <w:rFonts w:ascii="Times New Roman" w:hAnsi="Times New Roman" w:cs="Times New Roman"/>
          <w:color w:val="000000"/>
          <w:sz w:val="24"/>
          <w:szCs w:val="24"/>
        </w:rPr>
        <w:tab/>
        <w:t xml:space="preserve">Positive control cell is selected from screening cells or panel cells showing </w:t>
      </w:r>
      <w:r w:rsidRPr="00220F55">
        <w:rPr>
          <w:rFonts w:ascii="Times New Roman" w:hAnsi="Times New Roman" w:cs="Times New Roman"/>
          <w:b/>
          <w:bCs/>
          <w:color w:val="000000"/>
          <w:sz w:val="24"/>
          <w:szCs w:val="24"/>
        </w:rPr>
        <w:t>heterozygous</w:t>
      </w:r>
      <w:r w:rsidRPr="00220F55">
        <w:rPr>
          <w:rFonts w:ascii="Times New Roman" w:hAnsi="Times New Roman" w:cs="Times New Roman"/>
          <w:color w:val="000000"/>
          <w:sz w:val="24"/>
          <w:szCs w:val="24"/>
        </w:rPr>
        <w:t xml:space="preserve"> or weaker expression of the antigen to be tested.</w:t>
      </w:r>
    </w:p>
    <w:p w14:paraId="5875431E"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4.</w:t>
      </w:r>
      <w:r w:rsidRPr="00220F55">
        <w:rPr>
          <w:rFonts w:ascii="Times New Roman" w:hAnsi="Times New Roman" w:cs="Times New Roman"/>
          <w:color w:val="000000"/>
          <w:sz w:val="24"/>
          <w:szCs w:val="24"/>
        </w:rPr>
        <w:tab/>
        <w:t>Negative control cell is selected from screening cells or panel cells lacking the antigen to be tested.</w:t>
      </w:r>
    </w:p>
    <w:p w14:paraId="259CC013"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lastRenderedPageBreak/>
        <w:t>5.</w:t>
      </w:r>
      <w:r w:rsidRPr="00220F55">
        <w:rPr>
          <w:rFonts w:ascii="Times New Roman" w:hAnsi="Times New Roman" w:cs="Times New Roman"/>
          <w:color w:val="000000"/>
          <w:sz w:val="24"/>
          <w:szCs w:val="24"/>
        </w:rPr>
        <w:tab/>
        <w:t>Record antisera QC results in the Anti-sera Package Inserts binder.</w:t>
      </w:r>
    </w:p>
    <w:p w14:paraId="09815B25"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6.</w:t>
      </w:r>
      <w:r w:rsidRPr="00220F55">
        <w:rPr>
          <w:rFonts w:ascii="Times New Roman" w:hAnsi="Times New Roman" w:cs="Times New Roman"/>
          <w:color w:val="000000"/>
          <w:sz w:val="24"/>
          <w:szCs w:val="24"/>
        </w:rPr>
        <w:tab/>
        <w:t>Verify results of controls for acceptability according to manufacturer's insert before reporting patient results.</w:t>
      </w:r>
    </w:p>
    <w:p w14:paraId="42923D6F" w14:textId="77777777" w:rsidR="001D3BE5" w:rsidRPr="00220F55" w:rsidRDefault="001D3BE5" w:rsidP="00647B4D">
      <w:pPr>
        <w:widowControl w:val="0"/>
        <w:autoSpaceDE w:val="0"/>
        <w:autoSpaceDN w:val="0"/>
        <w:adjustRightInd w:val="0"/>
        <w:spacing w:line="240" w:lineRule="auto"/>
        <w:ind w:left="1440" w:hanging="720"/>
        <w:rPr>
          <w:rFonts w:ascii="Times New Roman" w:hAnsi="Times New Roman" w:cs="Times New Roman"/>
          <w:color w:val="000000"/>
          <w:sz w:val="24"/>
          <w:szCs w:val="24"/>
        </w:rPr>
      </w:pPr>
    </w:p>
    <w:p w14:paraId="7F4B9E7E"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b/>
          <w:bCs/>
          <w:color w:val="000000"/>
          <w:sz w:val="24"/>
          <w:szCs w:val="24"/>
        </w:rPr>
        <w:tab/>
        <w:t>Patient red cell antigen typing - follow manufacturer's insert</w:t>
      </w:r>
    </w:p>
    <w:p w14:paraId="130C3971" w14:textId="43ED7CA0"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1.</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Complete Phenotype</w:t>
      </w:r>
      <w:r w:rsidRPr="00220F55">
        <w:rPr>
          <w:rFonts w:ascii="Times New Roman" w:hAnsi="Times New Roman" w:cs="Times New Roman"/>
          <w:color w:val="000000"/>
          <w:sz w:val="24"/>
          <w:szCs w:val="24"/>
        </w:rPr>
        <w:t xml:space="preserve"> </w:t>
      </w:r>
      <w:r w:rsidR="006A1E72" w:rsidRPr="00220F55">
        <w:rPr>
          <w:rFonts w:ascii="Times New Roman" w:hAnsi="Times New Roman" w:cs="Times New Roman"/>
          <w:b/>
          <w:bCs/>
          <w:color w:val="000000"/>
          <w:sz w:val="24"/>
          <w:szCs w:val="24"/>
        </w:rPr>
        <w:t>or Genotype</w:t>
      </w:r>
    </w:p>
    <w:p w14:paraId="57046CA8" w14:textId="3F7C51F5" w:rsidR="001D3BE5" w:rsidRPr="00220F55" w:rsidRDefault="00B843B0" w:rsidP="00136B82">
      <w:pPr>
        <w:pStyle w:val="ListParagraph"/>
        <w:widowControl w:val="0"/>
        <w:numPr>
          <w:ilvl w:val="0"/>
          <w:numId w:val="5"/>
        </w:numPr>
        <w:autoSpaceDE w:val="0"/>
        <w:autoSpaceDN w:val="0"/>
        <w:adjustRightInd w:val="0"/>
        <w:spacing w:after="0" w:line="240" w:lineRule="auto"/>
        <w:ind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 xml:space="preserve">It is recommended to </w:t>
      </w:r>
      <w:r w:rsidR="00F6670F" w:rsidRPr="00220F55">
        <w:rPr>
          <w:rFonts w:ascii="Times New Roman" w:hAnsi="Times New Roman" w:cs="Times New Roman"/>
          <w:color w:val="000000"/>
          <w:sz w:val="24"/>
          <w:szCs w:val="24"/>
        </w:rPr>
        <w:t>obtain a</w:t>
      </w:r>
      <w:r w:rsidRPr="00220F55">
        <w:rPr>
          <w:rFonts w:ascii="Times New Roman" w:hAnsi="Times New Roman" w:cs="Times New Roman"/>
          <w:color w:val="000000"/>
          <w:sz w:val="24"/>
          <w:szCs w:val="24"/>
        </w:rPr>
        <w:t xml:space="preserve"> full phenotype of </w:t>
      </w:r>
      <w:r w:rsidRPr="00220F55">
        <w:rPr>
          <w:rFonts w:ascii="Times New Roman" w:hAnsi="Times New Roman" w:cs="Times New Roman"/>
          <w:b/>
          <w:bCs/>
          <w:color w:val="000000"/>
          <w:sz w:val="24"/>
          <w:szCs w:val="24"/>
        </w:rPr>
        <w:t>all clinically significant antigens</w:t>
      </w:r>
      <w:r w:rsidRPr="00220F55">
        <w:rPr>
          <w:rFonts w:ascii="Times New Roman" w:hAnsi="Times New Roman" w:cs="Times New Roman"/>
          <w:color w:val="000000"/>
          <w:sz w:val="24"/>
          <w:szCs w:val="24"/>
        </w:rPr>
        <w:t xml:space="preserve"> (ABO, Rh, Kell, Duffy, Kidd, and Ss), on patients who are diagnosed with the following diseases:</w:t>
      </w:r>
    </w:p>
    <w:p w14:paraId="5FC9433E" w14:textId="45776BD2" w:rsidR="001D3BE5" w:rsidRPr="00220F55" w:rsidRDefault="00B843B0" w:rsidP="00136B82">
      <w:pPr>
        <w:pStyle w:val="ListParagraph"/>
        <w:widowControl w:val="0"/>
        <w:numPr>
          <w:ilvl w:val="0"/>
          <w:numId w:val="4"/>
        </w:numPr>
        <w:autoSpaceDE w:val="0"/>
        <w:autoSpaceDN w:val="0"/>
        <w:adjustRightInd w:val="0"/>
        <w:spacing w:after="0" w:line="240" w:lineRule="auto"/>
        <w:ind w:left="2520"/>
        <w:rPr>
          <w:rFonts w:ascii="Times New Roman" w:hAnsi="Times New Roman" w:cs="Times New Roman"/>
          <w:color w:val="000000"/>
          <w:sz w:val="24"/>
          <w:szCs w:val="24"/>
        </w:rPr>
      </w:pPr>
      <w:r w:rsidRPr="00220F55">
        <w:rPr>
          <w:rFonts w:ascii="Times New Roman" w:hAnsi="Times New Roman" w:cs="Times New Roman"/>
          <w:color w:val="000000"/>
          <w:sz w:val="24"/>
          <w:szCs w:val="24"/>
        </w:rPr>
        <w:t>sickle cell anemia</w:t>
      </w:r>
    </w:p>
    <w:p w14:paraId="47259609" w14:textId="117035DA" w:rsidR="001D3BE5" w:rsidRPr="00220F55" w:rsidRDefault="00B843B0" w:rsidP="00136B82">
      <w:pPr>
        <w:pStyle w:val="ListParagraph"/>
        <w:widowControl w:val="0"/>
        <w:numPr>
          <w:ilvl w:val="0"/>
          <w:numId w:val="4"/>
        </w:numPr>
        <w:autoSpaceDE w:val="0"/>
        <w:autoSpaceDN w:val="0"/>
        <w:adjustRightInd w:val="0"/>
        <w:spacing w:after="0" w:line="240" w:lineRule="auto"/>
        <w:ind w:left="2520"/>
        <w:rPr>
          <w:rFonts w:ascii="Times New Roman" w:hAnsi="Times New Roman" w:cs="Times New Roman"/>
          <w:color w:val="000000"/>
          <w:sz w:val="24"/>
          <w:szCs w:val="24"/>
        </w:rPr>
      </w:pPr>
      <w:r w:rsidRPr="00220F55">
        <w:rPr>
          <w:rFonts w:ascii="Times New Roman" w:hAnsi="Times New Roman" w:cs="Times New Roman"/>
          <w:color w:val="000000"/>
          <w:sz w:val="24"/>
          <w:szCs w:val="24"/>
        </w:rPr>
        <w:t>thalassemia major (e.g. Cooley's)</w:t>
      </w:r>
    </w:p>
    <w:p w14:paraId="07F9C26C" w14:textId="18CEA884" w:rsidR="001D3BE5" w:rsidRPr="00220F55" w:rsidRDefault="00B843B0" w:rsidP="00136B82">
      <w:pPr>
        <w:pStyle w:val="ListParagraph"/>
        <w:widowControl w:val="0"/>
        <w:numPr>
          <w:ilvl w:val="0"/>
          <w:numId w:val="4"/>
        </w:numPr>
        <w:autoSpaceDE w:val="0"/>
        <w:autoSpaceDN w:val="0"/>
        <w:adjustRightInd w:val="0"/>
        <w:spacing w:after="0" w:line="240" w:lineRule="auto"/>
        <w:ind w:left="2520"/>
        <w:rPr>
          <w:rFonts w:ascii="Times New Roman" w:hAnsi="Times New Roman" w:cs="Times New Roman"/>
          <w:color w:val="000000"/>
          <w:sz w:val="24"/>
          <w:szCs w:val="24"/>
        </w:rPr>
      </w:pPr>
      <w:r w:rsidRPr="00220F55">
        <w:rPr>
          <w:rFonts w:ascii="Times New Roman" w:hAnsi="Times New Roman" w:cs="Times New Roman"/>
          <w:color w:val="000000"/>
          <w:sz w:val="24"/>
          <w:szCs w:val="24"/>
        </w:rPr>
        <w:t>severe congenital anemias (e.g. Fanconi, Diamond Blackfan)</w:t>
      </w:r>
    </w:p>
    <w:p w14:paraId="13A452F9" w14:textId="4B238BE5" w:rsidR="001D3BE5" w:rsidRPr="00220F55" w:rsidRDefault="00B843B0" w:rsidP="00136B82">
      <w:pPr>
        <w:pStyle w:val="ListParagraph"/>
        <w:widowControl w:val="0"/>
        <w:numPr>
          <w:ilvl w:val="0"/>
          <w:numId w:val="4"/>
        </w:numPr>
        <w:autoSpaceDE w:val="0"/>
        <w:autoSpaceDN w:val="0"/>
        <w:adjustRightInd w:val="0"/>
        <w:spacing w:after="0" w:line="240" w:lineRule="auto"/>
        <w:ind w:left="2520"/>
        <w:rPr>
          <w:rFonts w:ascii="Times New Roman" w:hAnsi="Times New Roman" w:cs="Times New Roman"/>
          <w:color w:val="000000"/>
          <w:sz w:val="24"/>
          <w:szCs w:val="24"/>
        </w:rPr>
      </w:pPr>
      <w:r w:rsidRPr="00220F55">
        <w:rPr>
          <w:rFonts w:ascii="Times New Roman" w:hAnsi="Times New Roman" w:cs="Times New Roman"/>
          <w:color w:val="000000"/>
          <w:sz w:val="24"/>
          <w:szCs w:val="24"/>
        </w:rPr>
        <w:t xml:space="preserve">autoimmune hemolytic anemia (e.g. WAIHA, </w:t>
      </w:r>
      <w:r w:rsidRPr="00220F55">
        <w:rPr>
          <w:rFonts w:ascii="Tms Rmn" w:hAnsi="Tms Rmn" w:cs="Tms Rmn"/>
          <w:color w:val="000000"/>
          <w:sz w:val="24"/>
          <w:szCs w:val="24"/>
        </w:rPr>
        <w:t>Cold Agglutinin Disease, Paroxysmal Cold Hemoglobinuria</w:t>
      </w:r>
      <w:r w:rsidRPr="00220F55">
        <w:rPr>
          <w:rFonts w:ascii="Times New Roman" w:hAnsi="Times New Roman" w:cs="Times New Roman"/>
          <w:color w:val="000000"/>
          <w:sz w:val="24"/>
          <w:szCs w:val="24"/>
        </w:rPr>
        <w:t xml:space="preserve">) </w:t>
      </w:r>
    </w:p>
    <w:p w14:paraId="220FD49B" w14:textId="2DBAB605" w:rsidR="001D3BE5" w:rsidRPr="00220F55" w:rsidRDefault="00B843B0" w:rsidP="00136B82">
      <w:pPr>
        <w:pStyle w:val="ListParagraph"/>
        <w:widowControl w:val="0"/>
        <w:numPr>
          <w:ilvl w:val="0"/>
          <w:numId w:val="4"/>
        </w:numPr>
        <w:autoSpaceDE w:val="0"/>
        <w:autoSpaceDN w:val="0"/>
        <w:adjustRightInd w:val="0"/>
        <w:spacing w:after="0" w:line="240" w:lineRule="auto"/>
        <w:ind w:left="2520"/>
        <w:rPr>
          <w:rFonts w:ascii="Times New Roman" w:hAnsi="Times New Roman" w:cs="Times New Roman"/>
          <w:color w:val="000000"/>
          <w:sz w:val="24"/>
          <w:szCs w:val="24"/>
        </w:rPr>
      </w:pPr>
      <w:r w:rsidRPr="00220F55">
        <w:rPr>
          <w:rFonts w:ascii="Times New Roman" w:hAnsi="Times New Roman" w:cs="Times New Roman"/>
          <w:color w:val="000000"/>
          <w:sz w:val="24"/>
          <w:szCs w:val="24"/>
        </w:rPr>
        <w:t xml:space="preserve">or any disease that may require chronic red cell transfusion </w:t>
      </w:r>
    </w:p>
    <w:p w14:paraId="545BEFFC"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b/>
        <w:t xml:space="preserve"> </w:t>
      </w:r>
    </w:p>
    <w:p w14:paraId="661280CB" w14:textId="7389A4E3" w:rsidR="001D3BE5" w:rsidRPr="00220F55" w:rsidRDefault="00B843B0" w:rsidP="00136B82">
      <w:pPr>
        <w:pStyle w:val="ListParagraph"/>
        <w:widowControl w:val="0"/>
        <w:numPr>
          <w:ilvl w:val="0"/>
          <w:numId w:val="5"/>
        </w:numPr>
        <w:autoSpaceDE w:val="0"/>
        <w:autoSpaceDN w:val="0"/>
        <w:adjustRightInd w:val="0"/>
        <w:spacing w:after="0" w:line="240" w:lineRule="auto"/>
        <w:ind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This will enable the Transfusion Service to provide phenotypically matched red cells in the future, if necessary.</w:t>
      </w:r>
    </w:p>
    <w:p w14:paraId="6063B056" w14:textId="6B70C1FC" w:rsidR="001C1F1A" w:rsidRPr="00220F55" w:rsidRDefault="001C1F1A">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5FCECC38" w14:textId="38443C7B" w:rsidR="001C1F1A" w:rsidRPr="00220F55" w:rsidRDefault="001C1F1A" w:rsidP="00136B82">
      <w:pPr>
        <w:pStyle w:val="ListParagraph"/>
        <w:widowControl w:val="0"/>
        <w:numPr>
          <w:ilvl w:val="0"/>
          <w:numId w:val="5"/>
        </w:numPr>
        <w:autoSpaceDE w:val="0"/>
        <w:autoSpaceDN w:val="0"/>
        <w:adjustRightInd w:val="0"/>
        <w:spacing w:after="0" w:line="240" w:lineRule="auto"/>
        <w:ind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 xml:space="preserve">A </w:t>
      </w:r>
      <w:r w:rsidRPr="00220F55">
        <w:rPr>
          <w:rFonts w:ascii="Times New Roman" w:hAnsi="Times New Roman" w:cs="Times New Roman"/>
          <w:b/>
          <w:bCs/>
          <w:color w:val="000000"/>
          <w:sz w:val="24"/>
          <w:szCs w:val="24"/>
        </w:rPr>
        <w:t>full genotype</w:t>
      </w:r>
      <w:r w:rsidRPr="00220F55">
        <w:rPr>
          <w:rFonts w:ascii="Times New Roman" w:hAnsi="Times New Roman" w:cs="Times New Roman"/>
          <w:color w:val="000000"/>
          <w:sz w:val="24"/>
          <w:szCs w:val="24"/>
        </w:rPr>
        <w:t xml:space="preserve"> is recommended for patients diagnosed with Sickle Cell anemia </w:t>
      </w:r>
      <w:r w:rsidR="005F4BCB" w:rsidRPr="00220F55">
        <w:rPr>
          <w:rFonts w:ascii="Times New Roman" w:hAnsi="Times New Roman" w:cs="Times New Roman"/>
          <w:color w:val="000000"/>
          <w:sz w:val="24"/>
          <w:szCs w:val="24"/>
        </w:rPr>
        <w:t>and for</w:t>
      </w:r>
      <w:r w:rsidRPr="00220F55">
        <w:rPr>
          <w:rFonts w:ascii="Times New Roman" w:hAnsi="Times New Roman" w:cs="Times New Roman"/>
          <w:color w:val="000000"/>
          <w:sz w:val="24"/>
          <w:szCs w:val="24"/>
        </w:rPr>
        <w:t xml:space="preserve"> </w:t>
      </w:r>
      <w:r w:rsidR="003670FF" w:rsidRPr="00220F55">
        <w:rPr>
          <w:rFonts w:ascii="Times New Roman" w:hAnsi="Times New Roman" w:cs="Times New Roman"/>
          <w:color w:val="000000"/>
          <w:sz w:val="24"/>
          <w:szCs w:val="24"/>
        </w:rPr>
        <w:t xml:space="preserve">recently transfused </w:t>
      </w:r>
      <w:r w:rsidRPr="00220F55">
        <w:rPr>
          <w:rFonts w:ascii="Times New Roman" w:hAnsi="Times New Roman" w:cs="Times New Roman"/>
          <w:color w:val="000000"/>
          <w:sz w:val="24"/>
          <w:szCs w:val="24"/>
        </w:rPr>
        <w:t xml:space="preserve">patients </w:t>
      </w:r>
      <w:r w:rsidR="003670FF" w:rsidRPr="00220F55">
        <w:rPr>
          <w:rFonts w:ascii="Times New Roman" w:hAnsi="Times New Roman" w:cs="Times New Roman"/>
          <w:color w:val="000000"/>
          <w:sz w:val="24"/>
          <w:szCs w:val="24"/>
        </w:rPr>
        <w:t>who need chronic transfusions</w:t>
      </w:r>
      <w:r w:rsidRPr="00220F55">
        <w:rPr>
          <w:rFonts w:ascii="Times New Roman" w:hAnsi="Times New Roman" w:cs="Times New Roman"/>
          <w:color w:val="000000"/>
          <w:sz w:val="24"/>
          <w:szCs w:val="24"/>
        </w:rPr>
        <w:t>.</w:t>
      </w:r>
    </w:p>
    <w:p w14:paraId="3AF01D29" w14:textId="00ABF43F" w:rsidR="00136B82" w:rsidRPr="00220F55" w:rsidRDefault="00A61320" w:rsidP="00136B82">
      <w:pPr>
        <w:pStyle w:val="ListParagraph"/>
        <w:widowControl w:val="0"/>
        <w:numPr>
          <w:ilvl w:val="0"/>
          <w:numId w:val="3"/>
        </w:numPr>
        <w:autoSpaceDE w:val="0"/>
        <w:autoSpaceDN w:val="0"/>
        <w:adjustRightInd w:val="0"/>
        <w:spacing w:after="0" w:line="240" w:lineRule="auto"/>
        <w:ind w:left="2520"/>
        <w:rPr>
          <w:rFonts w:ascii="Times New Roman" w:hAnsi="Times New Roman" w:cs="Times New Roman"/>
          <w:color w:val="000000"/>
          <w:sz w:val="24"/>
          <w:szCs w:val="24"/>
        </w:rPr>
      </w:pPr>
      <w:r w:rsidRPr="00220F55">
        <w:rPr>
          <w:rFonts w:ascii="Times New Roman" w:hAnsi="Times New Roman" w:cs="Times New Roman"/>
          <w:color w:val="000000"/>
          <w:sz w:val="24"/>
          <w:szCs w:val="24"/>
        </w:rPr>
        <w:t>Request a second sample for send-out to Reference Lab.</w:t>
      </w:r>
    </w:p>
    <w:p w14:paraId="5FC5C92F" w14:textId="6D26626C" w:rsidR="00DF303E" w:rsidRPr="00220F55" w:rsidRDefault="00DF303E" w:rsidP="00136B82">
      <w:pPr>
        <w:pStyle w:val="ListParagraph"/>
        <w:widowControl w:val="0"/>
        <w:numPr>
          <w:ilvl w:val="0"/>
          <w:numId w:val="3"/>
        </w:numPr>
        <w:autoSpaceDE w:val="0"/>
        <w:autoSpaceDN w:val="0"/>
        <w:adjustRightInd w:val="0"/>
        <w:spacing w:after="0" w:line="240" w:lineRule="auto"/>
        <w:ind w:left="2520"/>
        <w:rPr>
          <w:rFonts w:ascii="Times New Roman" w:hAnsi="Times New Roman" w:cs="Times New Roman"/>
          <w:color w:val="000000"/>
          <w:sz w:val="24"/>
          <w:szCs w:val="24"/>
        </w:rPr>
      </w:pPr>
      <w:r w:rsidRPr="00220F55">
        <w:rPr>
          <w:rFonts w:ascii="Times New Roman" w:hAnsi="Times New Roman" w:cs="Times New Roman"/>
          <w:color w:val="000000"/>
          <w:sz w:val="24"/>
          <w:szCs w:val="24"/>
        </w:rPr>
        <w:t xml:space="preserve">Perform serological phenotype </w:t>
      </w:r>
      <w:r w:rsidR="008E4C35" w:rsidRPr="00220F55">
        <w:rPr>
          <w:rFonts w:ascii="Times New Roman" w:hAnsi="Times New Roman" w:cs="Times New Roman"/>
          <w:color w:val="000000"/>
          <w:sz w:val="24"/>
          <w:szCs w:val="24"/>
        </w:rPr>
        <w:t xml:space="preserve">if transfusion </w:t>
      </w:r>
      <w:r w:rsidR="005F1743" w:rsidRPr="00220F55">
        <w:rPr>
          <w:rFonts w:ascii="Times New Roman" w:hAnsi="Times New Roman" w:cs="Times New Roman"/>
          <w:color w:val="000000"/>
          <w:sz w:val="24"/>
          <w:szCs w:val="24"/>
        </w:rPr>
        <w:t>cannot wait till</w:t>
      </w:r>
      <w:r w:rsidRPr="00220F55">
        <w:rPr>
          <w:rFonts w:ascii="Times New Roman" w:hAnsi="Times New Roman" w:cs="Times New Roman"/>
          <w:color w:val="000000"/>
          <w:sz w:val="24"/>
          <w:szCs w:val="24"/>
        </w:rPr>
        <w:t xml:space="preserve"> </w:t>
      </w:r>
      <w:r w:rsidR="00F351EC" w:rsidRPr="00220F55">
        <w:rPr>
          <w:rFonts w:ascii="Times New Roman" w:hAnsi="Times New Roman" w:cs="Times New Roman"/>
          <w:color w:val="000000"/>
          <w:sz w:val="24"/>
          <w:szCs w:val="24"/>
        </w:rPr>
        <w:t xml:space="preserve">after </w:t>
      </w:r>
      <w:r w:rsidRPr="00220F55">
        <w:rPr>
          <w:rFonts w:ascii="Times New Roman" w:hAnsi="Times New Roman" w:cs="Times New Roman"/>
          <w:color w:val="000000"/>
          <w:sz w:val="24"/>
          <w:szCs w:val="24"/>
        </w:rPr>
        <w:t>completion of genotype testing.</w:t>
      </w:r>
    </w:p>
    <w:p w14:paraId="6EE3DB50" w14:textId="77777777" w:rsidR="001D3BE5" w:rsidRPr="00220F55" w:rsidRDefault="001D3BE5">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366177A9"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2.</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 xml:space="preserve">Transfusion History </w:t>
      </w:r>
    </w:p>
    <w:p w14:paraId="543861F0"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Antigen typing of patient's red cell is accurate if the patient has not been transfused in the last 3 months.  Verify transfusion history with the patient's physician or nurse.</w:t>
      </w:r>
    </w:p>
    <w:p w14:paraId="12122256" w14:textId="3A632C09"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 xml:space="preserve">If the patient has been transfused within the last 3 months send specimen to </w:t>
      </w:r>
      <w:r w:rsidR="00F84573" w:rsidRPr="00220F55">
        <w:rPr>
          <w:rFonts w:ascii="Times New Roman" w:hAnsi="Times New Roman" w:cs="Times New Roman"/>
          <w:color w:val="000000"/>
          <w:sz w:val="24"/>
          <w:szCs w:val="24"/>
        </w:rPr>
        <w:t>Reference</w:t>
      </w:r>
      <w:r w:rsidRPr="00220F55">
        <w:rPr>
          <w:rFonts w:ascii="Times New Roman" w:hAnsi="Times New Roman" w:cs="Times New Roman"/>
          <w:color w:val="000000"/>
          <w:sz w:val="24"/>
          <w:szCs w:val="24"/>
        </w:rPr>
        <w:t xml:space="preserve"> </w:t>
      </w:r>
      <w:r w:rsidR="00F84573" w:rsidRPr="00220F55">
        <w:rPr>
          <w:rFonts w:ascii="Times New Roman" w:hAnsi="Times New Roman" w:cs="Times New Roman"/>
          <w:color w:val="000000"/>
          <w:sz w:val="24"/>
          <w:szCs w:val="24"/>
        </w:rPr>
        <w:t xml:space="preserve">Lab </w:t>
      </w:r>
      <w:r w:rsidRPr="00220F55">
        <w:rPr>
          <w:rFonts w:ascii="Times New Roman" w:hAnsi="Times New Roman" w:cs="Times New Roman"/>
          <w:color w:val="000000"/>
          <w:sz w:val="24"/>
          <w:szCs w:val="24"/>
        </w:rPr>
        <w:t>for phenotyping using reticulocytes or molecular genotyping.</w:t>
      </w:r>
    </w:p>
    <w:p w14:paraId="5CBBF12B" w14:textId="77777777" w:rsidR="001D3BE5" w:rsidRPr="00220F55" w:rsidRDefault="001D3BE5">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311FD3BE"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3.</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Patient has positive DAT</w:t>
      </w:r>
    </w:p>
    <w:p w14:paraId="2D0AE0B0" w14:textId="7BAB4482" w:rsidR="001D3BE5" w:rsidRPr="00220F55" w:rsidRDefault="00B843B0" w:rsidP="00B8744A">
      <w:pPr>
        <w:pStyle w:val="ListParagraph"/>
        <w:widowControl w:val="0"/>
        <w:numPr>
          <w:ilvl w:val="2"/>
          <w:numId w:val="2"/>
        </w:numPr>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Antigen typing by IAT method should not be performed.</w:t>
      </w:r>
    </w:p>
    <w:p w14:paraId="155A906A" w14:textId="7470296F" w:rsidR="001D3BE5" w:rsidRPr="00220F55" w:rsidRDefault="00B843B0" w:rsidP="00B8744A">
      <w:pPr>
        <w:pStyle w:val="ListParagraph"/>
        <w:widowControl w:val="0"/>
        <w:numPr>
          <w:ilvl w:val="2"/>
          <w:numId w:val="2"/>
        </w:numPr>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Saline or monoclonal reagents by Direct antiglobulin method can be used for phenotyping.</w:t>
      </w:r>
    </w:p>
    <w:p w14:paraId="4E62E921" w14:textId="79EB4D65" w:rsidR="001D3BE5" w:rsidRPr="00220F55" w:rsidRDefault="00B843B0" w:rsidP="00B8744A">
      <w:pPr>
        <w:pStyle w:val="ListParagraph"/>
        <w:widowControl w:val="0"/>
        <w:numPr>
          <w:ilvl w:val="2"/>
          <w:numId w:val="2"/>
        </w:numPr>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Send sample to Reference Lab if necessary for complete phenotyping</w:t>
      </w:r>
      <w:r w:rsidR="00E82BE6" w:rsidRPr="00220F55">
        <w:rPr>
          <w:rFonts w:ascii="Times New Roman" w:hAnsi="Times New Roman" w:cs="Times New Roman"/>
          <w:color w:val="000000"/>
          <w:sz w:val="24"/>
          <w:szCs w:val="24"/>
        </w:rPr>
        <w:t>/genotyping</w:t>
      </w:r>
      <w:r w:rsidRPr="00220F55">
        <w:rPr>
          <w:rFonts w:ascii="Times New Roman" w:hAnsi="Times New Roman" w:cs="Times New Roman"/>
          <w:color w:val="000000"/>
          <w:sz w:val="24"/>
          <w:szCs w:val="24"/>
        </w:rPr>
        <w:t>.</w:t>
      </w:r>
    </w:p>
    <w:p w14:paraId="439680CA" w14:textId="77777777" w:rsidR="001D3BE5" w:rsidRPr="00220F55" w:rsidRDefault="001D3BE5">
      <w:pPr>
        <w:widowControl w:val="0"/>
        <w:autoSpaceDE w:val="0"/>
        <w:autoSpaceDN w:val="0"/>
        <w:adjustRightInd w:val="0"/>
        <w:spacing w:after="0" w:line="240" w:lineRule="auto"/>
        <w:ind w:left="1440"/>
        <w:rPr>
          <w:rFonts w:ascii="Times New Roman" w:hAnsi="Times New Roman" w:cs="Times New Roman"/>
          <w:color w:val="000000"/>
          <w:sz w:val="24"/>
          <w:szCs w:val="24"/>
        </w:rPr>
      </w:pPr>
    </w:p>
    <w:p w14:paraId="7FD78B23"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4.</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RBCs Selection for Sickle Cell Disease/Thalassemia Major/Congenital Anemias</w:t>
      </w:r>
    </w:p>
    <w:p w14:paraId="0B01C20B"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Match donor RBC antigens with the patient's complete Rh and K phenotypes if the patient has no history of antibody.</w:t>
      </w:r>
    </w:p>
    <w:p w14:paraId="5D7DCB14" w14:textId="673CDDED"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 xml:space="preserve">Match donor RBC antigens with the patient's complete Rh, Kell, </w:t>
      </w:r>
      <w:r w:rsidR="00D2196B" w:rsidRPr="009878D8">
        <w:rPr>
          <w:rFonts w:ascii="Times New Roman" w:hAnsi="Times New Roman" w:cs="Times New Roman"/>
          <w:color w:val="000000"/>
          <w:sz w:val="24"/>
          <w:szCs w:val="24"/>
        </w:rPr>
        <w:t>and the patient’s clinically significant antibody e.g. if patient has anti-Jka, order donor pRBC pheno-matched for Rh, K and Jka</w:t>
      </w:r>
      <w:r w:rsidRPr="009878D8">
        <w:rPr>
          <w:rFonts w:ascii="Times New Roman" w:hAnsi="Times New Roman" w:cs="Times New Roman"/>
          <w:color w:val="000000"/>
          <w:sz w:val="24"/>
          <w:szCs w:val="24"/>
        </w:rPr>
        <w:t>.</w:t>
      </w:r>
    </w:p>
    <w:p w14:paraId="39C63883" w14:textId="787559A0" w:rsidR="00954C71" w:rsidRPr="00220F55" w:rsidRDefault="00954C71">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lastRenderedPageBreak/>
        <w:t>c.</w:t>
      </w:r>
      <w:r w:rsidRPr="00220F55">
        <w:rPr>
          <w:rFonts w:ascii="Times New Roman" w:hAnsi="Times New Roman" w:cs="Times New Roman"/>
          <w:color w:val="000000"/>
          <w:sz w:val="24"/>
          <w:szCs w:val="24"/>
        </w:rPr>
        <w:tab/>
      </w:r>
      <w:r w:rsidR="006A1E72" w:rsidRPr="00220F55">
        <w:rPr>
          <w:rFonts w:ascii="Times New Roman" w:hAnsi="Times New Roman" w:cs="Times New Roman"/>
          <w:color w:val="000000"/>
          <w:sz w:val="24"/>
          <w:szCs w:val="24"/>
        </w:rPr>
        <w:t>Give c</w:t>
      </w:r>
      <w:r w:rsidRPr="00220F55">
        <w:rPr>
          <w:rFonts w:ascii="Times New Roman" w:hAnsi="Times New Roman" w:cs="Times New Roman"/>
          <w:color w:val="000000"/>
          <w:sz w:val="24"/>
          <w:szCs w:val="24"/>
        </w:rPr>
        <w:t xml:space="preserve"> </w:t>
      </w:r>
      <w:r w:rsidR="006A1E72" w:rsidRPr="00220F55">
        <w:rPr>
          <w:rFonts w:ascii="Times New Roman" w:hAnsi="Times New Roman" w:cs="Times New Roman"/>
          <w:color w:val="000000"/>
          <w:sz w:val="24"/>
          <w:szCs w:val="24"/>
        </w:rPr>
        <w:t xml:space="preserve">antigen </w:t>
      </w:r>
      <w:r w:rsidRPr="00220F55">
        <w:rPr>
          <w:rFonts w:ascii="Times New Roman" w:hAnsi="Times New Roman" w:cs="Times New Roman"/>
          <w:color w:val="000000"/>
          <w:sz w:val="24"/>
          <w:szCs w:val="24"/>
        </w:rPr>
        <w:t>negative</w:t>
      </w:r>
      <w:r w:rsidR="006A1E72" w:rsidRPr="00220F55">
        <w:rPr>
          <w:rFonts w:ascii="Times New Roman" w:hAnsi="Times New Roman" w:cs="Times New Roman"/>
          <w:color w:val="000000"/>
          <w:sz w:val="24"/>
          <w:szCs w:val="24"/>
        </w:rPr>
        <w:t xml:space="preserve"> RBC</w:t>
      </w:r>
      <w:r w:rsidRPr="00220F55">
        <w:rPr>
          <w:rFonts w:ascii="Times New Roman" w:hAnsi="Times New Roman" w:cs="Times New Roman"/>
          <w:color w:val="000000"/>
          <w:sz w:val="24"/>
          <w:szCs w:val="24"/>
        </w:rPr>
        <w:t xml:space="preserve"> </w:t>
      </w:r>
      <w:r w:rsidR="006A1E72" w:rsidRPr="00220F55">
        <w:rPr>
          <w:rFonts w:ascii="Times New Roman" w:hAnsi="Times New Roman" w:cs="Times New Roman"/>
          <w:color w:val="000000"/>
          <w:sz w:val="24"/>
          <w:szCs w:val="24"/>
        </w:rPr>
        <w:t>when</w:t>
      </w:r>
      <w:r w:rsidRPr="00220F55">
        <w:rPr>
          <w:rFonts w:ascii="Times New Roman" w:hAnsi="Times New Roman" w:cs="Times New Roman"/>
          <w:color w:val="000000"/>
          <w:sz w:val="24"/>
          <w:szCs w:val="24"/>
        </w:rPr>
        <w:t xml:space="preserve"> patient is C</w:t>
      </w:r>
      <w:r w:rsidR="006A1E72" w:rsidRPr="00220F55">
        <w:rPr>
          <w:rFonts w:ascii="Times New Roman" w:hAnsi="Times New Roman" w:cs="Times New Roman"/>
          <w:color w:val="000000"/>
          <w:sz w:val="24"/>
          <w:szCs w:val="24"/>
        </w:rPr>
        <w:t>+</w:t>
      </w:r>
      <w:r w:rsidRPr="00220F55">
        <w:rPr>
          <w:rFonts w:ascii="Times New Roman" w:hAnsi="Times New Roman" w:cs="Times New Roman"/>
          <w:color w:val="000000"/>
          <w:sz w:val="24"/>
          <w:szCs w:val="24"/>
        </w:rPr>
        <w:t>c</w:t>
      </w:r>
      <w:r w:rsidR="006A1E72" w:rsidRPr="00220F55">
        <w:rPr>
          <w:rFonts w:ascii="Times New Roman" w:hAnsi="Times New Roman" w:cs="Times New Roman"/>
          <w:color w:val="000000"/>
          <w:sz w:val="24"/>
          <w:szCs w:val="24"/>
        </w:rPr>
        <w:t>+</w:t>
      </w:r>
      <w:r w:rsidRPr="00220F55">
        <w:rPr>
          <w:rFonts w:ascii="Times New Roman" w:hAnsi="Times New Roman" w:cs="Times New Roman"/>
          <w:color w:val="000000"/>
          <w:sz w:val="24"/>
          <w:szCs w:val="24"/>
        </w:rPr>
        <w:t>E</w:t>
      </w:r>
      <w:r w:rsidR="006A1E72" w:rsidRPr="00220F55">
        <w:rPr>
          <w:rFonts w:ascii="Times New Roman" w:hAnsi="Times New Roman" w:cs="Times New Roman"/>
          <w:color w:val="000000"/>
          <w:sz w:val="24"/>
          <w:szCs w:val="24"/>
        </w:rPr>
        <w:t>+</w:t>
      </w:r>
      <w:r w:rsidRPr="00220F55">
        <w:rPr>
          <w:rFonts w:ascii="Times New Roman" w:hAnsi="Times New Roman" w:cs="Times New Roman"/>
          <w:color w:val="000000"/>
          <w:sz w:val="24"/>
          <w:szCs w:val="24"/>
        </w:rPr>
        <w:t>e</w:t>
      </w:r>
      <w:r w:rsidR="006A1E72" w:rsidRPr="00220F55">
        <w:rPr>
          <w:rFonts w:ascii="Times New Roman" w:hAnsi="Times New Roman" w:cs="Times New Roman"/>
          <w:color w:val="000000"/>
          <w:sz w:val="24"/>
          <w:szCs w:val="24"/>
        </w:rPr>
        <w:t xml:space="preserve">+ </w:t>
      </w:r>
      <w:r w:rsidRPr="00220F55">
        <w:rPr>
          <w:rFonts w:ascii="Times New Roman" w:hAnsi="Times New Roman" w:cs="Times New Roman"/>
          <w:color w:val="000000"/>
          <w:sz w:val="24"/>
          <w:szCs w:val="24"/>
        </w:rPr>
        <w:t>due to</w:t>
      </w:r>
      <w:r w:rsidR="000B5A1D" w:rsidRPr="00220F55">
        <w:rPr>
          <w:rFonts w:ascii="Times New Roman" w:hAnsi="Times New Roman" w:cs="Times New Roman"/>
          <w:color w:val="000000"/>
          <w:sz w:val="24"/>
          <w:szCs w:val="24"/>
        </w:rPr>
        <w:t xml:space="preserve"> the</w:t>
      </w:r>
      <w:r w:rsidRPr="00220F55">
        <w:rPr>
          <w:rFonts w:ascii="Times New Roman" w:hAnsi="Times New Roman" w:cs="Times New Roman"/>
          <w:color w:val="000000"/>
          <w:sz w:val="24"/>
          <w:szCs w:val="24"/>
        </w:rPr>
        <w:t xml:space="preserve"> possibility of making anti-f.</w:t>
      </w:r>
    </w:p>
    <w:p w14:paraId="3DE4A91D" w14:textId="50179654" w:rsidR="001D3BE5" w:rsidRPr="00220F55" w:rsidRDefault="00954C71">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d</w:t>
      </w:r>
      <w:r w:rsidR="00B843B0" w:rsidRPr="00220F55">
        <w:rPr>
          <w:rFonts w:ascii="Times New Roman" w:hAnsi="Times New Roman" w:cs="Times New Roman"/>
          <w:color w:val="000000"/>
          <w:sz w:val="24"/>
          <w:szCs w:val="24"/>
        </w:rPr>
        <w:t>.</w:t>
      </w:r>
      <w:r w:rsidR="00B843B0" w:rsidRPr="00220F55">
        <w:rPr>
          <w:rFonts w:ascii="Times New Roman" w:hAnsi="Times New Roman" w:cs="Times New Roman"/>
          <w:color w:val="000000"/>
          <w:sz w:val="24"/>
          <w:szCs w:val="24"/>
        </w:rPr>
        <w:tab/>
        <w:t>Donor RBCs should also be Hgb S negative for Sickle Cell patients.</w:t>
      </w:r>
    </w:p>
    <w:p w14:paraId="1B3C6BAF" w14:textId="77777777" w:rsidR="00EC16B0" w:rsidRPr="00220F55" w:rsidRDefault="00EC16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7E30CE40"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5.</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RBCs Selection for Autoimmune Hemolytic Anemia</w:t>
      </w:r>
      <w:r w:rsidRPr="00220F55">
        <w:rPr>
          <w:rFonts w:ascii="Times New Roman" w:hAnsi="Times New Roman" w:cs="Times New Roman"/>
          <w:color w:val="000000"/>
          <w:sz w:val="24"/>
          <w:szCs w:val="24"/>
        </w:rPr>
        <w:t xml:space="preserve"> </w:t>
      </w:r>
    </w:p>
    <w:p w14:paraId="31656A28" w14:textId="77777777" w:rsidR="001D3BE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When unable to rule out underlying alloantibodies, provide phenotypically match RBC for transfusion.</w:t>
      </w:r>
    </w:p>
    <w:p w14:paraId="10C4EEEA" w14:textId="77777777" w:rsidR="00AC5817" w:rsidRPr="00220F55" w:rsidRDefault="00AC581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5FC79455" w14:textId="22AEFD92" w:rsidR="00AC5817" w:rsidRDefault="00AC5817" w:rsidP="00AC5817">
      <w:pPr>
        <w:widowControl w:val="0"/>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r>
      <w:r w:rsidRPr="00AC5817">
        <w:rPr>
          <w:rFonts w:ascii="Times New Roman" w:hAnsi="Times New Roman" w:cs="Times New Roman"/>
          <w:b/>
          <w:bCs/>
          <w:color w:val="000000"/>
          <w:sz w:val="24"/>
          <w:szCs w:val="24"/>
        </w:rPr>
        <w:t xml:space="preserve">Special Requirements </w:t>
      </w:r>
      <w:r>
        <w:rPr>
          <w:rFonts w:ascii="Times New Roman" w:hAnsi="Times New Roman" w:cs="Times New Roman"/>
          <w:b/>
          <w:bCs/>
          <w:color w:val="000000"/>
          <w:sz w:val="24"/>
          <w:szCs w:val="24"/>
        </w:rPr>
        <w:t xml:space="preserve">for Transfusion </w:t>
      </w:r>
      <w:r w:rsidRPr="00AC5817">
        <w:rPr>
          <w:rFonts w:ascii="Times New Roman" w:hAnsi="Times New Roman" w:cs="Times New Roman"/>
          <w:b/>
          <w:bCs/>
          <w:color w:val="000000"/>
          <w:sz w:val="24"/>
          <w:szCs w:val="24"/>
        </w:rPr>
        <w:t>in LIS</w:t>
      </w:r>
    </w:p>
    <w:p w14:paraId="16F51067" w14:textId="22DE8AA2" w:rsidR="00385A8D" w:rsidRDefault="00AC5817" w:rsidP="007C16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Enter </w:t>
      </w:r>
      <w:r w:rsidR="007C16B0">
        <w:rPr>
          <w:rFonts w:ascii="Times New Roman" w:hAnsi="Times New Roman" w:cs="Times New Roman"/>
          <w:color w:val="000000"/>
          <w:sz w:val="24"/>
          <w:szCs w:val="24"/>
        </w:rPr>
        <w:t xml:space="preserve">special requirements </w:t>
      </w:r>
      <w:r w:rsidR="004864BF">
        <w:rPr>
          <w:rFonts w:ascii="Times New Roman" w:hAnsi="Times New Roman" w:cs="Times New Roman"/>
          <w:color w:val="000000"/>
          <w:sz w:val="24"/>
          <w:szCs w:val="24"/>
        </w:rPr>
        <w:t>e.g</w:t>
      </w:r>
      <w:r w:rsidR="007C16B0">
        <w:rPr>
          <w:rFonts w:ascii="Times New Roman" w:hAnsi="Times New Roman" w:cs="Times New Roman"/>
          <w:color w:val="000000"/>
          <w:sz w:val="24"/>
          <w:szCs w:val="24"/>
        </w:rPr>
        <w:t>. IRR, Hg</w:t>
      </w:r>
      <w:r w:rsidR="000B6018">
        <w:rPr>
          <w:rFonts w:ascii="Times New Roman" w:hAnsi="Times New Roman" w:cs="Times New Roman"/>
          <w:color w:val="000000"/>
          <w:sz w:val="24"/>
          <w:szCs w:val="24"/>
        </w:rPr>
        <w:t>b</w:t>
      </w:r>
      <w:r w:rsidR="007C16B0">
        <w:rPr>
          <w:rFonts w:ascii="Times New Roman" w:hAnsi="Times New Roman" w:cs="Times New Roman"/>
          <w:color w:val="000000"/>
          <w:sz w:val="24"/>
          <w:szCs w:val="24"/>
        </w:rPr>
        <w:t xml:space="preserve">S negative, </w:t>
      </w:r>
      <w:r>
        <w:rPr>
          <w:rFonts w:ascii="Times New Roman" w:hAnsi="Times New Roman" w:cs="Times New Roman"/>
          <w:color w:val="000000"/>
          <w:sz w:val="24"/>
          <w:szCs w:val="24"/>
        </w:rPr>
        <w:t>antigen negative requirements in the LIS.</w:t>
      </w:r>
    </w:p>
    <w:p w14:paraId="03656A80" w14:textId="77777777" w:rsidR="00AC5817" w:rsidRPr="00220F55" w:rsidRDefault="00AC5817" w:rsidP="00AC5817">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79BACDA1"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C.</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Donor red cell antigen typing</w:t>
      </w:r>
    </w:p>
    <w:p w14:paraId="0E6F9FD7" w14:textId="2A3DC12E"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1.</w:t>
      </w:r>
      <w:r w:rsidRPr="00220F55">
        <w:rPr>
          <w:rFonts w:ascii="Times New Roman" w:hAnsi="Times New Roman" w:cs="Times New Roman"/>
          <w:color w:val="000000"/>
          <w:sz w:val="24"/>
          <w:szCs w:val="24"/>
        </w:rPr>
        <w:tab/>
        <w:t xml:space="preserve">When a patient has </w:t>
      </w:r>
      <w:r w:rsidRPr="00220F55">
        <w:rPr>
          <w:rFonts w:ascii="Times New Roman" w:hAnsi="Times New Roman" w:cs="Times New Roman"/>
          <w:b/>
          <w:bCs/>
          <w:color w:val="000000"/>
          <w:sz w:val="24"/>
          <w:szCs w:val="24"/>
        </w:rPr>
        <w:t>clinically significant alloantibody</w:t>
      </w:r>
      <w:r w:rsidRPr="00220F55">
        <w:rPr>
          <w:rFonts w:ascii="Times New Roman" w:hAnsi="Times New Roman" w:cs="Times New Roman"/>
          <w:color w:val="000000"/>
          <w:sz w:val="24"/>
          <w:szCs w:val="24"/>
        </w:rPr>
        <w:t xml:space="preserve">, RBC that lacks the corresponding antigen </w:t>
      </w:r>
      <w:r w:rsidR="00DA5529" w:rsidRPr="00220F55">
        <w:rPr>
          <w:rFonts w:ascii="Times New Roman" w:hAnsi="Times New Roman" w:cs="Times New Roman"/>
          <w:color w:val="000000"/>
          <w:sz w:val="24"/>
          <w:szCs w:val="24"/>
        </w:rPr>
        <w:t xml:space="preserve">should be selected for transfusion unless antigen negative units are not available due to rarity or at the recommendation of </w:t>
      </w:r>
      <w:r w:rsidR="00F84573" w:rsidRPr="00220F55">
        <w:rPr>
          <w:rFonts w:ascii="Times New Roman" w:hAnsi="Times New Roman" w:cs="Times New Roman"/>
          <w:color w:val="000000"/>
          <w:sz w:val="24"/>
          <w:szCs w:val="24"/>
        </w:rPr>
        <w:t>B</w:t>
      </w:r>
      <w:r w:rsidR="00DA5529" w:rsidRPr="00220F55">
        <w:rPr>
          <w:rFonts w:ascii="Times New Roman" w:hAnsi="Times New Roman" w:cs="Times New Roman"/>
          <w:color w:val="000000"/>
          <w:sz w:val="24"/>
          <w:szCs w:val="24"/>
        </w:rPr>
        <w:t xml:space="preserve">lood </w:t>
      </w:r>
      <w:r w:rsidR="00F84573" w:rsidRPr="00220F55">
        <w:rPr>
          <w:rFonts w:ascii="Times New Roman" w:hAnsi="Times New Roman" w:cs="Times New Roman"/>
          <w:color w:val="000000"/>
          <w:sz w:val="24"/>
          <w:szCs w:val="24"/>
        </w:rPr>
        <w:t>S</w:t>
      </w:r>
      <w:r w:rsidR="00DA5529" w:rsidRPr="00220F55">
        <w:rPr>
          <w:rFonts w:ascii="Times New Roman" w:hAnsi="Times New Roman" w:cs="Times New Roman"/>
          <w:color w:val="000000"/>
          <w:sz w:val="24"/>
          <w:szCs w:val="24"/>
        </w:rPr>
        <w:t>upplier</w:t>
      </w:r>
      <w:r w:rsidR="007E7AB5" w:rsidRPr="00220F55">
        <w:rPr>
          <w:rFonts w:ascii="Times New Roman" w:hAnsi="Times New Roman" w:cs="Times New Roman"/>
          <w:color w:val="000000"/>
          <w:sz w:val="24"/>
          <w:szCs w:val="24"/>
        </w:rPr>
        <w:t>’s Medical Director</w:t>
      </w:r>
      <w:r w:rsidRPr="00220F55">
        <w:rPr>
          <w:rFonts w:ascii="Times New Roman" w:hAnsi="Times New Roman" w:cs="Times New Roman"/>
          <w:color w:val="000000"/>
          <w:sz w:val="24"/>
          <w:szCs w:val="24"/>
        </w:rPr>
        <w:t>.</w:t>
      </w:r>
    </w:p>
    <w:p w14:paraId="6B53A271"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Antigens to clinically significant antibodies are ABO, Rh (D, C, E, c, e), K, k, Fy</w:t>
      </w:r>
      <w:r w:rsidRPr="00220F55">
        <w:rPr>
          <w:rFonts w:ascii="Times New Roman" w:hAnsi="Times New Roman" w:cs="Times New Roman"/>
          <w:color w:val="000000"/>
          <w:sz w:val="24"/>
          <w:szCs w:val="24"/>
          <w:vertAlign w:val="superscript"/>
        </w:rPr>
        <w:t>a</w:t>
      </w:r>
      <w:r w:rsidRPr="00220F55">
        <w:rPr>
          <w:rFonts w:ascii="Times New Roman" w:hAnsi="Times New Roman" w:cs="Times New Roman"/>
          <w:color w:val="000000"/>
          <w:sz w:val="24"/>
          <w:szCs w:val="24"/>
        </w:rPr>
        <w:t>, Fy</w:t>
      </w:r>
      <w:r w:rsidRPr="00220F55">
        <w:rPr>
          <w:rFonts w:ascii="Times New Roman" w:hAnsi="Times New Roman" w:cs="Times New Roman"/>
          <w:color w:val="000000"/>
          <w:sz w:val="24"/>
          <w:szCs w:val="24"/>
          <w:vertAlign w:val="superscript"/>
        </w:rPr>
        <w:t>b</w:t>
      </w:r>
      <w:r w:rsidRPr="00220F55">
        <w:rPr>
          <w:rFonts w:ascii="Times New Roman" w:hAnsi="Times New Roman" w:cs="Times New Roman"/>
          <w:color w:val="000000"/>
          <w:sz w:val="24"/>
          <w:szCs w:val="24"/>
        </w:rPr>
        <w:t>, Jk</w:t>
      </w:r>
      <w:r w:rsidRPr="00220F55">
        <w:rPr>
          <w:rFonts w:ascii="Times New Roman" w:hAnsi="Times New Roman" w:cs="Times New Roman"/>
          <w:color w:val="000000"/>
          <w:sz w:val="24"/>
          <w:szCs w:val="24"/>
          <w:vertAlign w:val="superscript"/>
        </w:rPr>
        <w:t>a</w:t>
      </w:r>
      <w:r w:rsidRPr="00220F55">
        <w:rPr>
          <w:rFonts w:ascii="Times New Roman" w:hAnsi="Times New Roman" w:cs="Times New Roman"/>
          <w:color w:val="000000"/>
          <w:sz w:val="24"/>
          <w:szCs w:val="24"/>
        </w:rPr>
        <w:t>, Jk</w:t>
      </w:r>
      <w:r w:rsidRPr="00220F55">
        <w:rPr>
          <w:rFonts w:ascii="Times New Roman" w:hAnsi="Times New Roman" w:cs="Times New Roman"/>
          <w:color w:val="000000"/>
          <w:sz w:val="24"/>
          <w:szCs w:val="24"/>
          <w:vertAlign w:val="superscript"/>
        </w:rPr>
        <w:t>b</w:t>
      </w:r>
      <w:r w:rsidRPr="00220F55">
        <w:rPr>
          <w:rFonts w:ascii="Times New Roman" w:hAnsi="Times New Roman" w:cs="Times New Roman"/>
          <w:color w:val="000000"/>
          <w:sz w:val="24"/>
          <w:szCs w:val="24"/>
        </w:rPr>
        <w:t>, S and s.</w:t>
      </w:r>
    </w:p>
    <w:p w14:paraId="028BB0C1"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 xml:space="preserve">Even if the antibody is no longer detectable, RBCs for all subsequent transfusions should lack the antigen, to prevent a secondary immune response. </w:t>
      </w:r>
    </w:p>
    <w:p w14:paraId="44089E93"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c.</w:t>
      </w:r>
      <w:r w:rsidRPr="00220F55">
        <w:rPr>
          <w:rFonts w:ascii="Times New Roman" w:hAnsi="Times New Roman" w:cs="Times New Roman"/>
          <w:color w:val="000000"/>
          <w:sz w:val="24"/>
          <w:szCs w:val="24"/>
        </w:rPr>
        <w:tab/>
        <w:t>IAT crossmatch of the antigen negative donor RBC is required using the same technique (in general) that identified the antibody.</w:t>
      </w:r>
    </w:p>
    <w:p w14:paraId="19B84BAB"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d.</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Low Frequency Antigens</w:t>
      </w:r>
    </w:p>
    <w:p w14:paraId="4E3B9691" w14:textId="3C57D13A" w:rsidR="001D3BE5" w:rsidRPr="00220F55" w:rsidRDefault="00B843B0">
      <w:pPr>
        <w:widowControl w:val="0"/>
        <w:autoSpaceDE w:val="0"/>
        <w:autoSpaceDN w:val="0"/>
        <w:adjustRightInd w:val="0"/>
        <w:spacing w:after="0" w:line="240" w:lineRule="auto"/>
        <w:ind w:left="288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i)</w:t>
      </w:r>
      <w:r w:rsidRPr="00220F55">
        <w:rPr>
          <w:rFonts w:ascii="Times New Roman" w:hAnsi="Times New Roman" w:cs="Times New Roman"/>
          <w:color w:val="000000"/>
          <w:sz w:val="24"/>
          <w:szCs w:val="24"/>
        </w:rPr>
        <w:tab/>
        <w:t xml:space="preserve">Check the Antigen QC binder for available </w:t>
      </w:r>
      <w:r w:rsidRPr="00220F55">
        <w:rPr>
          <w:rFonts w:ascii="Times New Roman" w:hAnsi="Times New Roman" w:cs="Times New Roman"/>
          <w:b/>
          <w:bCs/>
          <w:color w:val="000000"/>
          <w:sz w:val="24"/>
          <w:szCs w:val="24"/>
        </w:rPr>
        <w:t>low frequency</w:t>
      </w:r>
      <w:r w:rsidRPr="00220F55">
        <w:rPr>
          <w:rFonts w:ascii="Times New Roman" w:hAnsi="Times New Roman" w:cs="Times New Roman"/>
          <w:color w:val="000000"/>
          <w:sz w:val="24"/>
          <w:szCs w:val="24"/>
        </w:rPr>
        <w:t xml:space="preserve"> antisera i.e. anti-C</w:t>
      </w:r>
      <w:r w:rsidRPr="00220F55">
        <w:rPr>
          <w:rFonts w:ascii="Times New Roman" w:hAnsi="Times New Roman" w:cs="Times New Roman"/>
          <w:color w:val="000000"/>
          <w:sz w:val="24"/>
          <w:szCs w:val="24"/>
          <w:vertAlign w:val="superscript"/>
        </w:rPr>
        <w:t>w</w:t>
      </w:r>
      <w:r w:rsidRPr="00220F55">
        <w:rPr>
          <w:rFonts w:ascii="Times New Roman" w:hAnsi="Times New Roman" w:cs="Times New Roman"/>
          <w:color w:val="000000"/>
          <w:sz w:val="24"/>
          <w:szCs w:val="24"/>
        </w:rPr>
        <w:t>, Kp</w:t>
      </w:r>
      <w:r w:rsidRPr="00220F55">
        <w:rPr>
          <w:rFonts w:ascii="Times New Roman" w:hAnsi="Times New Roman" w:cs="Times New Roman"/>
          <w:color w:val="000000"/>
          <w:sz w:val="24"/>
          <w:szCs w:val="24"/>
          <w:vertAlign w:val="superscript"/>
        </w:rPr>
        <w:t>a</w:t>
      </w:r>
      <w:r w:rsidRPr="00220F55">
        <w:rPr>
          <w:rFonts w:ascii="Times New Roman" w:hAnsi="Times New Roman" w:cs="Times New Roman"/>
          <w:color w:val="000000"/>
          <w:sz w:val="24"/>
          <w:szCs w:val="24"/>
        </w:rPr>
        <w:t xml:space="preserve">, etc.  If not available in house, check with </w:t>
      </w:r>
      <w:r w:rsidR="00F84573" w:rsidRPr="00220F55">
        <w:rPr>
          <w:rFonts w:ascii="Times New Roman" w:hAnsi="Times New Roman" w:cs="Times New Roman"/>
          <w:color w:val="000000"/>
          <w:sz w:val="24"/>
          <w:szCs w:val="24"/>
        </w:rPr>
        <w:t>Blood Supplier</w:t>
      </w:r>
      <w:r w:rsidRPr="00220F55">
        <w:rPr>
          <w:rFonts w:ascii="Times New Roman" w:hAnsi="Times New Roman" w:cs="Times New Roman"/>
          <w:color w:val="000000"/>
          <w:sz w:val="24"/>
          <w:szCs w:val="24"/>
        </w:rPr>
        <w:t xml:space="preserve"> if they provide confirmed antigen negative RBC for the specific low frequency antigen that the patient requires.</w:t>
      </w:r>
    </w:p>
    <w:p w14:paraId="5F0C2266" w14:textId="77777777" w:rsidR="001D3BE5" w:rsidRPr="00220F55" w:rsidRDefault="00B843B0">
      <w:pPr>
        <w:widowControl w:val="0"/>
        <w:autoSpaceDE w:val="0"/>
        <w:autoSpaceDN w:val="0"/>
        <w:adjustRightInd w:val="0"/>
        <w:spacing w:after="0" w:line="240" w:lineRule="auto"/>
        <w:ind w:left="288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ii)</w:t>
      </w:r>
      <w:r w:rsidRPr="00220F55">
        <w:rPr>
          <w:rFonts w:ascii="Times New Roman" w:hAnsi="Times New Roman" w:cs="Times New Roman"/>
          <w:color w:val="000000"/>
          <w:sz w:val="24"/>
          <w:szCs w:val="24"/>
        </w:rPr>
        <w:tab/>
        <w:t>If there is no commercial antisera to phenotype low frequency antigens, IAT crossmatch is required using the same technique (in general) that the antibody is identified.</w:t>
      </w:r>
    </w:p>
    <w:p w14:paraId="6F908835"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e.</w:t>
      </w:r>
      <w:r w:rsidRPr="00220F55">
        <w:rPr>
          <w:rFonts w:ascii="Times New Roman" w:hAnsi="Times New Roman" w:cs="Times New Roman"/>
          <w:color w:val="000000"/>
          <w:sz w:val="24"/>
          <w:szCs w:val="24"/>
        </w:rPr>
        <w:tab/>
        <w:t xml:space="preserve">Expired rare antisera can be used for antigen typing as long as the positive and negative QC results are acceptable. </w:t>
      </w:r>
    </w:p>
    <w:p w14:paraId="16C63B56" w14:textId="77777777" w:rsidR="001D3BE5" w:rsidRPr="00220F55" w:rsidRDefault="001D3BE5">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4DDF233D"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2.</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Clinically insignificant alloantibody not reacting at 37</w:t>
      </w:r>
      <w:r w:rsidRPr="00220F55">
        <w:rPr>
          <w:rFonts w:ascii="Times New Roman" w:hAnsi="Times New Roman" w:cs="Times New Roman"/>
          <w:b/>
          <w:bCs/>
          <w:color w:val="000000"/>
          <w:sz w:val="24"/>
          <w:szCs w:val="24"/>
          <w:vertAlign w:val="superscript"/>
        </w:rPr>
        <w:t>0</w:t>
      </w:r>
      <w:r w:rsidRPr="00220F55">
        <w:rPr>
          <w:rFonts w:ascii="Times New Roman" w:hAnsi="Times New Roman" w:cs="Times New Roman"/>
          <w:b/>
          <w:bCs/>
          <w:color w:val="000000"/>
          <w:sz w:val="24"/>
          <w:szCs w:val="24"/>
        </w:rPr>
        <w:t>C</w:t>
      </w:r>
      <w:r w:rsidRPr="00220F55">
        <w:rPr>
          <w:rFonts w:ascii="Times New Roman" w:hAnsi="Times New Roman" w:cs="Times New Roman"/>
          <w:color w:val="000000"/>
          <w:sz w:val="24"/>
          <w:szCs w:val="24"/>
        </w:rPr>
        <w:t xml:space="preserve"> ( Le</w:t>
      </w:r>
      <w:r w:rsidRPr="00220F55">
        <w:rPr>
          <w:rFonts w:ascii="Times New Roman" w:hAnsi="Times New Roman" w:cs="Times New Roman"/>
          <w:color w:val="000000"/>
          <w:sz w:val="24"/>
          <w:szCs w:val="24"/>
          <w:vertAlign w:val="superscript"/>
        </w:rPr>
        <w:t>a</w:t>
      </w:r>
      <w:r w:rsidRPr="00220F55">
        <w:rPr>
          <w:rFonts w:ascii="Times New Roman" w:hAnsi="Times New Roman" w:cs="Times New Roman"/>
          <w:color w:val="000000"/>
          <w:sz w:val="24"/>
          <w:szCs w:val="24"/>
        </w:rPr>
        <w:t>, Le</w:t>
      </w:r>
      <w:r w:rsidRPr="00220F55">
        <w:rPr>
          <w:rFonts w:ascii="Times New Roman" w:hAnsi="Times New Roman" w:cs="Times New Roman"/>
          <w:color w:val="000000"/>
          <w:sz w:val="24"/>
          <w:szCs w:val="24"/>
          <w:vertAlign w:val="superscript"/>
        </w:rPr>
        <w:t>b</w:t>
      </w:r>
      <w:r w:rsidRPr="00220F55">
        <w:rPr>
          <w:rFonts w:ascii="Times New Roman" w:hAnsi="Times New Roman" w:cs="Times New Roman"/>
          <w:color w:val="000000"/>
          <w:sz w:val="24"/>
          <w:szCs w:val="24"/>
        </w:rPr>
        <w:t>, M, N, P</w:t>
      </w:r>
      <w:r w:rsidRPr="00220F55">
        <w:rPr>
          <w:rFonts w:ascii="Times New Roman" w:hAnsi="Times New Roman" w:cs="Times New Roman"/>
          <w:color w:val="000000"/>
          <w:sz w:val="24"/>
          <w:szCs w:val="24"/>
          <w:vertAlign w:val="subscript"/>
        </w:rPr>
        <w:t>1</w:t>
      </w:r>
      <w:r w:rsidRPr="00220F55">
        <w:rPr>
          <w:rFonts w:ascii="Times New Roman" w:hAnsi="Times New Roman" w:cs="Times New Roman"/>
          <w:color w:val="000000"/>
          <w:sz w:val="24"/>
          <w:szCs w:val="24"/>
        </w:rPr>
        <w:t>, Lu</w:t>
      </w:r>
      <w:r w:rsidRPr="00220F55">
        <w:rPr>
          <w:rFonts w:ascii="Times New Roman" w:hAnsi="Times New Roman" w:cs="Times New Roman"/>
          <w:color w:val="000000"/>
          <w:sz w:val="24"/>
          <w:szCs w:val="24"/>
          <w:vertAlign w:val="superscript"/>
        </w:rPr>
        <w:t>a</w:t>
      </w:r>
      <w:r w:rsidRPr="00220F55">
        <w:rPr>
          <w:rFonts w:ascii="Times New Roman" w:hAnsi="Times New Roman" w:cs="Times New Roman"/>
          <w:color w:val="000000"/>
          <w:sz w:val="24"/>
          <w:szCs w:val="24"/>
        </w:rPr>
        <w:t>, A</w:t>
      </w:r>
      <w:r w:rsidRPr="00220F55">
        <w:rPr>
          <w:rFonts w:ascii="Times New Roman" w:hAnsi="Times New Roman" w:cs="Times New Roman"/>
          <w:color w:val="000000"/>
          <w:sz w:val="24"/>
          <w:szCs w:val="24"/>
          <w:vertAlign w:val="subscript"/>
        </w:rPr>
        <w:t>1</w:t>
      </w:r>
      <w:r w:rsidRPr="00220F55">
        <w:rPr>
          <w:rFonts w:ascii="Times New Roman" w:hAnsi="Times New Roman" w:cs="Times New Roman"/>
          <w:color w:val="000000"/>
          <w:sz w:val="24"/>
          <w:szCs w:val="24"/>
        </w:rPr>
        <w:t>, Sd</w:t>
      </w:r>
      <w:r w:rsidRPr="00220F55">
        <w:rPr>
          <w:rFonts w:ascii="Times New Roman" w:hAnsi="Times New Roman" w:cs="Times New Roman"/>
          <w:color w:val="000000"/>
          <w:sz w:val="24"/>
          <w:szCs w:val="24"/>
          <w:vertAlign w:val="superscript"/>
        </w:rPr>
        <w:t>a</w:t>
      </w:r>
      <w:r w:rsidRPr="00220F55">
        <w:rPr>
          <w:rFonts w:ascii="Times New Roman" w:hAnsi="Times New Roman" w:cs="Times New Roman"/>
          <w:color w:val="000000"/>
          <w:sz w:val="24"/>
          <w:szCs w:val="24"/>
        </w:rPr>
        <w:t>, HTLA)</w:t>
      </w:r>
    </w:p>
    <w:p w14:paraId="0457C291"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Donor antigen typing is not necessary but IAT crossmatch is required using the same technique (in general) that identified the antibody.</w:t>
      </w:r>
    </w:p>
    <w:p w14:paraId="35CFDB44" w14:textId="77777777" w:rsidR="001D3BE5" w:rsidRPr="00220F55" w:rsidRDefault="001D3BE5">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021B8817"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3.</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Screening donor units with patient's plasma</w:t>
      </w:r>
      <w:r w:rsidRPr="00220F55">
        <w:rPr>
          <w:rFonts w:ascii="Times New Roman" w:hAnsi="Times New Roman" w:cs="Times New Roman"/>
          <w:color w:val="000000"/>
          <w:sz w:val="24"/>
          <w:szCs w:val="24"/>
        </w:rPr>
        <w:t xml:space="preserve"> </w:t>
      </w:r>
    </w:p>
    <w:p w14:paraId="7540794C"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 xml:space="preserve">In order to save expensive or rare antiserum, </w:t>
      </w:r>
      <w:r w:rsidRPr="00220F55">
        <w:rPr>
          <w:rFonts w:ascii="Times New Roman" w:hAnsi="Times New Roman" w:cs="Times New Roman"/>
          <w:b/>
          <w:bCs/>
          <w:color w:val="000000"/>
          <w:sz w:val="24"/>
          <w:szCs w:val="24"/>
        </w:rPr>
        <w:t>if</w:t>
      </w:r>
      <w:r w:rsidRPr="00220F55">
        <w:rPr>
          <w:rFonts w:ascii="Times New Roman" w:hAnsi="Times New Roman" w:cs="Times New Roman"/>
          <w:color w:val="000000"/>
          <w:sz w:val="24"/>
          <w:szCs w:val="24"/>
        </w:rPr>
        <w:t xml:space="preserve"> </w:t>
      </w:r>
      <w:r w:rsidRPr="00220F55">
        <w:rPr>
          <w:rFonts w:ascii="Times New Roman" w:hAnsi="Times New Roman" w:cs="Times New Roman"/>
          <w:b/>
          <w:bCs/>
          <w:color w:val="000000"/>
          <w:sz w:val="24"/>
          <w:szCs w:val="24"/>
        </w:rPr>
        <w:t>patient's antibody gives</w:t>
      </w:r>
      <w:r w:rsidRPr="00220F55">
        <w:rPr>
          <w:rFonts w:ascii="Times New Roman" w:hAnsi="Times New Roman" w:cs="Times New Roman"/>
          <w:color w:val="000000"/>
          <w:sz w:val="24"/>
          <w:szCs w:val="24"/>
        </w:rPr>
        <w:t xml:space="preserve"> </w:t>
      </w:r>
      <w:r w:rsidRPr="00220F55">
        <w:rPr>
          <w:rFonts w:ascii="Times New Roman" w:hAnsi="Times New Roman" w:cs="Times New Roman"/>
          <w:b/>
          <w:bCs/>
          <w:color w:val="000000"/>
          <w:sz w:val="24"/>
          <w:szCs w:val="24"/>
        </w:rPr>
        <w:t>2+ or stronger reaction</w:t>
      </w:r>
      <w:r w:rsidRPr="00220F55">
        <w:rPr>
          <w:rFonts w:ascii="Times New Roman" w:hAnsi="Times New Roman" w:cs="Times New Roman"/>
          <w:color w:val="000000"/>
          <w:sz w:val="24"/>
          <w:szCs w:val="24"/>
        </w:rPr>
        <w:t>, the patient's plasma can be used to find crossmatched compatible units. Result incompatible units (but do not set the units to 'crossmatched' status) in the computer to capture workload.</w:t>
      </w:r>
    </w:p>
    <w:p w14:paraId="457A597D"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 xml:space="preserve">Nonreactive units must then be confirmed with the commercial antisera reagent. </w:t>
      </w:r>
    </w:p>
    <w:p w14:paraId="01C7EB27" w14:textId="6FBDEBEB" w:rsidR="001D3BE5" w:rsidRDefault="001D3BE5">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6D94E95E"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lastRenderedPageBreak/>
        <w:t>4.</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Frequency of compatible donor units</w:t>
      </w:r>
      <w:r w:rsidRPr="00220F55">
        <w:rPr>
          <w:rFonts w:ascii="Times New Roman" w:hAnsi="Times New Roman" w:cs="Times New Roman"/>
          <w:color w:val="000000"/>
          <w:sz w:val="24"/>
          <w:szCs w:val="24"/>
        </w:rPr>
        <w:t xml:space="preserve"> </w:t>
      </w:r>
    </w:p>
    <w:p w14:paraId="04C9AFD1"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 xml:space="preserve">When a patient has </w:t>
      </w:r>
      <w:r w:rsidRPr="00220F55">
        <w:rPr>
          <w:rFonts w:ascii="Times New Roman" w:hAnsi="Times New Roman" w:cs="Times New Roman"/>
          <w:b/>
          <w:bCs/>
          <w:color w:val="000000"/>
          <w:sz w:val="24"/>
          <w:szCs w:val="24"/>
        </w:rPr>
        <w:t>multiple antibodies</w:t>
      </w:r>
      <w:r w:rsidRPr="00220F55">
        <w:rPr>
          <w:rFonts w:ascii="Times New Roman" w:hAnsi="Times New Roman" w:cs="Times New Roman"/>
          <w:color w:val="000000"/>
          <w:sz w:val="24"/>
          <w:szCs w:val="24"/>
        </w:rPr>
        <w:t xml:space="preserve">, it can be helpful to determine the frequency of compatible donor units. </w:t>
      </w:r>
    </w:p>
    <w:p w14:paraId="486AA849"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Calculations</w:t>
      </w:r>
    </w:p>
    <w:p w14:paraId="3EC6DDAC" w14:textId="77777777" w:rsidR="001D3BE5" w:rsidRPr="00220F55" w:rsidRDefault="00B843B0">
      <w:pPr>
        <w:widowControl w:val="0"/>
        <w:autoSpaceDE w:val="0"/>
        <w:autoSpaceDN w:val="0"/>
        <w:adjustRightInd w:val="0"/>
        <w:spacing w:after="0" w:line="240" w:lineRule="auto"/>
        <w:ind w:left="288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i)</w:t>
      </w:r>
      <w:r w:rsidRPr="00220F55">
        <w:rPr>
          <w:rFonts w:ascii="Times New Roman" w:hAnsi="Times New Roman" w:cs="Times New Roman"/>
          <w:color w:val="000000"/>
          <w:sz w:val="24"/>
          <w:szCs w:val="24"/>
        </w:rPr>
        <w:tab/>
        <w:t>For example, if a serum contains anti-c, Fy</w:t>
      </w:r>
      <w:r w:rsidRPr="00220F55">
        <w:rPr>
          <w:rFonts w:ascii="Times New Roman" w:hAnsi="Times New Roman" w:cs="Times New Roman"/>
          <w:color w:val="000000"/>
          <w:sz w:val="24"/>
          <w:szCs w:val="24"/>
          <w:vertAlign w:val="superscript"/>
        </w:rPr>
        <w:t>a</w:t>
      </w:r>
      <w:r w:rsidRPr="00220F55">
        <w:rPr>
          <w:rFonts w:ascii="Times New Roman" w:hAnsi="Times New Roman" w:cs="Times New Roman"/>
          <w:color w:val="000000"/>
          <w:sz w:val="24"/>
          <w:szCs w:val="24"/>
        </w:rPr>
        <w:t xml:space="preserve"> and S, while antigen frequencies among random donor population are 18 % c negative, 34 % Fy(a-), and 45 % S negative, then the frequency of compatible donor units would be 0.18 x  0.34 x 0.45 = 0.028.  In other words, if you screen a hundred units you will find 2 to 3 units that is c-, Fy(a-) and S- (or 1/0.028 = screen 36 units to find one unit).</w:t>
      </w:r>
    </w:p>
    <w:p w14:paraId="6E32F190" w14:textId="6D02A741" w:rsidR="001D3BE5" w:rsidRPr="00220F55" w:rsidRDefault="00B843B0">
      <w:pPr>
        <w:widowControl w:val="0"/>
        <w:autoSpaceDE w:val="0"/>
        <w:autoSpaceDN w:val="0"/>
        <w:adjustRightInd w:val="0"/>
        <w:spacing w:after="0" w:line="240" w:lineRule="auto"/>
        <w:ind w:left="288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ii)</w:t>
      </w:r>
      <w:r w:rsidRPr="00220F55">
        <w:rPr>
          <w:rFonts w:ascii="Times New Roman" w:hAnsi="Times New Roman" w:cs="Times New Roman"/>
          <w:color w:val="000000"/>
          <w:sz w:val="24"/>
          <w:szCs w:val="24"/>
        </w:rPr>
        <w:tab/>
        <w:t xml:space="preserve">If the calculated frequency is less than 5%, order historically antigen negative donor units from Blood </w:t>
      </w:r>
      <w:r w:rsidR="00F84573" w:rsidRPr="00220F55">
        <w:rPr>
          <w:rFonts w:ascii="Times New Roman" w:hAnsi="Times New Roman" w:cs="Times New Roman"/>
          <w:color w:val="000000"/>
          <w:sz w:val="24"/>
          <w:szCs w:val="24"/>
        </w:rPr>
        <w:t>Supplier</w:t>
      </w:r>
      <w:r w:rsidRPr="00220F55">
        <w:rPr>
          <w:rFonts w:ascii="Times New Roman" w:hAnsi="Times New Roman" w:cs="Times New Roman"/>
          <w:color w:val="000000"/>
          <w:sz w:val="24"/>
          <w:szCs w:val="24"/>
        </w:rPr>
        <w:t xml:space="preserve">.  Otherwise, if workload permits, crossmatch with patient's plasma or antisera using </w:t>
      </w:r>
      <w:r w:rsidR="00B41759">
        <w:rPr>
          <w:rFonts w:ascii="Times New Roman" w:hAnsi="Times New Roman" w:cs="Times New Roman"/>
          <w:color w:val="000000"/>
          <w:sz w:val="24"/>
          <w:szCs w:val="24"/>
        </w:rPr>
        <w:t>analyzer</w:t>
      </w:r>
      <w:r w:rsidRPr="00220F55">
        <w:rPr>
          <w:rFonts w:ascii="Times New Roman" w:hAnsi="Times New Roman" w:cs="Times New Roman"/>
          <w:color w:val="000000"/>
          <w:sz w:val="24"/>
          <w:szCs w:val="24"/>
        </w:rPr>
        <w:t>.  Confirm the compatible donor units using commercial antiserum following manufacturer's insert.</w:t>
      </w:r>
    </w:p>
    <w:p w14:paraId="336A1899" w14:textId="77777777" w:rsidR="001D3BE5" w:rsidRPr="00220F55" w:rsidRDefault="001D3BE5">
      <w:pPr>
        <w:widowControl w:val="0"/>
        <w:autoSpaceDE w:val="0"/>
        <w:autoSpaceDN w:val="0"/>
        <w:adjustRightInd w:val="0"/>
        <w:spacing w:after="0" w:line="240" w:lineRule="auto"/>
        <w:ind w:left="2880" w:hanging="720"/>
        <w:rPr>
          <w:rFonts w:ascii="Times New Roman" w:hAnsi="Times New Roman" w:cs="Times New Roman"/>
          <w:color w:val="000000"/>
          <w:sz w:val="24"/>
          <w:szCs w:val="24"/>
        </w:rPr>
      </w:pPr>
    </w:p>
    <w:p w14:paraId="083E8605"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5.</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Historically antigen negative units</w:t>
      </w:r>
      <w:r w:rsidRPr="00220F55">
        <w:rPr>
          <w:rFonts w:ascii="Times New Roman" w:hAnsi="Times New Roman" w:cs="Times New Roman"/>
          <w:color w:val="000000"/>
          <w:sz w:val="24"/>
          <w:szCs w:val="24"/>
        </w:rPr>
        <w:t xml:space="preserve"> must be reconfirmed with commercial antiserum, label with antigen typing label and result in the computer.</w:t>
      </w:r>
    </w:p>
    <w:p w14:paraId="61A81886" w14:textId="77777777" w:rsidR="001D3BE5" w:rsidRPr="00220F55" w:rsidRDefault="001D3BE5">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p>
    <w:p w14:paraId="08C1BB0E" w14:textId="67CC8F89"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6.</w:t>
      </w:r>
      <w:r w:rsidRPr="00220F55">
        <w:rPr>
          <w:rFonts w:ascii="Times New Roman" w:hAnsi="Times New Roman" w:cs="Times New Roman"/>
          <w:b/>
          <w:bCs/>
          <w:color w:val="000000"/>
          <w:sz w:val="24"/>
          <w:szCs w:val="24"/>
        </w:rPr>
        <w:tab/>
        <w:t xml:space="preserve">Antigen typing Confirmed by </w:t>
      </w:r>
      <w:r w:rsidR="00F84573" w:rsidRPr="00220F55">
        <w:rPr>
          <w:rFonts w:ascii="Times New Roman" w:hAnsi="Times New Roman" w:cs="Times New Roman"/>
          <w:b/>
          <w:bCs/>
          <w:color w:val="000000"/>
          <w:sz w:val="24"/>
          <w:szCs w:val="24"/>
        </w:rPr>
        <w:t>Blood Supplier</w:t>
      </w:r>
    </w:p>
    <w:p w14:paraId="0B31AA8E" w14:textId="400B54D0"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 xml:space="preserve">If </w:t>
      </w:r>
      <w:r w:rsidR="00F84573" w:rsidRPr="00220F55">
        <w:rPr>
          <w:rFonts w:ascii="Times New Roman" w:hAnsi="Times New Roman" w:cs="Times New Roman"/>
          <w:color w:val="000000"/>
          <w:sz w:val="24"/>
          <w:szCs w:val="24"/>
        </w:rPr>
        <w:t>Blood Supplier</w:t>
      </w:r>
      <w:r w:rsidRPr="00220F55">
        <w:rPr>
          <w:rFonts w:ascii="Times New Roman" w:hAnsi="Times New Roman" w:cs="Times New Roman"/>
          <w:color w:val="000000"/>
          <w:sz w:val="24"/>
          <w:szCs w:val="24"/>
        </w:rPr>
        <w:t xml:space="preserve"> has confirmed the antigens to be negative, it is not necessary to reconfirm the antigen typing of the units.  </w:t>
      </w:r>
    </w:p>
    <w:p w14:paraId="0B68D258" w14:textId="77777777" w:rsidR="001D3BE5" w:rsidRPr="00220F55" w:rsidRDefault="00B843B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b.</w:t>
      </w:r>
      <w:r w:rsidRPr="00220F55">
        <w:rPr>
          <w:rFonts w:ascii="Times New Roman" w:hAnsi="Times New Roman" w:cs="Times New Roman"/>
          <w:color w:val="000000"/>
          <w:sz w:val="24"/>
          <w:szCs w:val="24"/>
        </w:rPr>
        <w:tab/>
        <w:t>Enter the antigens as Special Testing when the unit is received into inventory.</w:t>
      </w:r>
    </w:p>
    <w:p w14:paraId="4F5A3BC1" w14:textId="77777777" w:rsidR="001D3BE5" w:rsidRPr="00220F55" w:rsidRDefault="001D3BE5" w:rsidP="00647B4D">
      <w:pPr>
        <w:widowControl w:val="0"/>
        <w:autoSpaceDE w:val="0"/>
        <w:autoSpaceDN w:val="0"/>
        <w:adjustRightInd w:val="0"/>
        <w:spacing w:line="240" w:lineRule="auto"/>
        <w:ind w:left="2160" w:hanging="720"/>
        <w:rPr>
          <w:rFonts w:ascii="Times New Roman" w:hAnsi="Times New Roman" w:cs="Times New Roman"/>
          <w:color w:val="000000"/>
          <w:sz w:val="24"/>
          <w:szCs w:val="24"/>
        </w:rPr>
      </w:pPr>
    </w:p>
    <w:p w14:paraId="53B34762" w14:textId="77777777" w:rsidR="001D3BE5" w:rsidRPr="00220F55" w:rsidRDefault="00B843B0">
      <w:pPr>
        <w:widowControl w:val="0"/>
        <w:autoSpaceDE w:val="0"/>
        <w:autoSpaceDN w:val="0"/>
        <w:adjustRightInd w:val="0"/>
        <w:spacing w:after="0" w:line="240" w:lineRule="auto"/>
        <w:ind w:left="720" w:hanging="720"/>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D.</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Interpretation of Result</w:t>
      </w:r>
    </w:p>
    <w:p w14:paraId="1FC66680"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1.</w:t>
      </w:r>
      <w:r w:rsidRPr="00220F55">
        <w:rPr>
          <w:rFonts w:ascii="Times New Roman" w:hAnsi="Times New Roman" w:cs="Times New Roman"/>
          <w:color w:val="000000"/>
          <w:sz w:val="24"/>
          <w:szCs w:val="24"/>
        </w:rPr>
        <w:tab/>
        <w:t xml:space="preserve">Agglutination of the red cells in the presence of reagent is a positive test result and indicates the presence of the antigen.  </w:t>
      </w:r>
    </w:p>
    <w:p w14:paraId="1957058F"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2.</w:t>
      </w:r>
      <w:r w:rsidRPr="00220F55">
        <w:rPr>
          <w:rFonts w:ascii="Times New Roman" w:hAnsi="Times New Roman" w:cs="Times New Roman"/>
          <w:color w:val="000000"/>
          <w:sz w:val="24"/>
          <w:szCs w:val="24"/>
        </w:rPr>
        <w:tab/>
        <w:t xml:space="preserve">Investigate any </w:t>
      </w:r>
      <w:r w:rsidRPr="00220F55">
        <w:rPr>
          <w:rFonts w:ascii="Times New Roman" w:hAnsi="Times New Roman" w:cs="Times New Roman"/>
          <w:b/>
          <w:bCs/>
          <w:color w:val="000000"/>
          <w:sz w:val="24"/>
          <w:szCs w:val="24"/>
        </w:rPr>
        <w:t xml:space="preserve">mixed field </w:t>
      </w:r>
      <w:r w:rsidRPr="00220F55">
        <w:rPr>
          <w:rFonts w:ascii="Times New Roman" w:hAnsi="Times New Roman" w:cs="Times New Roman"/>
          <w:color w:val="000000"/>
          <w:sz w:val="24"/>
          <w:szCs w:val="24"/>
        </w:rPr>
        <w:t>positive reaction or reaction</w:t>
      </w:r>
      <w:r w:rsidRPr="00220F55">
        <w:rPr>
          <w:rFonts w:ascii="Times New Roman" w:hAnsi="Times New Roman" w:cs="Times New Roman"/>
          <w:b/>
          <w:bCs/>
          <w:color w:val="000000"/>
          <w:sz w:val="24"/>
          <w:szCs w:val="24"/>
        </w:rPr>
        <w:t xml:space="preserve"> less than 2+. </w:t>
      </w:r>
      <w:r w:rsidRPr="00220F55">
        <w:rPr>
          <w:rFonts w:ascii="Times New Roman" w:hAnsi="Times New Roman" w:cs="Times New Roman"/>
          <w:color w:val="000000"/>
          <w:sz w:val="24"/>
          <w:szCs w:val="24"/>
        </w:rPr>
        <w:t xml:space="preserve"> Refer to the manufacturer's insert for acceptable reaction strength</w:t>
      </w:r>
      <w:r w:rsidRPr="00220F55">
        <w:rPr>
          <w:rFonts w:ascii="Times New Roman" w:hAnsi="Times New Roman" w:cs="Times New Roman"/>
          <w:b/>
          <w:bCs/>
          <w:color w:val="000000"/>
          <w:sz w:val="24"/>
          <w:szCs w:val="24"/>
        </w:rPr>
        <w:t>.</w:t>
      </w:r>
      <w:r w:rsidRPr="00220F55">
        <w:rPr>
          <w:rFonts w:ascii="Times New Roman" w:hAnsi="Times New Roman" w:cs="Times New Roman"/>
          <w:color w:val="000000"/>
          <w:sz w:val="24"/>
          <w:szCs w:val="24"/>
        </w:rPr>
        <w:t xml:space="preserve">  </w:t>
      </w:r>
    </w:p>
    <w:p w14:paraId="3A7CF63F"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3.</w:t>
      </w:r>
      <w:r w:rsidRPr="00220F55">
        <w:rPr>
          <w:rFonts w:ascii="Times New Roman" w:hAnsi="Times New Roman" w:cs="Times New Roman"/>
          <w:color w:val="000000"/>
          <w:sz w:val="24"/>
          <w:szCs w:val="24"/>
        </w:rPr>
        <w:tab/>
        <w:t xml:space="preserve">No agglutination is a negative result and indicates the absence of the antigen.    </w:t>
      </w:r>
    </w:p>
    <w:p w14:paraId="66FFAAAC" w14:textId="77777777" w:rsidR="001D3BE5" w:rsidRPr="00220F55" w:rsidRDefault="00B843B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4.</w:t>
      </w:r>
      <w:r w:rsidRPr="00220F55">
        <w:rPr>
          <w:rFonts w:ascii="Times New Roman" w:hAnsi="Times New Roman" w:cs="Times New Roman"/>
          <w:b/>
          <w:bCs/>
          <w:color w:val="000000"/>
          <w:sz w:val="24"/>
          <w:szCs w:val="24"/>
        </w:rPr>
        <w:tab/>
        <w:t>Label</w:t>
      </w:r>
      <w:r w:rsidRPr="00220F55">
        <w:rPr>
          <w:rFonts w:ascii="Times New Roman" w:hAnsi="Times New Roman" w:cs="Times New Roman"/>
          <w:color w:val="000000"/>
          <w:sz w:val="24"/>
          <w:szCs w:val="24"/>
        </w:rPr>
        <w:t xml:space="preserve"> the unit with antigen typing sticker and result the antigen typing in the computer.</w:t>
      </w:r>
    </w:p>
    <w:p w14:paraId="794375E0" w14:textId="77777777" w:rsidR="001D3BE5" w:rsidRPr="00220F55" w:rsidRDefault="001D3BE5" w:rsidP="00647B4D">
      <w:pPr>
        <w:widowControl w:val="0"/>
        <w:autoSpaceDE w:val="0"/>
        <w:autoSpaceDN w:val="0"/>
        <w:adjustRightInd w:val="0"/>
        <w:spacing w:line="240" w:lineRule="auto"/>
        <w:ind w:left="1440" w:hanging="720"/>
        <w:rPr>
          <w:rFonts w:ascii="Times New Roman" w:hAnsi="Times New Roman" w:cs="Times New Roman"/>
          <w:color w:val="000000"/>
          <w:sz w:val="24"/>
          <w:szCs w:val="24"/>
        </w:rPr>
      </w:pPr>
    </w:p>
    <w:p w14:paraId="2C0E1A12"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color w:val="000000"/>
          <w:sz w:val="24"/>
          <w:szCs w:val="24"/>
        </w:rPr>
        <w:t>E.</w:t>
      </w:r>
      <w:r w:rsidRPr="00220F55">
        <w:rPr>
          <w:rFonts w:ascii="Times New Roman" w:hAnsi="Times New Roman" w:cs="Times New Roman"/>
          <w:color w:val="000000"/>
          <w:sz w:val="24"/>
          <w:szCs w:val="24"/>
        </w:rPr>
        <w:tab/>
      </w:r>
      <w:r w:rsidRPr="00220F55">
        <w:rPr>
          <w:rFonts w:ascii="Times New Roman" w:hAnsi="Times New Roman" w:cs="Times New Roman"/>
          <w:b/>
          <w:bCs/>
          <w:color w:val="000000"/>
          <w:sz w:val="24"/>
          <w:szCs w:val="24"/>
        </w:rPr>
        <w:t>Resulting in computer</w:t>
      </w:r>
    </w:p>
    <w:p w14:paraId="340AFC95" w14:textId="77777777" w:rsidR="001D3BE5" w:rsidRPr="00220F55" w:rsidRDefault="00B843B0">
      <w:pPr>
        <w:widowControl w:val="0"/>
        <w:autoSpaceDE w:val="0"/>
        <w:autoSpaceDN w:val="0"/>
        <w:adjustRightInd w:val="0"/>
        <w:spacing w:after="0" w:line="240" w:lineRule="auto"/>
        <w:ind w:left="720"/>
        <w:rPr>
          <w:rFonts w:ascii="Times New Roman" w:hAnsi="Times New Roman" w:cs="Times New Roman"/>
          <w:color w:val="000000"/>
          <w:sz w:val="24"/>
          <w:szCs w:val="24"/>
        </w:rPr>
      </w:pPr>
      <w:r w:rsidRPr="00220F55">
        <w:rPr>
          <w:rFonts w:ascii="Times New Roman" w:hAnsi="Times New Roman" w:cs="Times New Roman"/>
          <w:color w:val="000000"/>
          <w:sz w:val="24"/>
          <w:szCs w:val="24"/>
        </w:rPr>
        <w:t>Order the appropriate test mnemonics and enter result as the test is read in the LIS. See computer SOP.</w:t>
      </w:r>
    </w:p>
    <w:p w14:paraId="2488A404" w14:textId="77777777" w:rsidR="001D3BE5" w:rsidRPr="00220F55" w:rsidRDefault="001D3BE5" w:rsidP="00647B4D">
      <w:pPr>
        <w:widowControl w:val="0"/>
        <w:autoSpaceDE w:val="0"/>
        <w:autoSpaceDN w:val="0"/>
        <w:adjustRightInd w:val="0"/>
        <w:spacing w:line="240" w:lineRule="auto"/>
        <w:ind w:left="720" w:hanging="720"/>
        <w:rPr>
          <w:rFonts w:ascii="Times New Roman" w:hAnsi="Times New Roman" w:cs="Times New Roman"/>
          <w:color w:val="000000"/>
          <w:sz w:val="24"/>
          <w:szCs w:val="24"/>
        </w:rPr>
      </w:pPr>
    </w:p>
    <w:p w14:paraId="2908F6A9" w14:textId="77777777" w:rsidR="001D3BE5" w:rsidRPr="00220F55" w:rsidRDefault="00B843B0">
      <w:pPr>
        <w:widowControl w:val="0"/>
        <w:autoSpaceDE w:val="0"/>
        <w:autoSpaceDN w:val="0"/>
        <w:adjustRightInd w:val="0"/>
        <w:spacing w:after="0" w:line="240" w:lineRule="auto"/>
        <w:rPr>
          <w:rFonts w:ascii="Times New Roman" w:hAnsi="Times New Roman" w:cs="Times New Roman"/>
          <w:b/>
          <w:bCs/>
          <w:color w:val="000000"/>
          <w:sz w:val="24"/>
          <w:szCs w:val="24"/>
        </w:rPr>
      </w:pPr>
      <w:r w:rsidRPr="00220F55">
        <w:rPr>
          <w:rFonts w:ascii="Times New Roman" w:hAnsi="Times New Roman" w:cs="Times New Roman"/>
          <w:b/>
          <w:bCs/>
          <w:color w:val="000000"/>
          <w:sz w:val="24"/>
          <w:szCs w:val="24"/>
        </w:rPr>
        <w:t>REFERENCE</w:t>
      </w:r>
      <w:r w:rsidRPr="00220F55">
        <w:rPr>
          <w:rFonts w:ascii="Times New Roman" w:hAnsi="Times New Roman" w:cs="Times New Roman"/>
          <w:b/>
          <w:bCs/>
          <w:color w:val="000000"/>
          <w:sz w:val="24"/>
          <w:szCs w:val="24"/>
        </w:rPr>
        <w:tab/>
      </w:r>
    </w:p>
    <w:p w14:paraId="57EB76A1" w14:textId="77777777" w:rsidR="001D3BE5" w:rsidRDefault="00B843B0">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220F55">
        <w:rPr>
          <w:rFonts w:ascii="Times New Roman" w:hAnsi="Times New Roman" w:cs="Times New Roman"/>
          <w:color w:val="000000"/>
          <w:sz w:val="24"/>
          <w:szCs w:val="24"/>
        </w:rPr>
        <w:t>A.</w:t>
      </w:r>
      <w:r w:rsidRPr="00220F55">
        <w:rPr>
          <w:rFonts w:ascii="Times New Roman" w:hAnsi="Times New Roman" w:cs="Times New Roman"/>
          <w:color w:val="000000"/>
          <w:sz w:val="24"/>
          <w:szCs w:val="24"/>
        </w:rPr>
        <w:tab/>
        <w:t>AABB, Standards for Blood Banks and Transfusion Services, current edition, Bethesda, MD.</w:t>
      </w:r>
    </w:p>
    <w:sectPr w:rsidR="001D3BE5" w:rsidSect="00BE6F37">
      <w:headerReference w:type="default" r:id="rId7"/>
      <w:headerReference w:type="first" r:id="rId8"/>
      <w:pgSz w:w="12240" w:h="15840"/>
      <w:pgMar w:top="1152" w:right="1440" w:bottom="1152"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970A" w14:textId="77777777" w:rsidR="001658C9" w:rsidRDefault="001658C9" w:rsidP="001658C9">
      <w:pPr>
        <w:spacing w:after="0" w:line="240" w:lineRule="auto"/>
      </w:pPr>
      <w:r>
        <w:separator/>
      </w:r>
    </w:p>
  </w:endnote>
  <w:endnote w:type="continuationSeparator" w:id="0">
    <w:p w14:paraId="0785A093" w14:textId="77777777" w:rsidR="001658C9" w:rsidRDefault="001658C9" w:rsidP="0016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6B0D" w14:textId="77777777" w:rsidR="001658C9" w:rsidRDefault="001658C9" w:rsidP="001658C9">
      <w:pPr>
        <w:spacing w:after="0" w:line="240" w:lineRule="auto"/>
      </w:pPr>
      <w:r>
        <w:separator/>
      </w:r>
    </w:p>
  </w:footnote>
  <w:footnote w:type="continuationSeparator" w:id="0">
    <w:p w14:paraId="336483F3" w14:textId="77777777" w:rsidR="001658C9" w:rsidRDefault="001658C9" w:rsidP="00165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0800" w:type="dxa"/>
      <w:jc w:val="center"/>
      <w:tblLook w:val="04A0" w:firstRow="1" w:lastRow="0" w:firstColumn="1" w:lastColumn="0" w:noHBand="0" w:noVBand="1"/>
    </w:tblPr>
    <w:tblGrid>
      <w:gridCol w:w="6601"/>
      <w:gridCol w:w="2383"/>
      <w:gridCol w:w="1816"/>
    </w:tblGrid>
    <w:tr w:rsidR="001658C9" w:rsidRPr="001658C9" w14:paraId="779D968B" w14:textId="77777777" w:rsidTr="00F533A8">
      <w:trPr>
        <w:trHeight w:val="350"/>
        <w:jc w:val="center"/>
      </w:trPr>
      <w:tc>
        <w:tcPr>
          <w:tcW w:w="6216" w:type="dxa"/>
          <w:shd w:val="clear" w:color="auto" w:fill="auto"/>
          <w:vAlign w:val="center"/>
        </w:tcPr>
        <w:p w14:paraId="2BC8FDCB" w14:textId="4C1EE6FB" w:rsidR="001658C9" w:rsidRPr="001658C9" w:rsidRDefault="009D20D5" w:rsidP="001658C9">
          <w:pPr>
            <w:tabs>
              <w:tab w:val="right" w:pos="5094"/>
            </w:tabs>
            <w:rPr>
              <w:rFonts w:ascii="Arial" w:hAnsi="Arial" w:cs="Arial"/>
              <w:b/>
              <w:color w:val="1F3864"/>
            </w:rPr>
          </w:pPr>
          <w:r w:rsidRPr="009D20D5">
            <w:rPr>
              <w:rFonts w:ascii="Calibri" w:hAnsi="Calibri" w:cs="Times New Roman"/>
              <w:b/>
              <w:sz w:val="28"/>
              <w:szCs w:val="28"/>
            </w:rPr>
            <w:t>TS – ANTIGEN TYPING</w:t>
          </w:r>
        </w:p>
      </w:tc>
      <w:tc>
        <w:tcPr>
          <w:tcW w:w="2244" w:type="dxa"/>
          <w:vAlign w:val="center"/>
        </w:tcPr>
        <w:p w14:paraId="58BD20F2" w14:textId="761D98B7" w:rsidR="001658C9" w:rsidRPr="001658C9" w:rsidRDefault="001658C9" w:rsidP="001658C9">
          <w:pPr>
            <w:jc w:val="center"/>
            <w:rPr>
              <w:rFonts w:ascii="Arial" w:hAnsi="Arial" w:cs="Arial"/>
              <w:color w:val="1F3864"/>
            </w:rPr>
          </w:pPr>
          <w:r w:rsidRPr="001658C9">
            <w:rPr>
              <w:rFonts w:ascii="Calibri" w:hAnsi="Calibri" w:cs="Times New Roman"/>
              <w:b/>
              <w:color w:val="002060"/>
              <w:sz w:val="24"/>
              <w:szCs w:val="20"/>
            </w:rPr>
            <w:object w:dxaOrig="225" w:dyaOrig="225" w14:anchorId="3CEC9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0.2pt;height:15pt">
                <v:imagedata r:id="rId1" o:title=""/>
              </v:shape>
              <w:control r:id="rId2" w:name="Doc2" w:shapeid="_x0000_i1031"/>
            </w:object>
          </w:r>
        </w:p>
      </w:tc>
      <w:tc>
        <w:tcPr>
          <w:tcW w:w="1710" w:type="dxa"/>
          <w:vAlign w:val="center"/>
        </w:tcPr>
        <w:p w14:paraId="6AA5D9B3" w14:textId="77777777" w:rsidR="001658C9" w:rsidRPr="001658C9" w:rsidRDefault="001658C9" w:rsidP="001658C9">
          <w:pPr>
            <w:jc w:val="center"/>
            <w:rPr>
              <w:rFonts w:ascii="Arial" w:hAnsi="Arial" w:cs="Arial"/>
              <w:color w:val="1F3864"/>
            </w:rPr>
          </w:pPr>
          <w:r w:rsidRPr="001658C9">
            <w:rPr>
              <w:rFonts w:ascii="Arial" w:hAnsi="Arial" w:cs="Arial"/>
              <w:color w:val="1F3864"/>
            </w:rPr>
            <w:t xml:space="preserve">Page </w:t>
          </w:r>
          <w:r w:rsidRPr="001658C9">
            <w:rPr>
              <w:rFonts w:ascii="Arial" w:hAnsi="Arial" w:cs="Arial"/>
              <w:color w:val="1F3864"/>
            </w:rPr>
            <w:fldChar w:fldCharType="begin"/>
          </w:r>
          <w:r w:rsidRPr="001658C9">
            <w:rPr>
              <w:rFonts w:ascii="Arial" w:hAnsi="Arial" w:cs="Arial"/>
              <w:color w:val="1F3864"/>
            </w:rPr>
            <w:instrText xml:space="preserve"> PAGE  \* Arabic  \* MERGEFORMAT </w:instrText>
          </w:r>
          <w:r w:rsidRPr="001658C9">
            <w:rPr>
              <w:rFonts w:ascii="Arial" w:hAnsi="Arial" w:cs="Arial"/>
              <w:color w:val="1F3864"/>
            </w:rPr>
            <w:fldChar w:fldCharType="separate"/>
          </w:r>
          <w:r w:rsidRPr="001658C9">
            <w:rPr>
              <w:rFonts w:ascii="Arial" w:hAnsi="Arial" w:cs="Arial"/>
              <w:color w:val="1F3864"/>
            </w:rPr>
            <w:t>1</w:t>
          </w:r>
          <w:r w:rsidRPr="001658C9">
            <w:rPr>
              <w:rFonts w:ascii="Arial" w:hAnsi="Arial" w:cs="Arial"/>
              <w:color w:val="1F3864"/>
            </w:rPr>
            <w:fldChar w:fldCharType="end"/>
          </w:r>
          <w:r w:rsidRPr="001658C9">
            <w:rPr>
              <w:rFonts w:ascii="Arial" w:hAnsi="Arial" w:cs="Arial"/>
              <w:color w:val="1F3864"/>
            </w:rPr>
            <w:t xml:space="preserve"> of </w:t>
          </w:r>
          <w:r w:rsidRPr="001658C9">
            <w:rPr>
              <w:rFonts w:ascii="Arial" w:hAnsi="Arial" w:cs="Arial"/>
              <w:color w:val="1F3864"/>
            </w:rPr>
            <w:fldChar w:fldCharType="begin"/>
          </w:r>
          <w:r w:rsidRPr="001658C9">
            <w:rPr>
              <w:rFonts w:ascii="Arial" w:hAnsi="Arial" w:cs="Arial"/>
              <w:color w:val="1F3864"/>
            </w:rPr>
            <w:instrText xml:space="preserve"> NUMPAGES  \* Arabic  \* MERGEFORMAT </w:instrText>
          </w:r>
          <w:r w:rsidRPr="001658C9">
            <w:rPr>
              <w:rFonts w:ascii="Arial" w:hAnsi="Arial" w:cs="Arial"/>
              <w:color w:val="1F3864"/>
            </w:rPr>
            <w:fldChar w:fldCharType="separate"/>
          </w:r>
          <w:r w:rsidRPr="001658C9">
            <w:rPr>
              <w:rFonts w:ascii="Arial" w:hAnsi="Arial" w:cs="Arial"/>
              <w:color w:val="1F3864"/>
            </w:rPr>
            <w:t>2</w:t>
          </w:r>
          <w:r w:rsidRPr="001658C9">
            <w:rPr>
              <w:rFonts w:ascii="Arial" w:hAnsi="Arial" w:cs="Arial"/>
              <w:color w:val="1F3864"/>
            </w:rPr>
            <w:fldChar w:fldCharType="end"/>
          </w:r>
        </w:p>
      </w:tc>
    </w:tr>
  </w:tbl>
  <w:p w14:paraId="27EC9427" w14:textId="77777777" w:rsidR="001658C9" w:rsidRPr="001658C9" w:rsidRDefault="001658C9" w:rsidP="0016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800" w:type="dxa"/>
      <w:jc w:val="center"/>
      <w:tblLook w:val="04A0" w:firstRow="1" w:lastRow="0" w:firstColumn="1" w:lastColumn="0" w:noHBand="0" w:noVBand="1"/>
    </w:tblPr>
    <w:tblGrid>
      <w:gridCol w:w="6543"/>
      <w:gridCol w:w="2362"/>
      <w:gridCol w:w="1895"/>
    </w:tblGrid>
    <w:tr w:rsidR="001658C9" w:rsidRPr="001658C9" w14:paraId="6461ACF4" w14:textId="77777777" w:rsidTr="00F533A8">
      <w:trPr>
        <w:trHeight w:val="350"/>
        <w:jc w:val="center"/>
      </w:trPr>
      <w:tc>
        <w:tcPr>
          <w:tcW w:w="6216" w:type="dxa"/>
          <w:shd w:val="clear" w:color="auto" w:fill="auto"/>
          <w:vAlign w:val="center"/>
        </w:tcPr>
        <w:p w14:paraId="18924489" w14:textId="0A750556" w:rsidR="001658C9" w:rsidRPr="009D20D5" w:rsidRDefault="009D20D5" w:rsidP="001658C9">
          <w:pPr>
            <w:tabs>
              <w:tab w:val="right" w:pos="5094"/>
            </w:tabs>
            <w:rPr>
              <w:rFonts w:ascii="Arial" w:hAnsi="Arial" w:cs="Arial"/>
              <w:b/>
              <w:color w:val="1F3864"/>
              <w:sz w:val="28"/>
              <w:szCs w:val="28"/>
            </w:rPr>
          </w:pPr>
          <w:r w:rsidRPr="009D20D5">
            <w:rPr>
              <w:rFonts w:ascii="Calibri" w:hAnsi="Calibri" w:cs="Times New Roman"/>
              <w:b/>
              <w:sz w:val="28"/>
              <w:szCs w:val="28"/>
            </w:rPr>
            <w:t>TS – ANTIGEN TYPING</w:t>
          </w:r>
        </w:p>
      </w:tc>
      <w:tc>
        <w:tcPr>
          <w:tcW w:w="2244" w:type="dxa"/>
          <w:vAlign w:val="center"/>
        </w:tcPr>
        <w:p w14:paraId="3E5BFB29" w14:textId="37574CEF" w:rsidR="001658C9" w:rsidRPr="001658C9" w:rsidRDefault="001658C9" w:rsidP="001658C9">
          <w:pPr>
            <w:rPr>
              <w:rFonts w:ascii="Arial" w:hAnsi="Arial" w:cs="Arial"/>
              <w:color w:val="1F3864"/>
            </w:rPr>
          </w:pPr>
          <w:r w:rsidRPr="001658C9">
            <w:rPr>
              <w:rFonts w:ascii="Calibri" w:hAnsi="Calibri" w:cs="Times New Roman"/>
              <w:b/>
              <w:color w:val="002060"/>
              <w:sz w:val="24"/>
              <w:szCs w:val="20"/>
            </w:rPr>
            <w:object w:dxaOrig="225" w:dyaOrig="225" w14:anchorId="40304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0.2pt;height:15pt">
                <v:imagedata r:id="rId1" o:title=""/>
              </v:shape>
              <w:control r:id="rId2" w:name="Doc1" w:shapeid="_x0000_i1033"/>
            </w:object>
          </w:r>
        </w:p>
      </w:tc>
      <w:tc>
        <w:tcPr>
          <w:tcW w:w="1800" w:type="dxa"/>
          <w:vAlign w:val="center"/>
        </w:tcPr>
        <w:p w14:paraId="69BF20FE" w14:textId="77777777" w:rsidR="001658C9" w:rsidRPr="001658C9" w:rsidRDefault="001658C9" w:rsidP="001658C9">
          <w:pPr>
            <w:jc w:val="center"/>
            <w:rPr>
              <w:rFonts w:ascii="Arial" w:hAnsi="Arial" w:cs="Arial"/>
              <w:color w:val="1F3864"/>
            </w:rPr>
          </w:pPr>
          <w:r w:rsidRPr="001658C9">
            <w:rPr>
              <w:rFonts w:ascii="Arial" w:hAnsi="Arial" w:cs="Arial"/>
              <w:color w:val="1F3864"/>
            </w:rPr>
            <w:t xml:space="preserve">Page </w:t>
          </w:r>
          <w:r w:rsidRPr="001658C9">
            <w:rPr>
              <w:rFonts w:ascii="Arial" w:hAnsi="Arial" w:cs="Arial"/>
              <w:color w:val="1F3864"/>
            </w:rPr>
            <w:fldChar w:fldCharType="begin"/>
          </w:r>
          <w:r w:rsidRPr="001658C9">
            <w:rPr>
              <w:rFonts w:ascii="Arial" w:hAnsi="Arial" w:cs="Arial"/>
              <w:color w:val="1F3864"/>
            </w:rPr>
            <w:instrText xml:space="preserve"> PAGE  \* Arabic  \* MERGEFORMAT </w:instrText>
          </w:r>
          <w:r w:rsidRPr="001658C9">
            <w:rPr>
              <w:rFonts w:ascii="Arial" w:hAnsi="Arial" w:cs="Arial"/>
              <w:color w:val="1F3864"/>
            </w:rPr>
            <w:fldChar w:fldCharType="separate"/>
          </w:r>
          <w:r w:rsidRPr="001658C9">
            <w:rPr>
              <w:rFonts w:ascii="Arial" w:hAnsi="Arial" w:cs="Arial"/>
              <w:color w:val="1F3864"/>
            </w:rPr>
            <w:t>1</w:t>
          </w:r>
          <w:r w:rsidRPr="001658C9">
            <w:rPr>
              <w:rFonts w:ascii="Arial" w:hAnsi="Arial" w:cs="Arial"/>
              <w:color w:val="1F3864"/>
            </w:rPr>
            <w:fldChar w:fldCharType="end"/>
          </w:r>
          <w:r w:rsidRPr="001658C9">
            <w:rPr>
              <w:rFonts w:ascii="Arial" w:hAnsi="Arial" w:cs="Arial"/>
              <w:color w:val="1F3864"/>
            </w:rPr>
            <w:t xml:space="preserve"> of </w:t>
          </w:r>
          <w:r w:rsidRPr="001658C9">
            <w:rPr>
              <w:rFonts w:ascii="Arial" w:hAnsi="Arial" w:cs="Arial"/>
              <w:color w:val="1F3864"/>
            </w:rPr>
            <w:fldChar w:fldCharType="begin"/>
          </w:r>
          <w:r w:rsidRPr="001658C9">
            <w:rPr>
              <w:rFonts w:ascii="Arial" w:hAnsi="Arial" w:cs="Arial"/>
              <w:color w:val="1F3864"/>
            </w:rPr>
            <w:instrText xml:space="preserve"> NUMPAGES  \* Arabic  \* MERGEFORMAT </w:instrText>
          </w:r>
          <w:r w:rsidRPr="001658C9">
            <w:rPr>
              <w:rFonts w:ascii="Arial" w:hAnsi="Arial" w:cs="Arial"/>
              <w:color w:val="1F3864"/>
            </w:rPr>
            <w:fldChar w:fldCharType="separate"/>
          </w:r>
          <w:r w:rsidRPr="001658C9">
            <w:rPr>
              <w:rFonts w:ascii="Arial" w:hAnsi="Arial" w:cs="Arial"/>
              <w:color w:val="1F3864"/>
            </w:rPr>
            <w:t>2</w:t>
          </w:r>
          <w:r w:rsidRPr="001658C9">
            <w:rPr>
              <w:rFonts w:ascii="Arial" w:hAnsi="Arial" w:cs="Arial"/>
              <w:color w:val="1F3864"/>
            </w:rPr>
            <w:fldChar w:fldCharType="end"/>
          </w:r>
        </w:p>
      </w:tc>
    </w:tr>
    <w:tr w:rsidR="001658C9" w:rsidRPr="001658C9" w14:paraId="27531CE7" w14:textId="77777777" w:rsidTr="00F533A8">
      <w:trPr>
        <w:trHeight w:val="350"/>
        <w:jc w:val="center"/>
      </w:trPr>
      <w:tc>
        <w:tcPr>
          <w:tcW w:w="6216" w:type="dxa"/>
          <w:vAlign w:val="center"/>
        </w:tcPr>
        <w:p w14:paraId="1234F013" w14:textId="77777777" w:rsidR="001658C9" w:rsidRPr="001658C9" w:rsidRDefault="001658C9" w:rsidP="001658C9">
          <w:pPr>
            <w:rPr>
              <w:rFonts w:ascii="Calibri" w:hAnsi="Calibri" w:cs="Times New Roman"/>
              <w:color w:val="1F3864"/>
            </w:rPr>
          </w:pPr>
          <w:r w:rsidRPr="001658C9">
            <w:rPr>
              <w:rFonts w:ascii="Times New Roman" w:hAnsi="Times New Roman" w:cs="Times New Roman"/>
              <w:noProof/>
              <w:sz w:val="20"/>
              <w:szCs w:val="20"/>
            </w:rPr>
            <w:drawing>
              <wp:anchor distT="0" distB="0" distL="114300" distR="114300" simplePos="0" relativeHeight="251659264" behindDoc="0" locked="0" layoutInCell="1" allowOverlap="1" wp14:anchorId="167117D5" wp14:editId="0BABFDC1">
                <wp:simplePos x="0" y="0"/>
                <wp:positionH relativeFrom="column">
                  <wp:posOffset>-6350</wp:posOffset>
                </wp:positionH>
                <wp:positionV relativeFrom="paragraph">
                  <wp:posOffset>9525</wp:posOffset>
                </wp:positionV>
                <wp:extent cx="2007870" cy="2273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787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ABDCE" w14:textId="77777777" w:rsidR="001658C9" w:rsidRPr="001658C9" w:rsidRDefault="001658C9" w:rsidP="001658C9">
          <w:pPr>
            <w:rPr>
              <w:rFonts w:ascii="Arial Narrow" w:hAnsi="Arial Narrow" w:cs="Times New Roman"/>
              <w:sz w:val="16"/>
            </w:rPr>
          </w:pPr>
        </w:p>
        <w:p w14:paraId="2F804474" w14:textId="77777777" w:rsidR="001658C9" w:rsidRPr="001658C9" w:rsidRDefault="001658C9" w:rsidP="001658C9">
          <w:pPr>
            <w:rPr>
              <w:rFonts w:ascii="Arial Narrow" w:hAnsi="Arial Narrow" w:cs="Arial"/>
              <w:b/>
              <w:color w:val="1B6C7F"/>
              <w:sz w:val="28"/>
              <w:szCs w:val="28"/>
            </w:rPr>
          </w:pPr>
          <w:r w:rsidRPr="001658C9">
            <w:rPr>
              <w:rFonts w:ascii="Arial Narrow" w:hAnsi="Arial Narrow" w:cs="Arial"/>
              <w:b/>
              <w:color w:val="1B6C7F"/>
              <w:sz w:val="28"/>
              <w:szCs w:val="28"/>
            </w:rPr>
            <w:t>KFH San Francisco Laboratory</w:t>
          </w:r>
        </w:p>
      </w:tc>
      <w:tc>
        <w:tcPr>
          <w:tcW w:w="4044" w:type="dxa"/>
          <w:gridSpan w:val="2"/>
          <w:vAlign w:val="center"/>
        </w:tcPr>
        <w:p w14:paraId="66CEEDF4" w14:textId="4803D728" w:rsidR="001658C9" w:rsidRPr="001658C9" w:rsidRDefault="001658C9" w:rsidP="001658C9">
          <w:pPr>
            <w:rPr>
              <w:rFonts w:ascii="Arial Narrow" w:hAnsi="Arial Narrow" w:cs="Arial"/>
              <w:b/>
              <w:color w:val="002060"/>
            </w:rPr>
          </w:pPr>
          <w:r w:rsidRPr="001658C9">
            <w:rPr>
              <w:rFonts w:ascii="Calibri" w:hAnsi="Calibri" w:cs="Times New Roman"/>
              <w:szCs w:val="20"/>
            </w:rPr>
            <w:object w:dxaOrig="225" w:dyaOrig="225" w14:anchorId="60329181">
              <v:shape id="_x0000_i1035" type="#_x0000_t75" style="width:170.4pt;height:18pt">
                <v:imagedata r:id="rId4" o:title=""/>
              </v:shape>
              <w:control r:id="rId5" w:name="Location1" w:shapeid="_x0000_i1035"/>
            </w:object>
          </w:r>
        </w:p>
        <w:p w14:paraId="2B8BA559" w14:textId="77777777" w:rsidR="001658C9" w:rsidRPr="001658C9" w:rsidRDefault="001658C9" w:rsidP="001658C9">
          <w:pPr>
            <w:rPr>
              <w:rFonts w:ascii="Arial Narrow" w:hAnsi="Arial Narrow" w:cs="Times New Roman"/>
              <w:color w:val="1F3864"/>
              <w:sz w:val="18"/>
            </w:rPr>
          </w:pPr>
          <w:r w:rsidRPr="001658C9">
            <w:rPr>
              <w:rFonts w:ascii="Arial Narrow" w:hAnsi="Arial Narrow" w:cs="Times New Roman"/>
              <w:color w:val="1F3864"/>
              <w:sz w:val="18"/>
            </w:rPr>
            <w:t>2425 Geary Boulevard San Francisco, CA 94115</w:t>
          </w:r>
        </w:p>
      </w:tc>
    </w:tr>
  </w:tbl>
  <w:p w14:paraId="3A888E07" w14:textId="77777777" w:rsidR="001658C9" w:rsidRPr="001658C9" w:rsidRDefault="001658C9" w:rsidP="001658C9">
    <w:pPr>
      <w:tabs>
        <w:tab w:val="center" w:pos="4680"/>
        <w:tab w:val="right" w:pos="9360"/>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568F7"/>
    <w:multiLevelType w:val="hybridMultilevel"/>
    <w:tmpl w:val="0F6635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1809B2"/>
    <w:multiLevelType w:val="hybridMultilevel"/>
    <w:tmpl w:val="40C64802"/>
    <w:lvl w:ilvl="0" w:tplc="0FBAC98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09E7E77"/>
    <w:multiLevelType w:val="hybridMultilevel"/>
    <w:tmpl w:val="026432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2600868"/>
    <w:multiLevelType w:val="hybridMultilevel"/>
    <w:tmpl w:val="76924A48"/>
    <w:lvl w:ilvl="0" w:tplc="0FBAC98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62EA75EE"/>
    <w:multiLevelType w:val="hybridMultilevel"/>
    <w:tmpl w:val="DBFCC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30823">
    <w:abstractNumId w:val="4"/>
  </w:num>
  <w:num w:numId="2" w16cid:durableId="449519741">
    <w:abstractNumId w:val="0"/>
  </w:num>
  <w:num w:numId="3" w16cid:durableId="983241075">
    <w:abstractNumId w:val="3"/>
  </w:num>
  <w:num w:numId="4" w16cid:durableId="864904562">
    <w:abstractNumId w:val="1"/>
  </w:num>
  <w:num w:numId="5" w16cid:durableId="316692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8"/>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B0"/>
    <w:rsid w:val="00096F4C"/>
    <w:rsid w:val="000B5A1D"/>
    <w:rsid w:val="000B6018"/>
    <w:rsid w:val="001353F4"/>
    <w:rsid w:val="00136B82"/>
    <w:rsid w:val="001658C9"/>
    <w:rsid w:val="001754D8"/>
    <w:rsid w:val="001C1F1A"/>
    <w:rsid w:val="001D3BE5"/>
    <w:rsid w:val="00220F55"/>
    <w:rsid w:val="003670FF"/>
    <w:rsid w:val="003834A6"/>
    <w:rsid w:val="00385A8D"/>
    <w:rsid w:val="003F5BC2"/>
    <w:rsid w:val="00410F7D"/>
    <w:rsid w:val="004864BF"/>
    <w:rsid w:val="005F1743"/>
    <w:rsid w:val="005F4BCB"/>
    <w:rsid w:val="00604B50"/>
    <w:rsid w:val="00647B4D"/>
    <w:rsid w:val="006515CF"/>
    <w:rsid w:val="006844B8"/>
    <w:rsid w:val="006A1E72"/>
    <w:rsid w:val="00723EAC"/>
    <w:rsid w:val="007C16B0"/>
    <w:rsid w:val="007E7AB5"/>
    <w:rsid w:val="007F6361"/>
    <w:rsid w:val="008E4C35"/>
    <w:rsid w:val="00954C71"/>
    <w:rsid w:val="009878D8"/>
    <w:rsid w:val="009D20D5"/>
    <w:rsid w:val="00A220E2"/>
    <w:rsid w:val="00A61320"/>
    <w:rsid w:val="00AC0ACF"/>
    <w:rsid w:val="00AC5817"/>
    <w:rsid w:val="00B41759"/>
    <w:rsid w:val="00B843B0"/>
    <w:rsid w:val="00B8744A"/>
    <w:rsid w:val="00BE6F37"/>
    <w:rsid w:val="00CF60DD"/>
    <w:rsid w:val="00D2196B"/>
    <w:rsid w:val="00D453CE"/>
    <w:rsid w:val="00DA5529"/>
    <w:rsid w:val="00DF303E"/>
    <w:rsid w:val="00E03F31"/>
    <w:rsid w:val="00E82BE6"/>
    <w:rsid w:val="00E83921"/>
    <w:rsid w:val="00EC16B0"/>
    <w:rsid w:val="00EF2FA4"/>
    <w:rsid w:val="00F351EC"/>
    <w:rsid w:val="00F6017A"/>
    <w:rsid w:val="00F6670F"/>
    <w:rsid w:val="00F8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shapelayout v:ext="edit">
      <o:idmap v:ext="edit" data="1"/>
    </o:shapelayout>
  </w:shapeDefaults>
  <w:decimalSymbol w:val="."/>
  <w:listSeparator w:val=","/>
  <w14:docId w14:val="4ABD7F6C"/>
  <w14:defaultImageDpi w14:val="96"/>
  <w15:docId w15:val="{A5A83542-4851-4C96-BA32-187906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C9"/>
  </w:style>
  <w:style w:type="paragraph" w:styleId="Footer">
    <w:name w:val="footer"/>
    <w:basedOn w:val="Normal"/>
    <w:link w:val="FooterChar"/>
    <w:uiPriority w:val="99"/>
    <w:unhideWhenUsed/>
    <w:rsid w:val="00165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C9"/>
  </w:style>
  <w:style w:type="table" w:styleId="TableGrid">
    <w:name w:val="Table Grid"/>
    <w:basedOn w:val="TableNormal"/>
    <w:uiPriority w:val="39"/>
    <w:rsid w:val="001658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58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8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58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control" Target="activeX/activeX2.xml"/><Relationship Id="rId1" Type="http://schemas.openxmlformats.org/officeDocument/2006/relationships/image" Target="media/image2.wmf"/><Relationship Id="rId5" Type="http://schemas.openxmlformats.org/officeDocument/2006/relationships/control" Target="activeX/activeX3.xml"/><Relationship Id="rId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4</Pages>
  <Words>1312</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H.Lim</dc:creator>
  <cp:keywords/>
  <dc:description/>
  <cp:lastModifiedBy>Cara H.Lim</cp:lastModifiedBy>
  <cp:revision>13</cp:revision>
  <cp:lastPrinted>2024-01-11T19:26:00Z</cp:lastPrinted>
  <dcterms:created xsi:type="dcterms:W3CDTF">2024-01-08T20:12:00Z</dcterms:created>
  <dcterms:modified xsi:type="dcterms:W3CDTF">2024-01-12T20:41:00Z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21_DocTitle">
    <vt:lpwstr>TS-Antigen Typing</vt:lpwstr>
  </property>
  <property fmtid="{D5CDD505-2E9C-101B-9397-08002B2CF9AE}" pid="3" name="T21_DocNoRevision">
    <vt:lpwstr>SFO-WI.0096: 11.0</vt:lpwstr>
  </property>
  <property fmtid="{D5CDD505-2E9C-101B-9397-08002B2CF9AE}" pid="4" name="T21_DocNo">
    <vt:lpwstr>SFO-WI.0096</vt:lpwstr>
  </property>
  <property fmtid="{D5CDD505-2E9C-101B-9397-08002B2CF9AE}" pid="5" name="T21_DocRevision">
    <vt:lpwstr>11.0</vt:lpwstr>
  </property>
  <property fmtid="{D5CDD505-2E9C-101B-9397-08002B2CF9AE}" pid="6" name="T21_DocStatus">
    <vt:lpwstr>Effective</vt:lpwstr>
  </property>
  <property fmtid="{D5CDD505-2E9C-101B-9397-08002B2CF9AE}" pid="7" name="T21_CabinetSection">
    <vt:lpwstr>SFO</vt:lpwstr>
  </property>
  <property fmtid="{D5CDD505-2E9C-101B-9397-08002B2CF9AE}" pid="8" name="T21_EffectiveDate">
    <vt:lpwstr>5/16/2019 10:26:08 AM</vt:lpwstr>
  </property>
  <property fmtid="{D5CDD505-2E9C-101B-9397-08002B2CF9AE}" pid="9" name="T21_DocLocation">
    <vt:lpwstr>San Francisco</vt:lpwstr>
  </property>
  <property fmtid="{D5CDD505-2E9C-101B-9397-08002B2CF9AE}" pid="10" name="T21_DocAuthor">
    <vt:lpwstr>Lim, Cara H.</vt:lpwstr>
  </property>
  <property fmtid="{D5CDD505-2E9C-101B-9397-08002B2CF9AE}" pid="11" name="T21_DocOwner">
    <vt:lpwstr>Lim, Cara H.</vt:lpwstr>
  </property>
  <property fmtid="{D5CDD505-2E9C-101B-9397-08002B2CF9AE}" pid="12" name="T21_OldDocNumber">
    <vt:lpwstr> </vt:lpwstr>
  </property>
</Properties>
</file>