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EA3" w:rsidRDefault="00492EA3"/>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5508"/>
        <w:gridCol w:w="2754"/>
        <w:gridCol w:w="2754"/>
      </w:tblGrid>
      <w:tr w:rsidR="00660B52" w:rsidTr="006E1B47">
        <w:trPr>
          <w:trHeight w:val="323"/>
        </w:trPr>
        <w:tc>
          <w:tcPr>
            <w:tcW w:w="5508" w:type="dxa"/>
            <w:vMerge w:val="restart"/>
            <w:vAlign w:val="center"/>
          </w:tcPr>
          <w:p w:rsidR="0085625F" w:rsidRPr="00660B52" w:rsidRDefault="00241FC5" w:rsidP="00241FC5">
            <w:pPr>
              <w:jc w:val="center"/>
              <w:rPr>
                <w:b/>
                <w:bCs/>
                <w:sz w:val="28"/>
                <w:szCs w:val="28"/>
              </w:rPr>
            </w:pPr>
            <w:r>
              <w:rPr>
                <w:b/>
                <w:bCs/>
                <w:sz w:val="28"/>
                <w:szCs w:val="28"/>
              </w:rPr>
              <w:t xml:space="preserve">Prothrombin Time (PT) on </w:t>
            </w:r>
            <w:r w:rsidR="003E31C7">
              <w:rPr>
                <w:b/>
                <w:bCs/>
                <w:sz w:val="28"/>
                <w:szCs w:val="28"/>
              </w:rPr>
              <w:t>ACLTOP 350 Analyzer</w:t>
            </w:r>
          </w:p>
        </w:tc>
        <w:tc>
          <w:tcPr>
            <w:tcW w:w="2754" w:type="dxa"/>
            <w:vAlign w:val="center"/>
          </w:tcPr>
          <w:p w:rsidR="00660B52" w:rsidRPr="00660B52" w:rsidRDefault="00126C3F" w:rsidP="00660B52">
            <w:pPr>
              <w:jc w:val="right"/>
              <w:rPr>
                <w:bCs/>
                <w:i/>
                <w:sz w:val="20"/>
                <w:szCs w:val="20"/>
              </w:rPr>
            </w:pPr>
            <w:r>
              <w:rPr>
                <w:bCs/>
                <w:i/>
                <w:sz w:val="20"/>
                <w:szCs w:val="20"/>
              </w:rPr>
              <w:t>Procedure #:</w:t>
            </w:r>
          </w:p>
        </w:tc>
        <w:tc>
          <w:tcPr>
            <w:tcW w:w="2754" w:type="dxa"/>
            <w:vAlign w:val="center"/>
          </w:tcPr>
          <w:p w:rsidR="00660B52" w:rsidRPr="007B0096" w:rsidRDefault="00241FC5" w:rsidP="0041532D">
            <w:pPr>
              <w:rPr>
                <w:b/>
                <w:bCs/>
                <w:i/>
                <w:sz w:val="20"/>
                <w:szCs w:val="20"/>
              </w:rPr>
            </w:pPr>
            <w:r>
              <w:rPr>
                <w:b/>
                <w:bCs/>
                <w:i/>
                <w:sz w:val="20"/>
                <w:szCs w:val="20"/>
              </w:rPr>
              <w:t>HCO</w:t>
            </w:r>
            <w:r w:rsidR="0085625F">
              <w:rPr>
                <w:b/>
                <w:bCs/>
                <w:i/>
                <w:sz w:val="20"/>
                <w:szCs w:val="20"/>
              </w:rPr>
              <w:t xml:space="preserve"># </w:t>
            </w:r>
            <w:r>
              <w:rPr>
                <w:b/>
                <w:bCs/>
                <w:i/>
                <w:sz w:val="20"/>
                <w:szCs w:val="20"/>
              </w:rPr>
              <w:t>210</w:t>
            </w:r>
          </w:p>
        </w:tc>
      </w:tr>
      <w:tr w:rsidR="00660B52" w:rsidTr="006E1B47">
        <w:trPr>
          <w:trHeight w:val="322"/>
        </w:trPr>
        <w:tc>
          <w:tcPr>
            <w:tcW w:w="5508" w:type="dxa"/>
            <w:vMerge/>
          </w:tcPr>
          <w:p w:rsidR="00660B52" w:rsidRDefault="00660B52">
            <w:pPr>
              <w:jc w:val="center"/>
              <w:rPr>
                <w:b/>
                <w:bCs/>
                <w:sz w:val="28"/>
                <w:szCs w:val="28"/>
              </w:rPr>
            </w:pPr>
          </w:p>
        </w:tc>
        <w:tc>
          <w:tcPr>
            <w:tcW w:w="2754" w:type="dxa"/>
            <w:vAlign w:val="center"/>
          </w:tcPr>
          <w:p w:rsidR="00660B52" w:rsidRPr="00660B52" w:rsidRDefault="00126C3F" w:rsidP="00660B52">
            <w:pPr>
              <w:jc w:val="right"/>
              <w:rPr>
                <w:bCs/>
                <w:i/>
                <w:sz w:val="20"/>
                <w:szCs w:val="20"/>
              </w:rPr>
            </w:pPr>
            <w:r>
              <w:rPr>
                <w:bCs/>
                <w:i/>
                <w:sz w:val="20"/>
                <w:szCs w:val="20"/>
              </w:rPr>
              <w:t>Version #:</w:t>
            </w:r>
          </w:p>
        </w:tc>
        <w:tc>
          <w:tcPr>
            <w:tcW w:w="2754" w:type="dxa"/>
            <w:vAlign w:val="center"/>
          </w:tcPr>
          <w:p w:rsidR="00660B52" w:rsidRPr="007B0096" w:rsidRDefault="00794279" w:rsidP="00660B52">
            <w:pPr>
              <w:rPr>
                <w:b/>
                <w:bCs/>
                <w:i/>
                <w:sz w:val="20"/>
                <w:szCs w:val="20"/>
              </w:rPr>
            </w:pPr>
            <w:r>
              <w:rPr>
                <w:b/>
                <w:bCs/>
                <w:i/>
                <w:sz w:val="20"/>
                <w:szCs w:val="20"/>
              </w:rPr>
              <w:t>1.0</w:t>
            </w:r>
          </w:p>
        </w:tc>
      </w:tr>
    </w:tbl>
    <w:p w:rsidR="007A7FD9" w:rsidRPr="00660B52" w:rsidRDefault="007A7FD9">
      <w:pPr>
        <w:jc w:val="center"/>
        <w:rPr>
          <w:b/>
          <w:bCs/>
          <w:sz w:val="28"/>
          <w:szCs w:val="28"/>
        </w:rPr>
      </w:pPr>
    </w:p>
    <w:tbl>
      <w:tblPr>
        <w:tblW w:w="10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8712"/>
      </w:tblGrid>
      <w:tr w:rsidR="00C9002E" w:rsidTr="00F11107">
        <w:trPr>
          <w:trHeight w:val="144"/>
        </w:trPr>
        <w:tc>
          <w:tcPr>
            <w:tcW w:w="2254" w:type="dxa"/>
            <w:tcBorders>
              <w:top w:val="single" w:sz="4" w:space="0" w:color="auto"/>
              <w:left w:val="nil"/>
              <w:bottom w:val="single" w:sz="4" w:space="0" w:color="auto"/>
              <w:right w:val="nil"/>
            </w:tcBorders>
          </w:tcPr>
          <w:p w:rsidR="00C9002E" w:rsidRDefault="00C9002E">
            <w:pPr>
              <w:rPr>
                <w:b/>
                <w:bCs/>
              </w:rPr>
            </w:pPr>
            <w:r>
              <w:rPr>
                <w:b/>
                <w:bCs/>
              </w:rPr>
              <w:t>Purpose</w:t>
            </w:r>
          </w:p>
        </w:tc>
        <w:tc>
          <w:tcPr>
            <w:tcW w:w="8712" w:type="dxa"/>
            <w:tcBorders>
              <w:top w:val="single" w:sz="4" w:space="0" w:color="auto"/>
              <w:left w:val="nil"/>
              <w:bottom w:val="single" w:sz="4" w:space="0" w:color="auto"/>
              <w:right w:val="nil"/>
            </w:tcBorders>
          </w:tcPr>
          <w:p w:rsidR="00DA070A" w:rsidRDefault="00241FC5" w:rsidP="00241FC5">
            <w:r w:rsidRPr="00241FC5">
              <w:t xml:space="preserve">This procedure provides instructions for the analysis of Prothrombin Time (PT) using a thromboplastin reagent on the ACL TOP® Family. </w:t>
            </w:r>
          </w:p>
        </w:tc>
      </w:tr>
      <w:tr w:rsidR="00510DFA" w:rsidTr="00F11107">
        <w:trPr>
          <w:trHeight w:val="554"/>
        </w:trPr>
        <w:tc>
          <w:tcPr>
            <w:tcW w:w="2254" w:type="dxa"/>
            <w:tcBorders>
              <w:top w:val="single" w:sz="4" w:space="0" w:color="auto"/>
              <w:left w:val="nil"/>
              <w:right w:val="nil"/>
            </w:tcBorders>
          </w:tcPr>
          <w:p w:rsidR="00510DFA" w:rsidRDefault="00510DFA">
            <w:pPr>
              <w:rPr>
                <w:b/>
                <w:bCs/>
              </w:rPr>
            </w:pPr>
            <w:r>
              <w:rPr>
                <w:b/>
                <w:bCs/>
              </w:rPr>
              <w:t>Principle</w:t>
            </w:r>
            <w:r w:rsidR="00337E91">
              <w:rPr>
                <w:b/>
                <w:bCs/>
              </w:rPr>
              <w:t>/ Clinical Significance</w:t>
            </w:r>
          </w:p>
          <w:p w:rsidR="00337E91" w:rsidRDefault="00337E91">
            <w:pPr>
              <w:rPr>
                <w:b/>
                <w:bCs/>
              </w:rPr>
            </w:pPr>
          </w:p>
        </w:tc>
        <w:tc>
          <w:tcPr>
            <w:tcW w:w="8712" w:type="dxa"/>
            <w:tcBorders>
              <w:left w:val="nil"/>
              <w:right w:val="nil"/>
            </w:tcBorders>
          </w:tcPr>
          <w:p w:rsidR="00642816" w:rsidRDefault="00241FC5" w:rsidP="00E343AC">
            <w:pPr>
              <w:pStyle w:val="Header"/>
              <w:autoSpaceDE w:val="0"/>
              <w:autoSpaceDN w:val="0"/>
              <w:adjustRightInd w:val="0"/>
            </w:pPr>
            <w:r w:rsidRPr="00241FC5">
              <w:t>The addition of tissue thromboplastin and calcium ions (PT reagent) to the patient plasma initiates the activation of the extrinsic pathway. This results in the conversion of fibrinogen to fibrin, with formation of a solid gel. The time required for clot formation is measured</w:t>
            </w:r>
            <w:r w:rsidR="00642816">
              <w:t xml:space="preserve"> through </w:t>
            </w:r>
            <w:r w:rsidR="00E343AC">
              <w:t>turbidimetric. Turbidimetric clot detection is based on the principle that light passing through a medium in which fibrinogen is converted to fibrin will be absorbed by the fibrin strands.</w:t>
            </w:r>
          </w:p>
          <w:p w:rsidR="007E0669" w:rsidRDefault="007E0669" w:rsidP="00BD5986">
            <w:pPr>
              <w:pStyle w:val="Header"/>
              <w:autoSpaceDE w:val="0"/>
              <w:autoSpaceDN w:val="0"/>
              <w:adjustRightInd w:val="0"/>
            </w:pPr>
          </w:p>
          <w:p w:rsidR="003767D1" w:rsidRPr="00EE5EBB" w:rsidRDefault="00241FC5" w:rsidP="003767D1">
            <w:pPr>
              <w:pStyle w:val="Header"/>
              <w:autoSpaceDE w:val="0"/>
              <w:autoSpaceDN w:val="0"/>
              <w:adjustRightInd w:val="0"/>
            </w:pPr>
            <w:r w:rsidRPr="00241FC5">
              <w:t>The test is used for the evaluation of the extrinsic coagulation pathway and the monitoring of oral anticoagulant therapy (OAT) in human plasma.</w:t>
            </w:r>
            <w:r w:rsidR="003767D1">
              <w:t xml:space="preserve"> </w:t>
            </w:r>
          </w:p>
        </w:tc>
      </w:tr>
      <w:tr w:rsidR="003C394B" w:rsidTr="00F11107">
        <w:trPr>
          <w:trHeight w:val="554"/>
        </w:trPr>
        <w:tc>
          <w:tcPr>
            <w:tcW w:w="2254" w:type="dxa"/>
            <w:tcBorders>
              <w:top w:val="single" w:sz="4" w:space="0" w:color="auto"/>
              <w:left w:val="nil"/>
              <w:right w:val="nil"/>
            </w:tcBorders>
          </w:tcPr>
          <w:p w:rsidR="003C394B" w:rsidRDefault="0006587C">
            <w:pPr>
              <w:rPr>
                <w:b/>
                <w:bCs/>
              </w:rPr>
            </w:pPr>
            <w:r>
              <w:rPr>
                <w:b/>
                <w:bCs/>
              </w:rPr>
              <w:t>Scope</w:t>
            </w:r>
          </w:p>
        </w:tc>
        <w:tc>
          <w:tcPr>
            <w:tcW w:w="8712" w:type="dxa"/>
            <w:tcBorders>
              <w:left w:val="nil"/>
              <w:right w:val="nil"/>
            </w:tcBorders>
          </w:tcPr>
          <w:p w:rsidR="00DA070A" w:rsidRDefault="00E3358A" w:rsidP="00E3358A">
            <w:pPr>
              <w:pStyle w:val="Header"/>
              <w:autoSpaceDE w:val="0"/>
              <w:autoSpaceDN w:val="0"/>
              <w:adjustRightInd w:val="0"/>
            </w:pPr>
            <w:r>
              <w:t>This standard operating procedure applies to all laboratory technicians, technologists and supervisory personnel of the Baltimore VA Medical Center Pathology &amp; Laboratory Medicine Service</w:t>
            </w:r>
          </w:p>
        </w:tc>
      </w:tr>
      <w:tr w:rsidR="00C9002E" w:rsidTr="00F11107">
        <w:trPr>
          <w:trHeight w:val="4004"/>
        </w:trPr>
        <w:tc>
          <w:tcPr>
            <w:tcW w:w="2254" w:type="dxa"/>
            <w:tcBorders>
              <w:top w:val="single" w:sz="4" w:space="0" w:color="auto"/>
              <w:left w:val="nil"/>
              <w:right w:val="nil"/>
            </w:tcBorders>
          </w:tcPr>
          <w:p w:rsidR="00653D9D" w:rsidRDefault="0006587C">
            <w:pPr>
              <w:rPr>
                <w:b/>
                <w:bCs/>
              </w:rPr>
            </w:pPr>
            <w:r>
              <w:rPr>
                <w:b/>
                <w:bCs/>
              </w:rPr>
              <w:t>Responsibilities</w:t>
            </w:r>
          </w:p>
        </w:tc>
        <w:tc>
          <w:tcPr>
            <w:tcW w:w="8712" w:type="dxa"/>
            <w:tcBorders>
              <w:left w:val="nil"/>
              <w:right w:val="nil"/>
            </w:tcBorders>
          </w:tcPr>
          <w:p w:rsidR="00653D9D" w:rsidRDefault="00653D9D"/>
          <w:tbl>
            <w:tblPr>
              <w:tblStyle w:val="TableGrid"/>
              <w:tblpPr w:leftFromText="180" w:rightFromText="180" w:horzAnchor="margin" w:tblpY="570"/>
              <w:tblOverlap w:val="never"/>
              <w:tblW w:w="0" w:type="auto"/>
              <w:tblInd w:w="1" w:type="dxa"/>
              <w:tblLook w:val="04A0" w:firstRow="1" w:lastRow="0" w:firstColumn="1" w:lastColumn="0" w:noHBand="0" w:noVBand="1"/>
            </w:tblPr>
            <w:tblGrid>
              <w:gridCol w:w="3037"/>
              <w:gridCol w:w="5448"/>
            </w:tblGrid>
            <w:tr w:rsidR="004E60E6" w:rsidTr="00F11107">
              <w:trPr>
                <w:trHeight w:val="144"/>
              </w:trPr>
              <w:tc>
                <w:tcPr>
                  <w:tcW w:w="3037" w:type="dxa"/>
                  <w:shd w:val="clear" w:color="auto" w:fill="8DB3E2" w:themeFill="text2" w:themeFillTint="66"/>
                </w:tcPr>
                <w:p w:rsidR="004E60E6" w:rsidRPr="004E60E6" w:rsidRDefault="004E60E6" w:rsidP="004E60E6">
                  <w:pPr>
                    <w:pStyle w:val="Header"/>
                    <w:tabs>
                      <w:tab w:val="clear" w:pos="4320"/>
                      <w:tab w:val="clear" w:pos="8640"/>
                    </w:tabs>
                    <w:autoSpaceDE w:val="0"/>
                    <w:autoSpaceDN w:val="0"/>
                    <w:adjustRightInd w:val="0"/>
                    <w:jc w:val="center"/>
                    <w:rPr>
                      <w:b/>
                    </w:rPr>
                  </w:pPr>
                  <w:r w:rsidRPr="004E60E6">
                    <w:rPr>
                      <w:b/>
                    </w:rPr>
                    <w:t>Responsible Party</w:t>
                  </w:r>
                </w:p>
              </w:tc>
              <w:tc>
                <w:tcPr>
                  <w:tcW w:w="5448" w:type="dxa"/>
                  <w:shd w:val="clear" w:color="auto" w:fill="8DB3E2" w:themeFill="text2" w:themeFillTint="66"/>
                </w:tcPr>
                <w:p w:rsidR="004E60E6" w:rsidRPr="004E60E6" w:rsidRDefault="004E60E6" w:rsidP="004E60E6">
                  <w:pPr>
                    <w:pStyle w:val="Header"/>
                    <w:tabs>
                      <w:tab w:val="clear" w:pos="4320"/>
                      <w:tab w:val="clear" w:pos="8640"/>
                    </w:tabs>
                    <w:autoSpaceDE w:val="0"/>
                    <w:autoSpaceDN w:val="0"/>
                    <w:adjustRightInd w:val="0"/>
                    <w:jc w:val="center"/>
                    <w:rPr>
                      <w:b/>
                    </w:rPr>
                  </w:pPr>
                  <w:r w:rsidRPr="004E60E6">
                    <w:rPr>
                      <w:b/>
                    </w:rPr>
                    <w:t>Responsibilities</w:t>
                  </w:r>
                </w:p>
              </w:tc>
            </w:tr>
            <w:tr w:rsidR="004E60E6" w:rsidTr="00F11107">
              <w:trPr>
                <w:trHeight w:val="144"/>
              </w:trPr>
              <w:tc>
                <w:tcPr>
                  <w:tcW w:w="3037" w:type="dxa"/>
                </w:tcPr>
                <w:p w:rsidR="004E60E6" w:rsidRDefault="004E60E6" w:rsidP="00634183">
                  <w:pPr>
                    <w:pStyle w:val="Header"/>
                    <w:tabs>
                      <w:tab w:val="clear" w:pos="4320"/>
                      <w:tab w:val="clear" w:pos="8640"/>
                    </w:tabs>
                    <w:autoSpaceDE w:val="0"/>
                    <w:autoSpaceDN w:val="0"/>
                    <w:adjustRightInd w:val="0"/>
                  </w:pPr>
                  <w:r>
                    <w:t>Hematology Supervisor</w:t>
                  </w:r>
                </w:p>
              </w:tc>
              <w:tc>
                <w:tcPr>
                  <w:tcW w:w="5448" w:type="dxa"/>
                </w:tcPr>
                <w:p w:rsidR="00A32BE2" w:rsidRDefault="00791988" w:rsidP="00E3358A">
                  <w:pPr>
                    <w:pStyle w:val="Header"/>
                    <w:numPr>
                      <w:ilvl w:val="0"/>
                      <w:numId w:val="1"/>
                    </w:numPr>
                    <w:tabs>
                      <w:tab w:val="clear" w:pos="4320"/>
                      <w:tab w:val="clear" w:pos="8640"/>
                    </w:tabs>
                    <w:autoSpaceDE w:val="0"/>
                    <w:autoSpaceDN w:val="0"/>
                    <w:adjustRightInd w:val="0"/>
                  </w:pPr>
                  <w:r>
                    <w:t xml:space="preserve">review this procedure </w:t>
                  </w:r>
                  <w:r w:rsidR="00A32BE2">
                    <w:t>annua</w:t>
                  </w:r>
                  <w:r w:rsidR="00EA4DFF">
                    <w:t>l</w:t>
                  </w:r>
                  <w:r w:rsidR="00A32BE2">
                    <w:t>l</w:t>
                  </w:r>
                  <w:r w:rsidR="00EA4DFF">
                    <w:t>y</w:t>
                  </w:r>
                  <w:r w:rsidR="00A32BE2">
                    <w:t xml:space="preserve"> </w:t>
                  </w:r>
                  <w:r>
                    <w:t>and make any necessary revisions in a timely manner</w:t>
                  </w:r>
                </w:p>
              </w:tc>
            </w:tr>
            <w:tr w:rsidR="004E60E6" w:rsidTr="00F11107">
              <w:trPr>
                <w:trHeight w:val="144"/>
              </w:trPr>
              <w:tc>
                <w:tcPr>
                  <w:tcW w:w="3037" w:type="dxa"/>
                </w:tcPr>
                <w:p w:rsidR="004E60E6" w:rsidRDefault="004E60E6" w:rsidP="00634183">
                  <w:pPr>
                    <w:pStyle w:val="Header"/>
                    <w:tabs>
                      <w:tab w:val="clear" w:pos="4320"/>
                      <w:tab w:val="clear" w:pos="8640"/>
                    </w:tabs>
                    <w:autoSpaceDE w:val="0"/>
                    <w:autoSpaceDN w:val="0"/>
                    <w:adjustRightInd w:val="0"/>
                  </w:pPr>
                  <w:r>
                    <w:t>Medical Director</w:t>
                  </w:r>
                </w:p>
              </w:tc>
              <w:tc>
                <w:tcPr>
                  <w:tcW w:w="5448" w:type="dxa"/>
                </w:tcPr>
                <w:p w:rsidR="004E60E6" w:rsidRDefault="004E60E6" w:rsidP="00E3358A">
                  <w:pPr>
                    <w:pStyle w:val="Header"/>
                    <w:numPr>
                      <w:ilvl w:val="0"/>
                      <w:numId w:val="2"/>
                    </w:numPr>
                    <w:tabs>
                      <w:tab w:val="clear" w:pos="4320"/>
                      <w:tab w:val="clear" w:pos="8640"/>
                    </w:tabs>
                    <w:autoSpaceDE w:val="0"/>
                    <w:autoSpaceDN w:val="0"/>
                    <w:adjustRightInd w:val="0"/>
                  </w:pPr>
                  <w:r>
                    <w:t>review all new or substantially revised procedures, before implementation</w:t>
                  </w:r>
                </w:p>
              </w:tc>
            </w:tr>
            <w:tr w:rsidR="00653D9D" w:rsidTr="00F11107">
              <w:trPr>
                <w:trHeight w:val="144"/>
              </w:trPr>
              <w:tc>
                <w:tcPr>
                  <w:tcW w:w="3037" w:type="dxa"/>
                </w:tcPr>
                <w:p w:rsidR="00653D9D" w:rsidRDefault="00653D9D" w:rsidP="00634183">
                  <w:pPr>
                    <w:pStyle w:val="Header"/>
                    <w:tabs>
                      <w:tab w:val="clear" w:pos="4320"/>
                      <w:tab w:val="clear" w:pos="8640"/>
                    </w:tabs>
                    <w:autoSpaceDE w:val="0"/>
                    <w:autoSpaceDN w:val="0"/>
                    <w:adjustRightInd w:val="0"/>
                  </w:pPr>
                  <w:r>
                    <w:t>Staff</w:t>
                  </w:r>
                </w:p>
              </w:tc>
              <w:tc>
                <w:tcPr>
                  <w:tcW w:w="5448" w:type="dxa"/>
                </w:tcPr>
                <w:p w:rsidR="00653D9D" w:rsidRDefault="00791988" w:rsidP="00A13210">
                  <w:pPr>
                    <w:pStyle w:val="Header"/>
                    <w:numPr>
                      <w:ilvl w:val="0"/>
                      <w:numId w:val="2"/>
                    </w:numPr>
                    <w:tabs>
                      <w:tab w:val="clear" w:pos="4320"/>
                      <w:tab w:val="clear" w:pos="8640"/>
                    </w:tabs>
                    <w:autoSpaceDE w:val="0"/>
                    <w:autoSpaceDN w:val="0"/>
                    <w:adjustRightInd w:val="0"/>
                  </w:pPr>
                  <w:r>
                    <w:t>r</w:t>
                  </w:r>
                  <w:r w:rsidR="00653D9D">
                    <w:t xml:space="preserve">ead this procedure in its entirety </w:t>
                  </w:r>
                  <w:r>
                    <w:t xml:space="preserve">and ask any questions </w:t>
                  </w:r>
                  <w:r w:rsidR="00653D9D">
                    <w:t>before implementation</w:t>
                  </w:r>
                </w:p>
                <w:p w:rsidR="00653D9D" w:rsidRDefault="00791988" w:rsidP="00E3358A">
                  <w:pPr>
                    <w:pStyle w:val="Header"/>
                    <w:numPr>
                      <w:ilvl w:val="0"/>
                      <w:numId w:val="2"/>
                    </w:numPr>
                    <w:tabs>
                      <w:tab w:val="clear" w:pos="4320"/>
                      <w:tab w:val="clear" w:pos="8640"/>
                    </w:tabs>
                    <w:autoSpaceDE w:val="0"/>
                    <w:autoSpaceDN w:val="0"/>
                    <w:adjustRightInd w:val="0"/>
                  </w:pPr>
                  <w:r>
                    <w:t>g</w:t>
                  </w:r>
                  <w:r w:rsidR="00653D9D">
                    <w:t xml:space="preserve">overn </w:t>
                  </w:r>
                  <w:r w:rsidR="00EE5EBB">
                    <w:t>yourself</w:t>
                  </w:r>
                  <w:r w:rsidR="00653D9D">
                    <w:t xml:space="preserve"> according to the contents of this </w:t>
                  </w:r>
                  <w:r>
                    <w:t>procedure</w:t>
                  </w:r>
                  <w:r w:rsidR="00653D9D">
                    <w:t xml:space="preserve"> after implementation</w:t>
                  </w:r>
                </w:p>
              </w:tc>
            </w:tr>
          </w:tbl>
          <w:p w:rsidR="005571C2" w:rsidRDefault="005571C2" w:rsidP="00634183">
            <w:pPr>
              <w:pStyle w:val="Header"/>
              <w:tabs>
                <w:tab w:val="clear" w:pos="4320"/>
                <w:tab w:val="clear" w:pos="8640"/>
              </w:tabs>
              <w:autoSpaceDE w:val="0"/>
              <w:autoSpaceDN w:val="0"/>
              <w:adjustRightInd w:val="0"/>
            </w:pPr>
          </w:p>
          <w:p w:rsidR="005571C2" w:rsidRDefault="005571C2" w:rsidP="00634183">
            <w:pPr>
              <w:pStyle w:val="Header"/>
              <w:tabs>
                <w:tab w:val="clear" w:pos="4320"/>
                <w:tab w:val="clear" w:pos="8640"/>
              </w:tabs>
              <w:autoSpaceDE w:val="0"/>
              <w:autoSpaceDN w:val="0"/>
              <w:adjustRightInd w:val="0"/>
            </w:pPr>
          </w:p>
          <w:p w:rsidR="00E3358A" w:rsidRDefault="00E3358A" w:rsidP="00634183">
            <w:pPr>
              <w:pStyle w:val="Header"/>
              <w:tabs>
                <w:tab w:val="clear" w:pos="4320"/>
                <w:tab w:val="clear" w:pos="8640"/>
              </w:tabs>
              <w:autoSpaceDE w:val="0"/>
              <w:autoSpaceDN w:val="0"/>
              <w:adjustRightInd w:val="0"/>
            </w:pPr>
          </w:p>
        </w:tc>
      </w:tr>
      <w:tr w:rsidR="00C9002E" w:rsidTr="00F11107">
        <w:trPr>
          <w:trHeight w:val="554"/>
        </w:trPr>
        <w:tc>
          <w:tcPr>
            <w:tcW w:w="2254" w:type="dxa"/>
            <w:tcBorders>
              <w:top w:val="nil"/>
              <w:left w:val="nil"/>
              <w:right w:val="nil"/>
            </w:tcBorders>
          </w:tcPr>
          <w:p w:rsidR="00ED27C8" w:rsidRDefault="00E3358A" w:rsidP="00A32BE2">
            <w:pPr>
              <w:rPr>
                <w:b/>
                <w:bCs/>
                <w:i/>
                <w:sz w:val="16"/>
                <w:szCs w:val="16"/>
              </w:rPr>
            </w:pPr>
            <w:r>
              <w:rPr>
                <w:b/>
                <w:bCs/>
              </w:rPr>
              <w:t>Safety Precautions</w:t>
            </w:r>
          </w:p>
          <w:p w:rsidR="00ED27C8" w:rsidRPr="00ED27C8" w:rsidRDefault="00ED27C8" w:rsidP="00A32BE2">
            <w:pPr>
              <w:rPr>
                <w:b/>
                <w:bCs/>
                <w:i/>
                <w:sz w:val="16"/>
                <w:szCs w:val="16"/>
              </w:rPr>
            </w:pPr>
          </w:p>
        </w:tc>
        <w:tc>
          <w:tcPr>
            <w:tcW w:w="8712" w:type="dxa"/>
            <w:tcBorders>
              <w:left w:val="nil"/>
              <w:right w:val="nil"/>
            </w:tcBorders>
          </w:tcPr>
          <w:p w:rsidR="001D6328" w:rsidRDefault="00E3358A" w:rsidP="00E3358A">
            <w:pPr>
              <w:autoSpaceDE w:val="0"/>
              <w:autoSpaceDN w:val="0"/>
              <w:adjustRightInd w:val="0"/>
            </w:pPr>
            <w:r>
              <w:t>Standard Precautions:</w:t>
            </w:r>
          </w:p>
          <w:p w:rsidR="00E3358A" w:rsidRDefault="00E3358A" w:rsidP="002F3A29">
            <w:pPr>
              <w:pStyle w:val="ListParagraph"/>
              <w:numPr>
                <w:ilvl w:val="0"/>
                <w:numId w:val="3"/>
              </w:numPr>
              <w:autoSpaceDE w:val="0"/>
              <w:autoSpaceDN w:val="0"/>
              <w:adjustRightInd w:val="0"/>
            </w:pPr>
            <w:r>
              <w:t>Gloves</w:t>
            </w:r>
          </w:p>
          <w:p w:rsidR="00E3358A" w:rsidRDefault="00E3358A" w:rsidP="002F3A29">
            <w:pPr>
              <w:pStyle w:val="ListParagraph"/>
              <w:numPr>
                <w:ilvl w:val="0"/>
                <w:numId w:val="3"/>
              </w:numPr>
              <w:autoSpaceDE w:val="0"/>
              <w:autoSpaceDN w:val="0"/>
              <w:adjustRightInd w:val="0"/>
            </w:pPr>
            <w:r>
              <w:t>Fluid resistant laboratory coat.</w:t>
            </w:r>
          </w:p>
          <w:p w:rsidR="001D6328" w:rsidRDefault="001D6328" w:rsidP="001D6328">
            <w:pPr>
              <w:autoSpaceDE w:val="0"/>
              <w:autoSpaceDN w:val="0"/>
              <w:adjustRightInd w:val="0"/>
            </w:pPr>
          </w:p>
        </w:tc>
      </w:tr>
      <w:tr w:rsidR="00CF698D" w:rsidTr="00F11107">
        <w:trPr>
          <w:trHeight w:val="554"/>
        </w:trPr>
        <w:tc>
          <w:tcPr>
            <w:tcW w:w="2254" w:type="dxa"/>
            <w:tcBorders>
              <w:top w:val="nil"/>
              <w:left w:val="nil"/>
              <w:right w:val="nil"/>
            </w:tcBorders>
          </w:tcPr>
          <w:p w:rsidR="00E3358A" w:rsidRPr="00E3358A" w:rsidRDefault="00BD5986" w:rsidP="001C6BC0">
            <w:pPr>
              <w:rPr>
                <w:b/>
                <w:bCs/>
                <w:szCs w:val="16"/>
              </w:rPr>
            </w:pPr>
            <w:r>
              <w:rPr>
                <w:b/>
                <w:bCs/>
                <w:szCs w:val="16"/>
              </w:rPr>
              <w:t xml:space="preserve">Specimen </w:t>
            </w:r>
            <w:r w:rsidR="00DF165F">
              <w:rPr>
                <w:b/>
                <w:bCs/>
                <w:szCs w:val="16"/>
              </w:rPr>
              <w:t>Requirements</w:t>
            </w:r>
          </w:p>
        </w:tc>
        <w:tc>
          <w:tcPr>
            <w:tcW w:w="8712" w:type="dxa"/>
            <w:tcBorders>
              <w:left w:val="nil"/>
              <w:right w:val="nil"/>
            </w:tcBorders>
          </w:tcPr>
          <w:p w:rsidR="00DF165F" w:rsidRDefault="0014544E" w:rsidP="001D5077">
            <w:pPr>
              <w:autoSpaceDE w:val="0"/>
              <w:autoSpaceDN w:val="0"/>
              <w:adjustRightInd w:val="0"/>
              <w:rPr>
                <w:b/>
              </w:rPr>
            </w:pPr>
            <w:r>
              <w:rPr>
                <w:b/>
              </w:rPr>
              <w:t>Specimen</w:t>
            </w:r>
            <w:r w:rsidR="00DF165F" w:rsidRPr="00DF165F">
              <w:rPr>
                <w:b/>
              </w:rPr>
              <w:t xml:space="preserve"> Collection</w:t>
            </w:r>
          </w:p>
          <w:p w:rsidR="0014544E" w:rsidRPr="00DF165F" w:rsidRDefault="0014544E" w:rsidP="001D5077">
            <w:pPr>
              <w:autoSpaceDE w:val="0"/>
              <w:autoSpaceDN w:val="0"/>
              <w:adjustRightInd w:val="0"/>
              <w:rPr>
                <w:b/>
              </w:rPr>
            </w:pPr>
          </w:p>
          <w:p w:rsidR="00DC0D1B" w:rsidRDefault="00DC0D1B" w:rsidP="004A4731">
            <w:pPr>
              <w:pStyle w:val="ListParagraph"/>
              <w:numPr>
                <w:ilvl w:val="0"/>
                <w:numId w:val="8"/>
              </w:numPr>
              <w:autoSpaceDE w:val="0"/>
              <w:autoSpaceDN w:val="0"/>
              <w:adjustRightInd w:val="0"/>
            </w:pPr>
            <w:r>
              <w:t xml:space="preserve">Collect 9 parts fresh venous whole blood to 1 part 3.2% </w:t>
            </w:r>
            <w:r>
              <w:rPr>
                <w:b/>
              </w:rPr>
              <w:t>sodium c</w:t>
            </w:r>
            <w:r w:rsidRPr="00DC0D1B">
              <w:rPr>
                <w:b/>
              </w:rPr>
              <w:t>itrate</w:t>
            </w:r>
            <w:r>
              <w:t xml:space="preserve"> anticoagulant. </w:t>
            </w:r>
            <w:r w:rsidRPr="00DC0D1B">
              <w:t>Citrated blood containing 0.5 ml of 3.2%</w:t>
            </w:r>
            <w:r>
              <w:t xml:space="preserve"> </w:t>
            </w:r>
            <w:r>
              <w:rPr>
                <w:b/>
              </w:rPr>
              <w:t>s</w:t>
            </w:r>
            <w:r w:rsidRPr="00DC0D1B">
              <w:rPr>
                <w:b/>
              </w:rPr>
              <w:t>odium citrate</w:t>
            </w:r>
            <w:r>
              <w:t>.</w:t>
            </w:r>
          </w:p>
          <w:p w:rsidR="00DC0D1B" w:rsidRDefault="00DC0D1B" w:rsidP="004A4731">
            <w:pPr>
              <w:pStyle w:val="ListParagraph"/>
              <w:numPr>
                <w:ilvl w:val="0"/>
                <w:numId w:val="8"/>
              </w:numPr>
              <w:autoSpaceDE w:val="0"/>
              <w:autoSpaceDN w:val="0"/>
              <w:adjustRightInd w:val="0"/>
            </w:pPr>
            <w:r>
              <w:t>Centrifuge sample ONLY in a designated Coagulation centrifuge at the indicated speed and time which is known to produce platelet poor plasma.</w:t>
            </w:r>
          </w:p>
          <w:p w:rsidR="00DC0D1B" w:rsidRDefault="00C20C36" w:rsidP="004A4731">
            <w:pPr>
              <w:pStyle w:val="ListParagraph"/>
              <w:numPr>
                <w:ilvl w:val="0"/>
                <w:numId w:val="8"/>
              </w:numPr>
              <w:autoSpaceDE w:val="0"/>
              <w:autoSpaceDN w:val="0"/>
              <w:adjustRightInd w:val="0"/>
            </w:pPr>
            <w:r w:rsidRPr="00C20C36">
              <w:t>Blue top (3.2% citrate) tubes must be completely filled. Tubes under filled by more than 5% (&lt;4m1 of whole blood) are unacceptable for analysis.</w:t>
            </w:r>
            <w:r>
              <w:t xml:space="preserve"> </w:t>
            </w:r>
          </w:p>
          <w:p w:rsidR="001D5077" w:rsidRDefault="001D5077" w:rsidP="0014544E">
            <w:pPr>
              <w:autoSpaceDE w:val="0"/>
              <w:autoSpaceDN w:val="0"/>
              <w:adjustRightInd w:val="0"/>
            </w:pPr>
          </w:p>
          <w:p w:rsidR="0014544E" w:rsidRDefault="0014544E" w:rsidP="0014544E">
            <w:pPr>
              <w:autoSpaceDE w:val="0"/>
              <w:autoSpaceDN w:val="0"/>
              <w:adjustRightInd w:val="0"/>
              <w:rPr>
                <w:b/>
              </w:rPr>
            </w:pPr>
            <w:r w:rsidRPr="0014544E">
              <w:rPr>
                <w:b/>
              </w:rPr>
              <w:lastRenderedPageBreak/>
              <w:t>Specimen Stability</w:t>
            </w:r>
          </w:p>
          <w:p w:rsidR="0014544E" w:rsidRPr="0014544E" w:rsidRDefault="0014544E" w:rsidP="0014544E">
            <w:pPr>
              <w:autoSpaceDE w:val="0"/>
              <w:autoSpaceDN w:val="0"/>
              <w:adjustRightInd w:val="0"/>
              <w:rPr>
                <w:b/>
              </w:rPr>
            </w:pPr>
          </w:p>
          <w:p w:rsidR="0014544E" w:rsidRDefault="008C6791" w:rsidP="004A4731">
            <w:pPr>
              <w:pStyle w:val="ListParagraph"/>
              <w:numPr>
                <w:ilvl w:val="0"/>
                <w:numId w:val="9"/>
              </w:numPr>
              <w:autoSpaceDE w:val="0"/>
              <w:autoSpaceDN w:val="0"/>
              <w:adjustRightInd w:val="0"/>
            </w:pPr>
            <w:r>
              <w:t xml:space="preserve">Specimens </w:t>
            </w:r>
            <w:r w:rsidR="0014544E">
              <w:t>are stable for 24 hours after collection</w:t>
            </w:r>
            <w:r>
              <w:t>,</w:t>
            </w:r>
            <w:r w:rsidR="0014544E">
              <w:t xml:space="preserve"> provided the cap has not been removed</w:t>
            </w:r>
            <w:r>
              <w:t>.</w:t>
            </w:r>
          </w:p>
          <w:p w:rsidR="0014544E" w:rsidRDefault="008C6791" w:rsidP="004A4731">
            <w:pPr>
              <w:pStyle w:val="ListParagraph"/>
              <w:numPr>
                <w:ilvl w:val="0"/>
                <w:numId w:val="9"/>
              </w:numPr>
              <w:autoSpaceDE w:val="0"/>
              <w:autoSpaceDN w:val="0"/>
              <w:adjustRightInd w:val="0"/>
            </w:pPr>
            <w:r>
              <w:t>Open tubes are</w:t>
            </w:r>
            <w:r w:rsidR="0014544E">
              <w:t xml:space="preserve"> stored at ROOM TEMP (18-25°C</w:t>
            </w:r>
            <w:r>
              <w:t>) or</w:t>
            </w:r>
            <w:r w:rsidR="0014544E">
              <w:t xml:space="preserve"> REFRIGERATED (2-8°C) for up to 24 hours.</w:t>
            </w:r>
          </w:p>
          <w:p w:rsidR="0014544E" w:rsidRDefault="008C6791" w:rsidP="004A4731">
            <w:pPr>
              <w:pStyle w:val="ListParagraph"/>
              <w:numPr>
                <w:ilvl w:val="0"/>
                <w:numId w:val="9"/>
              </w:numPr>
              <w:autoSpaceDE w:val="0"/>
              <w:autoSpaceDN w:val="0"/>
              <w:adjustRightInd w:val="0"/>
            </w:pPr>
            <w:r>
              <w:t>Frozen specimens are</w:t>
            </w:r>
            <w:r w:rsidR="0014544E">
              <w:t xml:space="preserve"> stored FROZEN (-70°C) </w:t>
            </w:r>
            <w:r>
              <w:t>and good for 6 hours</w:t>
            </w:r>
            <w:r w:rsidR="0014544E">
              <w:t>.</w:t>
            </w:r>
          </w:p>
          <w:p w:rsidR="008C6791" w:rsidRDefault="008C6791" w:rsidP="004A4731">
            <w:pPr>
              <w:pStyle w:val="ListParagraph"/>
              <w:numPr>
                <w:ilvl w:val="0"/>
                <w:numId w:val="9"/>
              </w:numPr>
              <w:autoSpaceDE w:val="0"/>
              <w:autoSpaceDN w:val="0"/>
              <w:adjustRightInd w:val="0"/>
            </w:pPr>
            <w:r>
              <w:t>Thaw f</w:t>
            </w:r>
            <w:r w:rsidR="0014544E">
              <w:t xml:space="preserve">rozen plasma specimens at 37°C (using the Blood Bank water bath) for approximately </w:t>
            </w:r>
            <w:r>
              <w:t>1</w:t>
            </w:r>
            <w:r w:rsidR="0014544E">
              <w:t>5 minutes</w:t>
            </w:r>
            <w:r>
              <w:t xml:space="preserve"> then re-centrifuge</w:t>
            </w:r>
            <w:r w:rsidR="0014544E">
              <w:t xml:space="preserve">. </w:t>
            </w:r>
          </w:p>
          <w:p w:rsidR="0014544E" w:rsidRDefault="0014544E" w:rsidP="004A4731">
            <w:pPr>
              <w:pStyle w:val="ListParagraph"/>
              <w:numPr>
                <w:ilvl w:val="0"/>
                <w:numId w:val="9"/>
              </w:numPr>
              <w:autoSpaceDE w:val="0"/>
              <w:autoSpaceDN w:val="0"/>
              <w:adjustRightInd w:val="0"/>
            </w:pPr>
            <w:r>
              <w:t xml:space="preserve">After thawing, each sample should be gently mixed and tested </w:t>
            </w:r>
            <w:r w:rsidR="008C6791">
              <w:t>within 2 hours</w:t>
            </w:r>
            <w:r>
              <w:t>.</w:t>
            </w:r>
          </w:p>
          <w:p w:rsidR="008C6791" w:rsidRDefault="008C6791" w:rsidP="008C6791">
            <w:pPr>
              <w:autoSpaceDE w:val="0"/>
              <w:autoSpaceDN w:val="0"/>
              <w:adjustRightInd w:val="0"/>
            </w:pPr>
          </w:p>
          <w:p w:rsidR="008C6791" w:rsidRPr="008C2CA7" w:rsidRDefault="008C6791" w:rsidP="008C6791">
            <w:pPr>
              <w:autoSpaceDE w:val="0"/>
              <w:autoSpaceDN w:val="0"/>
              <w:adjustRightInd w:val="0"/>
              <w:rPr>
                <w:b/>
              </w:rPr>
            </w:pPr>
            <w:r w:rsidRPr="008C2CA7">
              <w:rPr>
                <w:b/>
              </w:rPr>
              <w:t>Specimen Processing</w:t>
            </w:r>
          </w:p>
          <w:p w:rsidR="0014544E" w:rsidRDefault="008C6791" w:rsidP="004A4731">
            <w:pPr>
              <w:pStyle w:val="ListParagraph"/>
              <w:numPr>
                <w:ilvl w:val="0"/>
                <w:numId w:val="10"/>
              </w:numPr>
              <w:autoSpaceDE w:val="0"/>
              <w:autoSpaceDN w:val="0"/>
              <w:adjustRightInd w:val="0"/>
            </w:pPr>
            <w:r>
              <w:t xml:space="preserve">Before centrifugation, check the whole blood sample for gross clot formation by gentle inversion and observation. </w:t>
            </w:r>
            <w:r w:rsidRPr="008C2CA7">
              <w:rPr>
                <w:i/>
              </w:rPr>
              <w:t>This is the preferred method for detecting clots when using analyzers with cap piercers</w:t>
            </w:r>
          </w:p>
          <w:p w:rsidR="008C2CA7" w:rsidRDefault="008C2CA7" w:rsidP="004A4731">
            <w:pPr>
              <w:pStyle w:val="ListParagraph"/>
              <w:numPr>
                <w:ilvl w:val="0"/>
                <w:numId w:val="10"/>
              </w:numPr>
              <w:autoSpaceDE w:val="0"/>
              <w:autoSpaceDN w:val="0"/>
              <w:adjustRightInd w:val="0"/>
            </w:pPr>
            <w:r>
              <w:t xml:space="preserve">Centrifuge sample in a STAT SPIN EXPRESS at 3000 RPM for 180 seconds or on the </w:t>
            </w:r>
            <w:proofErr w:type="spellStart"/>
            <w:r>
              <w:t>Jouan</w:t>
            </w:r>
            <w:proofErr w:type="spellEnd"/>
            <w:r>
              <w:t xml:space="preserve"> CR3i centrifuge at 3900 RPM for 15 minutes during the dayshift.</w:t>
            </w:r>
          </w:p>
          <w:p w:rsidR="008C2CA7" w:rsidRDefault="008C2CA7" w:rsidP="004A4731">
            <w:pPr>
              <w:pStyle w:val="ListParagraph"/>
              <w:numPr>
                <w:ilvl w:val="0"/>
                <w:numId w:val="10"/>
              </w:numPr>
              <w:autoSpaceDE w:val="0"/>
              <w:autoSpaceDN w:val="0"/>
              <w:adjustRightInd w:val="0"/>
            </w:pPr>
            <w:r>
              <w:t xml:space="preserve"> During the evening and night shifts, specimens run in the STAT LAB are spun in the EBA 21 centrifuge for 8 minutes at 5000 RPM.</w:t>
            </w:r>
          </w:p>
          <w:p w:rsidR="008C2CA7" w:rsidRDefault="008C2CA7" w:rsidP="004A4731">
            <w:pPr>
              <w:pStyle w:val="ListParagraph"/>
              <w:numPr>
                <w:ilvl w:val="0"/>
                <w:numId w:val="10"/>
              </w:numPr>
              <w:autoSpaceDE w:val="0"/>
              <w:autoSpaceDN w:val="0"/>
              <w:adjustRightInd w:val="0"/>
            </w:pPr>
            <w:r w:rsidRPr="008C2CA7">
              <w:rPr>
                <w:b/>
              </w:rPr>
              <w:t>Clotted</w:t>
            </w:r>
            <w:r>
              <w:t xml:space="preserve"> or </w:t>
            </w:r>
            <w:r w:rsidRPr="008C2CA7">
              <w:rPr>
                <w:b/>
              </w:rPr>
              <w:t>grossly</w:t>
            </w:r>
            <w:r>
              <w:t xml:space="preserve"> </w:t>
            </w:r>
            <w:proofErr w:type="spellStart"/>
            <w:r>
              <w:t>hemolyzed</w:t>
            </w:r>
            <w:proofErr w:type="spellEnd"/>
            <w:r>
              <w:t xml:space="preserve"> samples are unacceptable for analysis.</w:t>
            </w:r>
          </w:p>
          <w:p w:rsidR="008C2CA7" w:rsidRDefault="008C2CA7" w:rsidP="004A4731">
            <w:pPr>
              <w:pStyle w:val="ListParagraph"/>
              <w:numPr>
                <w:ilvl w:val="0"/>
                <w:numId w:val="10"/>
              </w:numPr>
              <w:autoSpaceDE w:val="0"/>
              <w:autoSpaceDN w:val="0"/>
              <w:adjustRightInd w:val="0"/>
            </w:pPr>
            <w:r>
              <w:t xml:space="preserve">Mildly </w:t>
            </w:r>
            <w:proofErr w:type="spellStart"/>
            <w:r>
              <w:t>lipemic</w:t>
            </w:r>
            <w:proofErr w:type="spellEnd"/>
            <w:r>
              <w:t xml:space="preserve"> samples may be initially run. If analyzer is unable to detect clot ("optics I" or "optics 2" error message) the remaining plasma should be </w:t>
            </w:r>
            <w:proofErr w:type="spellStart"/>
            <w:r>
              <w:t>airfuged</w:t>
            </w:r>
            <w:proofErr w:type="spellEnd"/>
            <w:r>
              <w:t xml:space="preserve"> (see procedure in Troubleshooting" section) and retested. </w:t>
            </w:r>
          </w:p>
          <w:p w:rsidR="008C2CA7" w:rsidRDefault="008C2CA7" w:rsidP="004A4731">
            <w:pPr>
              <w:pStyle w:val="ListParagraph"/>
              <w:numPr>
                <w:ilvl w:val="0"/>
                <w:numId w:val="10"/>
              </w:numPr>
              <w:autoSpaceDE w:val="0"/>
              <w:autoSpaceDN w:val="0"/>
              <w:adjustRightInd w:val="0"/>
            </w:pPr>
            <w:r>
              <w:t xml:space="preserve">Grossly </w:t>
            </w:r>
            <w:proofErr w:type="spellStart"/>
            <w:r>
              <w:t>lipemic</w:t>
            </w:r>
            <w:proofErr w:type="spellEnd"/>
            <w:r>
              <w:t xml:space="preserve"> (milky or white) plasma must be </w:t>
            </w:r>
            <w:proofErr w:type="spellStart"/>
            <w:r>
              <w:t>airfuged</w:t>
            </w:r>
            <w:proofErr w:type="spellEnd"/>
            <w:r>
              <w:t xml:space="preserve"> prior to testing.</w:t>
            </w:r>
          </w:p>
          <w:p w:rsidR="008C2CA7" w:rsidRDefault="008C2CA7" w:rsidP="008C2CA7">
            <w:pPr>
              <w:pStyle w:val="ListParagraph"/>
              <w:autoSpaceDE w:val="0"/>
              <w:autoSpaceDN w:val="0"/>
              <w:adjustRightInd w:val="0"/>
            </w:pPr>
          </w:p>
          <w:p w:rsidR="001D5077" w:rsidRPr="00BB1C47" w:rsidRDefault="001D5077" w:rsidP="001D5077">
            <w:pPr>
              <w:autoSpaceDE w:val="0"/>
              <w:autoSpaceDN w:val="0"/>
              <w:adjustRightInd w:val="0"/>
              <w:rPr>
                <w:b/>
              </w:rPr>
            </w:pPr>
            <w:r w:rsidRPr="00BB1C47">
              <w:rPr>
                <w:b/>
              </w:rPr>
              <w:t>Plasma separation:</w:t>
            </w:r>
          </w:p>
          <w:p w:rsidR="001D5077" w:rsidRDefault="001D5077" w:rsidP="004A4731">
            <w:pPr>
              <w:pStyle w:val="ListParagraph"/>
              <w:numPr>
                <w:ilvl w:val="0"/>
                <w:numId w:val="7"/>
              </w:numPr>
              <w:autoSpaceDE w:val="0"/>
              <w:autoSpaceDN w:val="0"/>
              <w:adjustRightInd w:val="0"/>
            </w:pPr>
            <w:r>
              <w:t>During collection and centrifugation of the sample, hemolysis must be avoided. The breakage of red cells, whose phospholipid surfaces have thromboplastin activity, causes a change in coagulation times. Therefore, the samples should be centrifuged as soon as possible at a minimum of 2-500 g or a period long enough to obtain plasma with a p</w:t>
            </w:r>
            <w:r w:rsidR="00BB1C47">
              <w:t>latelet count less than 10,000/µL</w:t>
            </w:r>
            <w:r>
              <w:t>.</w:t>
            </w:r>
          </w:p>
          <w:p w:rsidR="001D5077" w:rsidRDefault="001D5077" w:rsidP="004A4731">
            <w:pPr>
              <w:pStyle w:val="ListParagraph"/>
              <w:numPr>
                <w:ilvl w:val="0"/>
                <w:numId w:val="6"/>
              </w:numPr>
              <w:autoSpaceDE w:val="0"/>
              <w:autoSpaceDN w:val="0"/>
              <w:adjustRightInd w:val="0"/>
            </w:pPr>
            <w:r>
              <w:t xml:space="preserve">If a sample is to be frozen, the plasma should be double-spun (10 g) in </w:t>
            </w:r>
            <w:proofErr w:type="spellStart"/>
            <w:r>
              <w:t>eppendorf</w:t>
            </w:r>
            <w:proofErr w:type="spellEnd"/>
            <w:r>
              <w:t xml:space="preserve"> tubes for 60 seconds to ensure it is platelet poor (&lt;1000/4)</w:t>
            </w:r>
          </w:p>
          <w:p w:rsidR="00BB1C47" w:rsidRDefault="00BB1C47" w:rsidP="001D5077">
            <w:pPr>
              <w:autoSpaceDE w:val="0"/>
              <w:autoSpaceDN w:val="0"/>
              <w:adjustRightInd w:val="0"/>
            </w:pPr>
          </w:p>
          <w:p w:rsidR="001D5077" w:rsidRDefault="001D5077" w:rsidP="004A4731">
            <w:pPr>
              <w:pStyle w:val="ListParagraph"/>
              <w:numPr>
                <w:ilvl w:val="0"/>
                <w:numId w:val="5"/>
              </w:numPr>
              <w:autoSpaceDE w:val="0"/>
              <w:autoSpaceDN w:val="0"/>
              <w:adjustRightInd w:val="0"/>
            </w:pPr>
            <w:proofErr w:type="spellStart"/>
            <w:r>
              <w:t>Lipemic</w:t>
            </w:r>
            <w:proofErr w:type="spellEnd"/>
            <w:r>
              <w:t xml:space="preserve"> specimens should be spun in Beckman </w:t>
            </w:r>
            <w:proofErr w:type="spellStart"/>
            <w:r>
              <w:t>Airfuge</w:t>
            </w:r>
            <w:proofErr w:type="spellEnd"/>
            <w:r>
              <w:t xml:space="preserve"> to clear (see "Troubleshooting" section of individual tests for procedure).</w:t>
            </w:r>
          </w:p>
          <w:p w:rsidR="00BB1C47" w:rsidRDefault="00BB1C47" w:rsidP="001D5077">
            <w:pPr>
              <w:autoSpaceDE w:val="0"/>
              <w:autoSpaceDN w:val="0"/>
              <w:adjustRightInd w:val="0"/>
            </w:pPr>
          </w:p>
          <w:p w:rsidR="001D5077" w:rsidRDefault="001D5077" w:rsidP="004A4731">
            <w:pPr>
              <w:pStyle w:val="ListParagraph"/>
              <w:numPr>
                <w:ilvl w:val="0"/>
                <w:numId w:val="5"/>
              </w:numPr>
              <w:autoSpaceDE w:val="0"/>
              <w:autoSpaceDN w:val="0"/>
              <w:adjustRightInd w:val="0"/>
            </w:pPr>
            <w:r>
              <w:t>Hemolysis should be avoided. Hemolysis is generally associated with traumatic venipuncture which causes falsely decreased clotting times.</w:t>
            </w:r>
          </w:p>
          <w:p w:rsidR="00D02CA7" w:rsidRDefault="00D02CA7" w:rsidP="00BB1C47">
            <w:pPr>
              <w:spacing w:before="9" w:line="281" w:lineRule="exact"/>
              <w:ind w:right="432"/>
              <w:textAlignment w:val="baseline"/>
              <w:rPr>
                <w:color w:val="000000"/>
              </w:rPr>
            </w:pPr>
          </w:p>
          <w:p w:rsidR="00BB1C47" w:rsidRPr="00D843D6" w:rsidRDefault="00BB1C47" w:rsidP="004A4731">
            <w:pPr>
              <w:pStyle w:val="ListParagraph"/>
              <w:numPr>
                <w:ilvl w:val="0"/>
                <w:numId w:val="5"/>
              </w:numPr>
              <w:spacing w:before="9" w:line="281" w:lineRule="exact"/>
              <w:ind w:right="432"/>
              <w:textAlignment w:val="baseline"/>
              <w:rPr>
                <w:color w:val="000000"/>
              </w:rPr>
            </w:pPr>
            <w:r w:rsidRPr="00D843D6">
              <w:rPr>
                <w:color w:val="000000"/>
              </w:rPr>
              <w:t>If plasmas are to be stored, the recommended times and temperatures from the time of draw are:</w:t>
            </w:r>
          </w:p>
          <w:p w:rsidR="00BB1C47" w:rsidRDefault="00BB1C47" w:rsidP="00BB1C47">
            <w:pPr>
              <w:tabs>
                <w:tab w:val="left" w:pos="5184"/>
                <w:tab w:val="left" w:pos="5904"/>
              </w:tabs>
              <w:spacing w:before="19" w:line="281" w:lineRule="exact"/>
              <w:ind w:left="1602" w:hanging="450"/>
              <w:textAlignment w:val="baseline"/>
              <w:rPr>
                <w:color w:val="000000"/>
              </w:rPr>
            </w:pPr>
            <w:r>
              <w:rPr>
                <w:color w:val="000000"/>
              </w:rPr>
              <w:t>22-24°C (room temperature) = 4 hours (</w:t>
            </w:r>
            <w:proofErr w:type="spellStart"/>
            <w:r>
              <w:rPr>
                <w:color w:val="000000"/>
              </w:rPr>
              <w:t>aPTT</w:t>
            </w:r>
            <w:proofErr w:type="spellEnd"/>
            <w:r>
              <w:rPr>
                <w:color w:val="000000"/>
              </w:rPr>
              <w:t>),</w:t>
            </w:r>
          </w:p>
          <w:p w:rsidR="00BB1C47" w:rsidRDefault="00BB1C47" w:rsidP="00BB1C47">
            <w:pPr>
              <w:tabs>
                <w:tab w:val="left" w:pos="5904"/>
              </w:tabs>
              <w:spacing w:before="18" w:line="281" w:lineRule="exact"/>
              <w:ind w:left="1602" w:hanging="450"/>
              <w:textAlignment w:val="baseline"/>
              <w:rPr>
                <w:color w:val="000000"/>
              </w:rPr>
            </w:pPr>
            <w:r>
              <w:rPr>
                <w:color w:val="000000"/>
              </w:rPr>
              <w:t>or 2-4°C (refrigerated)  24 hours</w:t>
            </w:r>
            <w:r w:rsidR="004A4731">
              <w:rPr>
                <w:color w:val="000000"/>
              </w:rPr>
              <w:t xml:space="preserve"> </w:t>
            </w:r>
            <w:r>
              <w:rPr>
                <w:color w:val="000000"/>
              </w:rPr>
              <w:t>(PT/FIB)</w:t>
            </w:r>
          </w:p>
          <w:p w:rsidR="00BB1C47" w:rsidRDefault="00BB1C47" w:rsidP="00BB1C47">
            <w:pPr>
              <w:tabs>
                <w:tab w:val="left" w:pos="5904"/>
              </w:tabs>
              <w:spacing w:before="20" w:line="281" w:lineRule="exact"/>
              <w:ind w:left="1602" w:hanging="450"/>
              <w:textAlignment w:val="baseline"/>
              <w:rPr>
                <w:color w:val="000000"/>
                <w:spacing w:val="-1"/>
              </w:rPr>
            </w:pPr>
            <w:r>
              <w:rPr>
                <w:color w:val="000000"/>
                <w:spacing w:val="-1"/>
              </w:rPr>
              <w:t>-20°C (frozen plasma)  2 weeks</w:t>
            </w:r>
          </w:p>
          <w:p w:rsidR="00BB1C47" w:rsidRDefault="00BB1C47" w:rsidP="00BB1C47">
            <w:pPr>
              <w:tabs>
                <w:tab w:val="left" w:pos="5184"/>
                <w:tab w:val="left" w:pos="5904"/>
              </w:tabs>
              <w:spacing w:before="22" w:line="281" w:lineRule="exact"/>
              <w:ind w:left="1602" w:hanging="450"/>
              <w:textAlignment w:val="baseline"/>
              <w:rPr>
                <w:color w:val="000000"/>
              </w:rPr>
            </w:pPr>
            <w:r>
              <w:rPr>
                <w:color w:val="000000"/>
              </w:rPr>
              <w:t>-70°C (rapidly frozen plasma) = 6 months</w:t>
            </w:r>
          </w:p>
          <w:p w:rsidR="00BB1C47" w:rsidRPr="00ED27C8" w:rsidRDefault="00BB1C47" w:rsidP="001D5077">
            <w:pPr>
              <w:autoSpaceDE w:val="0"/>
              <w:autoSpaceDN w:val="0"/>
              <w:adjustRightInd w:val="0"/>
            </w:pPr>
          </w:p>
        </w:tc>
      </w:tr>
      <w:tr w:rsidR="000C4491" w:rsidTr="00F11107">
        <w:trPr>
          <w:trHeight w:val="554"/>
        </w:trPr>
        <w:tc>
          <w:tcPr>
            <w:tcW w:w="2254" w:type="dxa"/>
            <w:tcBorders>
              <w:top w:val="nil"/>
              <w:left w:val="nil"/>
              <w:right w:val="nil"/>
            </w:tcBorders>
          </w:tcPr>
          <w:p w:rsidR="000C4491" w:rsidRPr="00C92552" w:rsidRDefault="000C4491" w:rsidP="00A32BE2">
            <w:pPr>
              <w:rPr>
                <w:b/>
                <w:bCs/>
              </w:rPr>
            </w:pPr>
            <w:r>
              <w:rPr>
                <w:b/>
                <w:bCs/>
              </w:rPr>
              <w:lastRenderedPageBreak/>
              <w:t>Reagents</w:t>
            </w:r>
          </w:p>
        </w:tc>
        <w:tc>
          <w:tcPr>
            <w:tcW w:w="8712" w:type="dxa"/>
            <w:tcBorders>
              <w:left w:val="nil"/>
              <w:right w:val="nil"/>
            </w:tcBorders>
          </w:tcPr>
          <w:p w:rsidR="000D3773" w:rsidRDefault="000D3773" w:rsidP="000D3773">
            <w:pPr>
              <w:autoSpaceDE w:val="0"/>
              <w:autoSpaceDN w:val="0"/>
              <w:adjustRightInd w:val="0"/>
            </w:pPr>
            <w:r w:rsidRPr="000D3773">
              <w:rPr>
                <w:b/>
              </w:rPr>
              <w:t>RecombiPlasTin 2G</w:t>
            </w:r>
            <w:r>
              <w:t xml:space="preserve"> reagent consists of </w:t>
            </w:r>
          </w:p>
          <w:p w:rsidR="000D3773" w:rsidRDefault="000D3773" w:rsidP="00D115AC">
            <w:pPr>
              <w:autoSpaceDE w:val="0"/>
              <w:autoSpaceDN w:val="0"/>
              <w:adjustRightInd w:val="0"/>
            </w:pPr>
          </w:p>
          <w:p w:rsidR="000D3773" w:rsidRDefault="000D3773" w:rsidP="004A4731">
            <w:pPr>
              <w:pStyle w:val="ListParagraph"/>
              <w:numPr>
                <w:ilvl w:val="0"/>
                <w:numId w:val="18"/>
              </w:numPr>
              <w:autoSpaceDE w:val="0"/>
              <w:autoSpaceDN w:val="0"/>
              <w:adjustRightInd w:val="0"/>
            </w:pPr>
            <w:r w:rsidRPr="000D3773">
              <w:rPr>
                <w:b/>
              </w:rPr>
              <w:t>RecombiPlasTin 2G (RTF):</w:t>
            </w:r>
            <w:r>
              <w:t xml:space="preserve"> </w:t>
            </w:r>
            <w:r w:rsidRPr="000D3773">
              <w:t>Lyophilized recombinant human tissue factor, synthetic phospholipids with stabilizers, preservative and buffer.</w:t>
            </w:r>
          </w:p>
          <w:p w:rsidR="000D3773" w:rsidRDefault="000D3773" w:rsidP="00744A90">
            <w:pPr>
              <w:pStyle w:val="ListParagraph"/>
              <w:autoSpaceDE w:val="0"/>
              <w:autoSpaceDN w:val="0"/>
              <w:adjustRightInd w:val="0"/>
            </w:pPr>
          </w:p>
          <w:p w:rsidR="000D3773" w:rsidRDefault="000D3773" w:rsidP="004A4731">
            <w:pPr>
              <w:pStyle w:val="ListParagraph"/>
              <w:numPr>
                <w:ilvl w:val="0"/>
                <w:numId w:val="18"/>
              </w:numPr>
              <w:autoSpaceDE w:val="0"/>
              <w:autoSpaceDN w:val="0"/>
              <w:adjustRightInd w:val="0"/>
            </w:pPr>
            <w:r w:rsidRPr="008A0405">
              <w:rPr>
                <w:b/>
              </w:rPr>
              <w:t>RecombiPlasTin 2 G Diluent (RTF diluent)</w:t>
            </w:r>
            <w:r w:rsidR="008A0405">
              <w:t xml:space="preserve">: </w:t>
            </w:r>
            <w:r w:rsidR="008A0405" w:rsidRPr="008A0405">
              <w:t xml:space="preserve">An aqueous solution of calcium chloride, </w:t>
            </w:r>
            <w:proofErr w:type="spellStart"/>
            <w:r w:rsidR="008A0405" w:rsidRPr="008A0405">
              <w:t>polybrene</w:t>
            </w:r>
            <w:proofErr w:type="spellEnd"/>
            <w:r w:rsidR="008A0405" w:rsidRPr="008A0405">
              <w:t xml:space="preserve"> and a preservative.</w:t>
            </w:r>
          </w:p>
          <w:p w:rsidR="00FC7D4E" w:rsidRPr="00F16B9E" w:rsidRDefault="00FC7D4E" w:rsidP="00D115AC">
            <w:pPr>
              <w:autoSpaceDE w:val="0"/>
              <w:autoSpaceDN w:val="0"/>
              <w:adjustRightInd w:val="0"/>
            </w:pPr>
          </w:p>
          <w:tbl>
            <w:tblPr>
              <w:tblStyle w:val="TableGrid"/>
              <w:tblW w:w="0" w:type="auto"/>
              <w:tblInd w:w="1" w:type="dxa"/>
              <w:tblLook w:val="04A0" w:firstRow="1" w:lastRow="0" w:firstColumn="1" w:lastColumn="0" w:noHBand="0" w:noVBand="1"/>
            </w:tblPr>
            <w:tblGrid>
              <w:gridCol w:w="3260"/>
              <w:gridCol w:w="1500"/>
              <w:gridCol w:w="1350"/>
              <w:gridCol w:w="2370"/>
            </w:tblGrid>
            <w:tr w:rsidR="00F11107" w:rsidTr="0047502E">
              <w:trPr>
                <w:trHeight w:val="144"/>
              </w:trPr>
              <w:tc>
                <w:tcPr>
                  <w:tcW w:w="3260" w:type="dxa"/>
                  <w:shd w:val="clear" w:color="auto" w:fill="BFBFBF" w:themeFill="background1" w:themeFillShade="BF"/>
                </w:tcPr>
                <w:p w:rsidR="00FC7D4E" w:rsidRDefault="00FC7D4E" w:rsidP="00D115AC">
                  <w:pPr>
                    <w:autoSpaceDE w:val="0"/>
                    <w:autoSpaceDN w:val="0"/>
                    <w:adjustRightInd w:val="0"/>
                    <w:rPr>
                      <w:b/>
                    </w:rPr>
                  </w:pPr>
                  <w:r>
                    <w:rPr>
                      <w:b/>
                    </w:rPr>
                    <w:t xml:space="preserve">Item </w:t>
                  </w:r>
                </w:p>
              </w:tc>
              <w:tc>
                <w:tcPr>
                  <w:tcW w:w="1500" w:type="dxa"/>
                  <w:shd w:val="clear" w:color="auto" w:fill="BFBFBF" w:themeFill="background1" w:themeFillShade="BF"/>
                </w:tcPr>
                <w:p w:rsidR="00FC7D4E" w:rsidRDefault="00FC7D4E" w:rsidP="00D115AC">
                  <w:pPr>
                    <w:autoSpaceDE w:val="0"/>
                    <w:autoSpaceDN w:val="0"/>
                    <w:adjustRightInd w:val="0"/>
                    <w:rPr>
                      <w:b/>
                    </w:rPr>
                  </w:pPr>
                  <w:r>
                    <w:rPr>
                      <w:b/>
                    </w:rPr>
                    <w:t>Part No.</w:t>
                  </w:r>
                </w:p>
              </w:tc>
              <w:tc>
                <w:tcPr>
                  <w:tcW w:w="1350" w:type="dxa"/>
                  <w:shd w:val="clear" w:color="auto" w:fill="BFBFBF" w:themeFill="background1" w:themeFillShade="BF"/>
                </w:tcPr>
                <w:p w:rsidR="00FC7D4E" w:rsidRDefault="00FC7D4E" w:rsidP="00D115AC">
                  <w:pPr>
                    <w:autoSpaceDE w:val="0"/>
                    <w:autoSpaceDN w:val="0"/>
                    <w:adjustRightInd w:val="0"/>
                    <w:rPr>
                      <w:b/>
                    </w:rPr>
                  </w:pPr>
                  <w:r>
                    <w:rPr>
                      <w:b/>
                    </w:rPr>
                    <w:t>Storage</w:t>
                  </w:r>
                </w:p>
              </w:tc>
              <w:tc>
                <w:tcPr>
                  <w:tcW w:w="2370" w:type="dxa"/>
                  <w:shd w:val="clear" w:color="auto" w:fill="BFBFBF" w:themeFill="background1" w:themeFillShade="BF"/>
                </w:tcPr>
                <w:p w:rsidR="00FC7D4E" w:rsidRDefault="00FC7D4E" w:rsidP="00D115AC">
                  <w:pPr>
                    <w:autoSpaceDE w:val="0"/>
                    <w:autoSpaceDN w:val="0"/>
                    <w:adjustRightInd w:val="0"/>
                    <w:rPr>
                      <w:b/>
                    </w:rPr>
                  </w:pPr>
                  <w:r>
                    <w:rPr>
                      <w:b/>
                    </w:rPr>
                    <w:t>Packaging/Use</w:t>
                  </w:r>
                </w:p>
              </w:tc>
            </w:tr>
            <w:tr w:rsidR="00FC7D4E" w:rsidTr="0047502E">
              <w:trPr>
                <w:trHeight w:val="144"/>
              </w:trPr>
              <w:tc>
                <w:tcPr>
                  <w:tcW w:w="3260" w:type="dxa"/>
                </w:tcPr>
                <w:p w:rsidR="00FC7D4E" w:rsidRPr="00FC7D4E" w:rsidRDefault="00FC7D4E" w:rsidP="00D115AC">
                  <w:pPr>
                    <w:autoSpaceDE w:val="0"/>
                    <w:autoSpaceDN w:val="0"/>
                    <w:adjustRightInd w:val="0"/>
                  </w:pPr>
                  <w:r w:rsidRPr="00FC7D4E">
                    <w:t xml:space="preserve">5x 20 ml </w:t>
                  </w:r>
                  <w:proofErr w:type="spellStart"/>
                  <w:r w:rsidRPr="00FC7D4E">
                    <w:t>RecombiPlasTin</w:t>
                  </w:r>
                  <w:proofErr w:type="spellEnd"/>
                  <w:r>
                    <w:t xml:space="preserve"> 2G (RTF)</w:t>
                  </w:r>
                </w:p>
              </w:tc>
              <w:tc>
                <w:tcPr>
                  <w:tcW w:w="1500" w:type="dxa"/>
                </w:tcPr>
                <w:p w:rsidR="00FC7D4E" w:rsidRPr="00FC7D4E" w:rsidRDefault="00FC7D4E" w:rsidP="00D115AC">
                  <w:pPr>
                    <w:autoSpaceDE w:val="0"/>
                    <w:autoSpaceDN w:val="0"/>
                    <w:adjustRightInd w:val="0"/>
                  </w:pPr>
                  <w:r w:rsidRPr="00FC7D4E">
                    <w:t>0020003050</w:t>
                  </w:r>
                </w:p>
              </w:tc>
              <w:tc>
                <w:tcPr>
                  <w:tcW w:w="1350" w:type="dxa"/>
                </w:tcPr>
                <w:p w:rsidR="00FC7D4E" w:rsidRPr="000D3773" w:rsidRDefault="000D3773" w:rsidP="00D115AC">
                  <w:pPr>
                    <w:autoSpaceDE w:val="0"/>
                    <w:autoSpaceDN w:val="0"/>
                    <w:adjustRightInd w:val="0"/>
                  </w:pPr>
                  <w:r w:rsidRPr="000D3773">
                    <w:t>2 – 8</w:t>
                  </w:r>
                  <w:r>
                    <w:rPr>
                      <w:vertAlign w:val="superscript"/>
                    </w:rPr>
                    <w:t>o</w:t>
                  </w:r>
                  <w:r w:rsidRPr="000D3773">
                    <w:t xml:space="preserve"> C</w:t>
                  </w:r>
                </w:p>
              </w:tc>
              <w:tc>
                <w:tcPr>
                  <w:tcW w:w="2370" w:type="dxa"/>
                </w:tcPr>
                <w:p w:rsidR="00FC7D4E" w:rsidRPr="000D3773" w:rsidRDefault="000D3773" w:rsidP="00D115AC">
                  <w:pPr>
                    <w:autoSpaceDE w:val="0"/>
                    <w:autoSpaceDN w:val="0"/>
                    <w:adjustRightInd w:val="0"/>
                  </w:pPr>
                  <w:r w:rsidRPr="000D3773">
                    <w:t>Open expiration= 10</w:t>
                  </w:r>
                  <w:r>
                    <w:t xml:space="preserve"> </w:t>
                  </w:r>
                  <w:r w:rsidRPr="000D3773">
                    <w:t>days</w:t>
                  </w:r>
                  <w:r>
                    <w:t xml:space="preserve"> on TOP analyzer</w:t>
                  </w:r>
                </w:p>
              </w:tc>
            </w:tr>
            <w:tr w:rsidR="00FC7D4E" w:rsidTr="0047502E">
              <w:trPr>
                <w:trHeight w:val="144"/>
              </w:trPr>
              <w:tc>
                <w:tcPr>
                  <w:tcW w:w="3260" w:type="dxa"/>
                </w:tcPr>
                <w:p w:rsidR="00FC7D4E" w:rsidRPr="00FC7D4E" w:rsidRDefault="0047502E" w:rsidP="00D115AC">
                  <w:pPr>
                    <w:autoSpaceDE w:val="0"/>
                    <w:autoSpaceDN w:val="0"/>
                    <w:adjustRightInd w:val="0"/>
                  </w:pPr>
                  <w:r>
                    <w:t>Factor Diluent 100 ml</w:t>
                  </w:r>
                </w:p>
              </w:tc>
              <w:tc>
                <w:tcPr>
                  <w:tcW w:w="1500" w:type="dxa"/>
                </w:tcPr>
                <w:p w:rsidR="00FC7D4E" w:rsidRPr="00FC7D4E" w:rsidRDefault="0047502E" w:rsidP="00D115AC">
                  <w:pPr>
                    <w:autoSpaceDE w:val="0"/>
                    <w:autoSpaceDN w:val="0"/>
                    <w:adjustRightInd w:val="0"/>
                  </w:pPr>
                  <w:r>
                    <w:t>0009757600</w:t>
                  </w:r>
                </w:p>
              </w:tc>
              <w:tc>
                <w:tcPr>
                  <w:tcW w:w="1350" w:type="dxa"/>
                </w:tcPr>
                <w:p w:rsidR="00FC7D4E" w:rsidRPr="000D3773" w:rsidRDefault="0047502E" w:rsidP="0047502E">
                  <w:pPr>
                    <w:autoSpaceDE w:val="0"/>
                    <w:autoSpaceDN w:val="0"/>
                    <w:adjustRightInd w:val="0"/>
                  </w:pPr>
                  <w:r>
                    <w:t>15 – 25</w:t>
                  </w:r>
                  <w:r w:rsidR="000D3773">
                    <w:rPr>
                      <w:vertAlign w:val="superscript"/>
                    </w:rPr>
                    <w:t>o</w:t>
                  </w:r>
                  <w:r w:rsidR="000D3773" w:rsidRPr="000D3773">
                    <w:t xml:space="preserve"> </w:t>
                  </w:r>
                  <w:r>
                    <w:t>C</w:t>
                  </w:r>
                </w:p>
              </w:tc>
              <w:tc>
                <w:tcPr>
                  <w:tcW w:w="2370" w:type="dxa"/>
                </w:tcPr>
                <w:p w:rsidR="00FC7D4E" w:rsidRPr="000D3773" w:rsidRDefault="0047502E" w:rsidP="00D115AC">
                  <w:pPr>
                    <w:autoSpaceDE w:val="0"/>
                    <w:autoSpaceDN w:val="0"/>
                    <w:adjustRightInd w:val="0"/>
                  </w:pPr>
                  <w:r w:rsidRPr="0047502E">
                    <w:rPr>
                      <w:b/>
                    </w:rPr>
                    <w:t>Replace/refresh analyzer aliquot every 7 days</w:t>
                  </w:r>
                  <w:r>
                    <w:t>: open bottle good until expiration on bottle</w:t>
                  </w:r>
                </w:p>
              </w:tc>
            </w:tr>
          </w:tbl>
          <w:p w:rsidR="00FC7D4E" w:rsidRDefault="00FC7D4E" w:rsidP="00D115AC">
            <w:pPr>
              <w:autoSpaceDE w:val="0"/>
              <w:autoSpaceDN w:val="0"/>
              <w:adjustRightInd w:val="0"/>
              <w:rPr>
                <w:b/>
              </w:rPr>
            </w:pPr>
          </w:p>
          <w:p w:rsidR="00F16B9E" w:rsidRDefault="00F16B9E" w:rsidP="00D115AC">
            <w:pPr>
              <w:autoSpaceDE w:val="0"/>
              <w:autoSpaceDN w:val="0"/>
              <w:adjustRightInd w:val="0"/>
              <w:rPr>
                <w:b/>
              </w:rPr>
            </w:pPr>
            <w:r>
              <w:rPr>
                <w:b/>
              </w:rPr>
              <w:t xml:space="preserve">Preparation </w:t>
            </w:r>
          </w:p>
          <w:p w:rsidR="00F16B9E" w:rsidRDefault="00D115AC" w:rsidP="004A4731">
            <w:pPr>
              <w:pStyle w:val="ListParagraph"/>
              <w:numPr>
                <w:ilvl w:val="0"/>
                <w:numId w:val="16"/>
              </w:numPr>
              <w:autoSpaceDE w:val="0"/>
              <w:autoSpaceDN w:val="0"/>
              <w:adjustRightInd w:val="0"/>
            </w:pPr>
            <w:r w:rsidRPr="00F16B9E">
              <w:rPr>
                <w:b/>
              </w:rPr>
              <w:t>RecombiPlasTin 2G</w:t>
            </w:r>
            <w:r>
              <w:t>: Allow each vial of reagent and diluent to equilibrate at 15-25˚C for at least 15 minutes before reconstitution.</w:t>
            </w:r>
          </w:p>
          <w:p w:rsidR="00F16B9E" w:rsidRDefault="00D115AC" w:rsidP="004A4731">
            <w:pPr>
              <w:pStyle w:val="ListParagraph"/>
              <w:numPr>
                <w:ilvl w:val="0"/>
                <w:numId w:val="16"/>
              </w:numPr>
              <w:autoSpaceDE w:val="0"/>
              <w:autoSpaceDN w:val="0"/>
              <w:adjustRightInd w:val="0"/>
            </w:pPr>
            <w:r>
              <w:t xml:space="preserve">Pipette the exact </w:t>
            </w:r>
            <w:r w:rsidR="001729F0">
              <w:t>amount required (</w:t>
            </w:r>
            <w:r>
              <w:t>20 mL) of diluent into the vial of reagent. DO NOT POUR the contents of the diluent vial into the vial of RecombiPlasTin 2G.</w:t>
            </w:r>
          </w:p>
          <w:p w:rsidR="00D115AC" w:rsidRDefault="00D115AC" w:rsidP="004A4731">
            <w:pPr>
              <w:pStyle w:val="ListParagraph"/>
              <w:numPr>
                <w:ilvl w:val="0"/>
                <w:numId w:val="16"/>
              </w:numPr>
              <w:autoSpaceDE w:val="0"/>
              <w:autoSpaceDN w:val="0"/>
              <w:adjustRightInd w:val="0"/>
            </w:pPr>
            <w:r>
              <w:t xml:space="preserve"> Replace the stopper and swirl gently. Let sit for 15 to 20 minutes at 15-25˚C and invert to mix before use.</w:t>
            </w:r>
            <w:r w:rsidR="00281D9F">
              <w:t xml:space="preserve"> </w:t>
            </w:r>
            <w:r w:rsidR="00281D9F" w:rsidRPr="00F16B9E">
              <w:rPr>
                <w:b/>
              </w:rPr>
              <w:t>Do not shake</w:t>
            </w:r>
            <w:r w:rsidR="00281D9F">
              <w:t>.</w:t>
            </w:r>
          </w:p>
          <w:p w:rsidR="00281D9F" w:rsidRDefault="00F16B9E" w:rsidP="00D115AC">
            <w:pPr>
              <w:autoSpaceDE w:val="0"/>
              <w:autoSpaceDN w:val="0"/>
              <w:adjustRightInd w:val="0"/>
              <w:rPr>
                <w:b/>
              </w:rPr>
            </w:pPr>
            <w:r>
              <w:rPr>
                <w:b/>
              </w:rPr>
              <w:t>Stability</w:t>
            </w:r>
          </w:p>
          <w:p w:rsidR="00D115AC" w:rsidRDefault="00D115AC" w:rsidP="004A4731">
            <w:pPr>
              <w:pStyle w:val="ListParagraph"/>
              <w:numPr>
                <w:ilvl w:val="0"/>
                <w:numId w:val="17"/>
              </w:numPr>
              <w:autoSpaceDE w:val="0"/>
              <w:autoSpaceDN w:val="0"/>
              <w:adjustRightInd w:val="0"/>
            </w:pPr>
            <w:r w:rsidRPr="00F16B9E">
              <w:rPr>
                <w:b/>
              </w:rPr>
              <w:t>RecombiPlasTin 2G:</w:t>
            </w:r>
            <w:r>
              <w:t xml:space="preserve"> Stability after reconstitution: 10 days at 2-8°C, 5</w:t>
            </w:r>
            <w:r w:rsidR="008356AB">
              <w:t xml:space="preserve"> </w:t>
            </w:r>
            <w:r>
              <w:t>days at 15-25°C in the original vial or</w:t>
            </w:r>
            <w:r w:rsidR="001729F0">
              <w:t xml:space="preserve"> 10 days at 15°C on the ACL TOP</w:t>
            </w:r>
            <w:r w:rsidR="00B120E6">
              <w:t xml:space="preserve"> </w:t>
            </w:r>
            <w:r>
              <w:t>. No stir bar required.</w:t>
            </w:r>
          </w:p>
          <w:p w:rsidR="008A0405" w:rsidRDefault="008A0405" w:rsidP="004A4731">
            <w:pPr>
              <w:pStyle w:val="ListParagraph"/>
              <w:numPr>
                <w:ilvl w:val="0"/>
                <w:numId w:val="17"/>
              </w:numPr>
              <w:autoSpaceDE w:val="0"/>
              <w:autoSpaceDN w:val="0"/>
              <w:adjustRightInd w:val="0"/>
            </w:pPr>
            <w:r w:rsidRPr="008A0405">
              <w:t>Unopened reagents are stable until the expiration date shown on the vial when stored at 2-8°C.</w:t>
            </w:r>
          </w:p>
          <w:p w:rsidR="00D115AC" w:rsidRPr="000C4491" w:rsidRDefault="00D115AC" w:rsidP="008356AB">
            <w:pPr>
              <w:autoSpaceDE w:val="0"/>
              <w:autoSpaceDN w:val="0"/>
              <w:adjustRightInd w:val="0"/>
            </w:pPr>
          </w:p>
        </w:tc>
      </w:tr>
      <w:tr w:rsidR="000C4491" w:rsidTr="00F11107">
        <w:trPr>
          <w:trHeight w:val="554"/>
        </w:trPr>
        <w:tc>
          <w:tcPr>
            <w:tcW w:w="2254" w:type="dxa"/>
            <w:tcBorders>
              <w:top w:val="nil"/>
              <w:left w:val="nil"/>
              <w:right w:val="nil"/>
            </w:tcBorders>
          </w:tcPr>
          <w:p w:rsidR="000C4491" w:rsidRDefault="00D02CA7" w:rsidP="00A32BE2">
            <w:pPr>
              <w:rPr>
                <w:b/>
                <w:bCs/>
              </w:rPr>
            </w:pPr>
            <w:r>
              <w:rPr>
                <w:b/>
                <w:bCs/>
              </w:rPr>
              <w:t>Quality Control</w:t>
            </w:r>
          </w:p>
          <w:p w:rsidR="00D02CA7" w:rsidRDefault="00D02CA7" w:rsidP="00A32BE2">
            <w:pPr>
              <w:rPr>
                <w:b/>
                <w:bCs/>
              </w:rPr>
            </w:pPr>
          </w:p>
        </w:tc>
        <w:tc>
          <w:tcPr>
            <w:tcW w:w="8712" w:type="dxa"/>
            <w:tcBorders>
              <w:left w:val="nil"/>
              <w:right w:val="nil"/>
            </w:tcBorders>
          </w:tcPr>
          <w:p w:rsidR="007B6F15" w:rsidRDefault="002A0860" w:rsidP="007B6F15">
            <w:pPr>
              <w:autoSpaceDE w:val="0"/>
              <w:autoSpaceDN w:val="0"/>
              <w:adjustRightInd w:val="0"/>
              <w:rPr>
                <w:b/>
              </w:rPr>
            </w:pPr>
            <w:r w:rsidRPr="002A0860">
              <w:rPr>
                <w:b/>
              </w:rPr>
              <w:t xml:space="preserve">HemosIL </w:t>
            </w:r>
            <w:r w:rsidR="007B6F15" w:rsidRPr="007B6F15">
              <w:rPr>
                <w:b/>
              </w:rPr>
              <w:t>Normal and Low Abnormal Controls (Run once per shift)</w:t>
            </w:r>
            <w:r w:rsidR="00B120E6">
              <w:rPr>
                <w:b/>
              </w:rPr>
              <w:t xml:space="preserve">. </w:t>
            </w:r>
          </w:p>
          <w:p w:rsidR="00B120E6" w:rsidRDefault="00B120E6" w:rsidP="007B6F15">
            <w:pPr>
              <w:autoSpaceDE w:val="0"/>
              <w:autoSpaceDN w:val="0"/>
              <w:adjustRightInd w:val="0"/>
              <w:rPr>
                <w:b/>
              </w:rPr>
            </w:pPr>
          </w:p>
          <w:tbl>
            <w:tblPr>
              <w:tblStyle w:val="TableGrid"/>
              <w:tblW w:w="0" w:type="auto"/>
              <w:tblInd w:w="1" w:type="dxa"/>
              <w:tblLook w:val="04A0" w:firstRow="1" w:lastRow="0" w:firstColumn="1" w:lastColumn="0" w:noHBand="0" w:noVBand="1"/>
            </w:tblPr>
            <w:tblGrid>
              <w:gridCol w:w="2265"/>
              <w:gridCol w:w="1424"/>
              <w:gridCol w:w="1466"/>
              <w:gridCol w:w="1696"/>
            </w:tblGrid>
            <w:tr w:rsidR="00043571" w:rsidTr="00F11107">
              <w:trPr>
                <w:trHeight w:val="144"/>
              </w:trPr>
              <w:tc>
                <w:tcPr>
                  <w:tcW w:w="2265" w:type="dxa"/>
                </w:tcPr>
                <w:p w:rsidR="00043571" w:rsidRDefault="00043571" w:rsidP="007B6F15">
                  <w:pPr>
                    <w:autoSpaceDE w:val="0"/>
                    <w:autoSpaceDN w:val="0"/>
                    <w:adjustRightInd w:val="0"/>
                    <w:rPr>
                      <w:b/>
                    </w:rPr>
                  </w:pPr>
                  <w:r>
                    <w:rPr>
                      <w:b/>
                    </w:rPr>
                    <w:t>Control Material</w:t>
                  </w:r>
                </w:p>
              </w:tc>
              <w:tc>
                <w:tcPr>
                  <w:tcW w:w="1424" w:type="dxa"/>
                </w:tcPr>
                <w:p w:rsidR="00043571" w:rsidRDefault="00043571" w:rsidP="00043571">
                  <w:pPr>
                    <w:autoSpaceDE w:val="0"/>
                    <w:autoSpaceDN w:val="0"/>
                    <w:adjustRightInd w:val="0"/>
                    <w:rPr>
                      <w:b/>
                    </w:rPr>
                  </w:pPr>
                  <w:r>
                    <w:rPr>
                      <w:b/>
                    </w:rPr>
                    <w:t>Part No.</w:t>
                  </w:r>
                </w:p>
              </w:tc>
              <w:tc>
                <w:tcPr>
                  <w:tcW w:w="1466" w:type="dxa"/>
                </w:tcPr>
                <w:p w:rsidR="00043571" w:rsidRDefault="00043571" w:rsidP="007B6F15">
                  <w:pPr>
                    <w:autoSpaceDE w:val="0"/>
                    <w:autoSpaceDN w:val="0"/>
                    <w:adjustRightInd w:val="0"/>
                    <w:rPr>
                      <w:b/>
                    </w:rPr>
                  </w:pPr>
                  <w:r>
                    <w:rPr>
                      <w:b/>
                    </w:rPr>
                    <w:t>Storage</w:t>
                  </w:r>
                </w:p>
              </w:tc>
              <w:tc>
                <w:tcPr>
                  <w:tcW w:w="1696" w:type="dxa"/>
                </w:tcPr>
                <w:p w:rsidR="00043571" w:rsidRDefault="00043571" w:rsidP="007B6F15">
                  <w:pPr>
                    <w:autoSpaceDE w:val="0"/>
                    <w:autoSpaceDN w:val="0"/>
                    <w:adjustRightInd w:val="0"/>
                    <w:rPr>
                      <w:b/>
                    </w:rPr>
                  </w:pPr>
                  <w:r>
                    <w:rPr>
                      <w:b/>
                    </w:rPr>
                    <w:t>Stability</w:t>
                  </w:r>
                </w:p>
              </w:tc>
            </w:tr>
            <w:tr w:rsidR="00043571" w:rsidTr="00F11107">
              <w:trPr>
                <w:trHeight w:val="144"/>
              </w:trPr>
              <w:tc>
                <w:tcPr>
                  <w:tcW w:w="2265" w:type="dxa"/>
                </w:tcPr>
                <w:p w:rsidR="00043571" w:rsidRPr="00043571" w:rsidRDefault="00043571" w:rsidP="007B6F15">
                  <w:pPr>
                    <w:autoSpaceDE w:val="0"/>
                    <w:autoSpaceDN w:val="0"/>
                    <w:adjustRightInd w:val="0"/>
                  </w:pPr>
                  <w:r w:rsidRPr="00043571">
                    <w:t xml:space="preserve">Normal Control </w:t>
                  </w:r>
                  <w:r w:rsidR="002A0860">
                    <w:t xml:space="preserve"> </w:t>
                  </w:r>
                </w:p>
                <w:p w:rsidR="00043571" w:rsidRPr="00043571" w:rsidRDefault="000B77C5" w:rsidP="007B6F15">
                  <w:pPr>
                    <w:autoSpaceDE w:val="0"/>
                    <w:autoSpaceDN w:val="0"/>
                    <w:adjustRightInd w:val="0"/>
                    <w:rPr>
                      <w:b/>
                      <w:sz w:val="20"/>
                      <w:szCs w:val="20"/>
                    </w:rPr>
                  </w:pPr>
                  <w:r>
                    <w:rPr>
                      <w:sz w:val="20"/>
                      <w:szCs w:val="20"/>
                    </w:rPr>
                    <w:t>(</w:t>
                  </w:r>
                  <w:r w:rsidR="00043571" w:rsidRPr="00043571">
                    <w:rPr>
                      <w:sz w:val="20"/>
                      <w:szCs w:val="20"/>
                    </w:rPr>
                    <w:t>HemosIL  10 x 1 mL</w:t>
                  </w:r>
                  <w:r>
                    <w:rPr>
                      <w:sz w:val="20"/>
                      <w:szCs w:val="20"/>
                    </w:rPr>
                    <w:t>)</w:t>
                  </w:r>
                </w:p>
              </w:tc>
              <w:tc>
                <w:tcPr>
                  <w:tcW w:w="1424" w:type="dxa"/>
                </w:tcPr>
                <w:p w:rsidR="00043571" w:rsidRPr="00043571" w:rsidRDefault="00043571" w:rsidP="007B6F15">
                  <w:pPr>
                    <w:autoSpaceDE w:val="0"/>
                    <w:autoSpaceDN w:val="0"/>
                    <w:adjustRightInd w:val="0"/>
                  </w:pPr>
                  <w:r w:rsidRPr="00043571">
                    <w:t>0020013900</w:t>
                  </w:r>
                </w:p>
              </w:tc>
              <w:tc>
                <w:tcPr>
                  <w:tcW w:w="1466" w:type="dxa"/>
                </w:tcPr>
                <w:p w:rsidR="00043571" w:rsidRPr="000D3773" w:rsidRDefault="00043571" w:rsidP="00A45C5C">
                  <w:pPr>
                    <w:autoSpaceDE w:val="0"/>
                    <w:autoSpaceDN w:val="0"/>
                    <w:adjustRightInd w:val="0"/>
                  </w:pPr>
                  <w:r w:rsidRPr="000D3773">
                    <w:t>2 – 8</w:t>
                  </w:r>
                  <w:r>
                    <w:rPr>
                      <w:vertAlign w:val="superscript"/>
                    </w:rPr>
                    <w:t>o</w:t>
                  </w:r>
                  <w:r w:rsidRPr="000D3773">
                    <w:t xml:space="preserve"> C</w:t>
                  </w:r>
                </w:p>
              </w:tc>
              <w:tc>
                <w:tcPr>
                  <w:tcW w:w="1696" w:type="dxa"/>
                </w:tcPr>
                <w:p w:rsidR="00043571" w:rsidRPr="000B77C5" w:rsidRDefault="000B77C5" w:rsidP="007B6F15">
                  <w:pPr>
                    <w:autoSpaceDE w:val="0"/>
                    <w:autoSpaceDN w:val="0"/>
                    <w:adjustRightInd w:val="0"/>
                  </w:pPr>
                  <w:r w:rsidRPr="000B77C5">
                    <w:t>24 hours on-board</w:t>
                  </w:r>
                  <w:r>
                    <w:t xml:space="preserve"> analyzer</w:t>
                  </w:r>
                </w:p>
              </w:tc>
            </w:tr>
            <w:tr w:rsidR="00043571" w:rsidTr="00F11107">
              <w:trPr>
                <w:trHeight w:val="144"/>
              </w:trPr>
              <w:tc>
                <w:tcPr>
                  <w:tcW w:w="2265" w:type="dxa"/>
                </w:tcPr>
                <w:p w:rsidR="00043571" w:rsidRPr="00043571" w:rsidRDefault="00043571" w:rsidP="00043571">
                  <w:pPr>
                    <w:autoSpaceDE w:val="0"/>
                    <w:autoSpaceDN w:val="0"/>
                    <w:adjustRightInd w:val="0"/>
                  </w:pPr>
                  <w:r>
                    <w:t>Abn</w:t>
                  </w:r>
                  <w:r w:rsidR="000B77C5">
                    <w:t xml:space="preserve">ormal Control </w:t>
                  </w:r>
                </w:p>
                <w:p w:rsidR="00043571" w:rsidRPr="00043571" w:rsidRDefault="000B77C5" w:rsidP="00043571">
                  <w:pPr>
                    <w:autoSpaceDE w:val="0"/>
                    <w:autoSpaceDN w:val="0"/>
                    <w:adjustRightInd w:val="0"/>
                    <w:rPr>
                      <w:b/>
                      <w:sz w:val="20"/>
                      <w:szCs w:val="20"/>
                    </w:rPr>
                  </w:pPr>
                  <w:r>
                    <w:rPr>
                      <w:sz w:val="20"/>
                      <w:szCs w:val="20"/>
                    </w:rPr>
                    <w:t>(</w:t>
                  </w:r>
                  <w:r w:rsidR="00043571" w:rsidRPr="00043571">
                    <w:rPr>
                      <w:sz w:val="20"/>
                      <w:szCs w:val="20"/>
                    </w:rPr>
                    <w:t>HemosIL  10 x 1 mL</w:t>
                  </w:r>
                  <w:r>
                    <w:rPr>
                      <w:sz w:val="20"/>
                      <w:szCs w:val="20"/>
                    </w:rPr>
                    <w:t>)</w:t>
                  </w:r>
                </w:p>
              </w:tc>
              <w:tc>
                <w:tcPr>
                  <w:tcW w:w="1424" w:type="dxa"/>
                </w:tcPr>
                <w:p w:rsidR="00043571" w:rsidRPr="00043571" w:rsidRDefault="00043571" w:rsidP="007B6F15">
                  <w:pPr>
                    <w:autoSpaceDE w:val="0"/>
                    <w:autoSpaceDN w:val="0"/>
                    <w:adjustRightInd w:val="0"/>
                  </w:pPr>
                  <w:r w:rsidRPr="00043571">
                    <w:t>0020014000</w:t>
                  </w:r>
                </w:p>
              </w:tc>
              <w:tc>
                <w:tcPr>
                  <w:tcW w:w="1466" w:type="dxa"/>
                </w:tcPr>
                <w:p w:rsidR="00043571" w:rsidRPr="000D3773" w:rsidRDefault="00043571" w:rsidP="00A45C5C">
                  <w:pPr>
                    <w:autoSpaceDE w:val="0"/>
                    <w:autoSpaceDN w:val="0"/>
                    <w:adjustRightInd w:val="0"/>
                  </w:pPr>
                  <w:r w:rsidRPr="000D3773">
                    <w:t>2 – 8</w:t>
                  </w:r>
                  <w:r>
                    <w:rPr>
                      <w:vertAlign w:val="superscript"/>
                    </w:rPr>
                    <w:t>o</w:t>
                  </w:r>
                  <w:r w:rsidRPr="000D3773">
                    <w:t xml:space="preserve"> C</w:t>
                  </w:r>
                </w:p>
              </w:tc>
              <w:tc>
                <w:tcPr>
                  <w:tcW w:w="1696" w:type="dxa"/>
                </w:tcPr>
                <w:p w:rsidR="00043571" w:rsidRPr="000B77C5" w:rsidRDefault="000B77C5" w:rsidP="007B6F15">
                  <w:pPr>
                    <w:autoSpaceDE w:val="0"/>
                    <w:autoSpaceDN w:val="0"/>
                    <w:adjustRightInd w:val="0"/>
                  </w:pPr>
                  <w:r w:rsidRPr="000B77C5">
                    <w:t>24 hours on-board</w:t>
                  </w:r>
                  <w:r>
                    <w:t xml:space="preserve"> analyzer</w:t>
                  </w:r>
                </w:p>
              </w:tc>
            </w:tr>
          </w:tbl>
          <w:p w:rsidR="00B120E6" w:rsidRPr="007B6F15" w:rsidRDefault="00B120E6" w:rsidP="007B6F15">
            <w:pPr>
              <w:autoSpaceDE w:val="0"/>
              <w:autoSpaceDN w:val="0"/>
              <w:adjustRightInd w:val="0"/>
              <w:rPr>
                <w:b/>
              </w:rPr>
            </w:pPr>
          </w:p>
          <w:p w:rsidR="002A0860" w:rsidRDefault="007B6F15" w:rsidP="000B77C5">
            <w:pPr>
              <w:autoSpaceDE w:val="0"/>
              <w:autoSpaceDN w:val="0"/>
              <w:adjustRightInd w:val="0"/>
            </w:pPr>
            <w:r w:rsidRPr="000B77C5">
              <w:rPr>
                <w:b/>
              </w:rPr>
              <w:t>Preparation &amp; Stability:</w:t>
            </w:r>
            <w:r>
              <w:t xml:space="preserve"> </w:t>
            </w:r>
          </w:p>
          <w:p w:rsidR="002A0860" w:rsidRDefault="007B6F15" w:rsidP="004A4731">
            <w:pPr>
              <w:pStyle w:val="ListParagraph"/>
              <w:numPr>
                <w:ilvl w:val="0"/>
                <w:numId w:val="19"/>
              </w:numPr>
              <w:autoSpaceDE w:val="0"/>
              <w:autoSpaceDN w:val="0"/>
              <w:adjustRightInd w:val="0"/>
            </w:pPr>
            <w:r>
              <w:t xml:space="preserve">Reconstitute each vial (normal and abnormal) with 1.0 ml of reagent grade water. </w:t>
            </w:r>
          </w:p>
          <w:p w:rsidR="002A0860" w:rsidRDefault="007B6F15" w:rsidP="004A4731">
            <w:pPr>
              <w:pStyle w:val="ListParagraph"/>
              <w:numPr>
                <w:ilvl w:val="0"/>
                <w:numId w:val="19"/>
              </w:numPr>
              <w:autoSpaceDE w:val="0"/>
              <w:autoSpaceDN w:val="0"/>
              <w:adjustRightInd w:val="0"/>
            </w:pPr>
            <w:r>
              <w:t>Replace stopper and allow vial to stand for 30 minutes at room temperature. Swirl gently before use.</w:t>
            </w:r>
          </w:p>
          <w:p w:rsidR="002A0860" w:rsidRDefault="007B6F15" w:rsidP="004A4731">
            <w:pPr>
              <w:pStyle w:val="ListParagraph"/>
              <w:numPr>
                <w:ilvl w:val="0"/>
                <w:numId w:val="19"/>
              </w:numPr>
              <w:autoSpaceDE w:val="0"/>
              <w:autoSpaceDN w:val="0"/>
              <w:adjustRightInd w:val="0"/>
            </w:pPr>
            <w:r>
              <w:lastRenderedPageBreak/>
              <w:t>Reconstituted product is stable for 24 hours when kept at 2-8°C (on the i</w:t>
            </w:r>
            <w:r w:rsidR="002A0860">
              <w:t>nstrument).</w:t>
            </w:r>
          </w:p>
          <w:p w:rsidR="002A0860" w:rsidRDefault="002A0860" w:rsidP="004A4731">
            <w:pPr>
              <w:pStyle w:val="ListParagraph"/>
              <w:numPr>
                <w:ilvl w:val="0"/>
                <w:numId w:val="19"/>
              </w:numPr>
              <w:autoSpaceDE w:val="0"/>
              <w:autoSpaceDN w:val="0"/>
              <w:adjustRightInd w:val="0"/>
            </w:pPr>
            <w:r>
              <w:t xml:space="preserve">Reconstituted product </w:t>
            </w:r>
            <w:r w:rsidRPr="002A0860">
              <w:t>st</w:t>
            </w:r>
            <w:r>
              <w:t>able for 24 hours when kept at 15</w:t>
            </w:r>
            <w:r w:rsidRPr="002A0860">
              <w:t>-</w:t>
            </w:r>
            <w:r>
              <w:t>25</w:t>
            </w:r>
            <w:r w:rsidRPr="002A0860">
              <w:t>°C</w:t>
            </w:r>
            <w:r>
              <w:t xml:space="preserve"> in the original vial</w:t>
            </w:r>
          </w:p>
          <w:p w:rsidR="002A0860" w:rsidRDefault="002A0860" w:rsidP="004A4731">
            <w:pPr>
              <w:pStyle w:val="ListParagraph"/>
              <w:numPr>
                <w:ilvl w:val="0"/>
                <w:numId w:val="19"/>
              </w:numPr>
              <w:autoSpaceDE w:val="0"/>
              <w:autoSpaceDN w:val="0"/>
              <w:adjustRightInd w:val="0"/>
            </w:pPr>
            <w:r>
              <w:t xml:space="preserve">Reconstituted </w:t>
            </w:r>
            <w:r w:rsidRPr="002A0860">
              <w:t xml:space="preserve">product stable for 24 hours when kept at 15-25°C </w:t>
            </w:r>
            <w:r>
              <w:t>in the original vial on-board the ACL TOP</w:t>
            </w:r>
          </w:p>
          <w:p w:rsidR="007B6F15" w:rsidRPr="002A0860" w:rsidRDefault="002A0860" w:rsidP="004A4731">
            <w:pPr>
              <w:pStyle w:val="ListParagraph"/>
              <w:numPr>
                <w:ilvl w:val="0"/>
                <w:numId w:val="19"/>
              </w:numPr>
              <w:autoSpaceDE w:val="0"/>
              <w:autoSpaceDN w:val="0"/>
              <w:adjustRightInd w:val="0"/>
              <w:rPr>
                <w:i/>
              </w:rPr>
            </w:pPr>
            <w:r w:rsidRPr="002A0860">
              <w:rPr>
                <w:i/>
              </w:rPr>
              <w:t xml:space="preserve">For optimal stability remove control from the system and store it at 2-8°C in the original vial </w:t>
            </w:r>
          </w:p>
          <w:p w:rsidR="007B6F15" w:rsidRDefault="007B6F15" w:rsidP="007B6F15">
            <w:pPr>
              <w:pStyle w:val="ListParagraph"/>
              <w:autoSpaceDE w:val="0"/>
              <w:autoSpaceDN w:val="0"/>
              <w:adjustRightInd w:val="0"/>
            </w:pPr>
          </w:p>
          <w:p w:rsidR="007B6F15" w:rsidRPr="007B6F15" w:rsidRDefault="007B6F15" w:rsidP="004A4731">
            <w:pPr>
              <w:pStyle w:val="ListParagraph"/>
              <w:numPr>
                <w:ilvl w:val="0"/>
                <w:numId w:val="4"/>
              </w:numPr>
              <w:autoSpaceDE w:val="0"/>
              <w:autoSpaceDN w:val="0"/>
              <w:adjustRightInd w:val="0"/>
              <w:rPr>
                <w:b/>
              </w:rPr>
            </w:pPr>
            <w:r w:rsidRPr="007B6F15">
              <w:rPr>
                <w:b/>
              </w:rPr>
              <w:t>Running Controls:</w:t>
            </w:r>
          </w:p>
          <w:p w:rsidR="007B6F15" w:rsidRDefault="007B6F15" w:rsidP="004A4731">
            <w:pPr>
              <w:pStyle w:val="ListParagraph"/>
              <w:numPr>
                <w:ilvl w:val="0"/>
                <w:numId w:val="11"/>
              </w:numPr>
              <w:autoSpaceDE w:val="0"/>
              <w:autoSpaceDN w:val="0"/>
              <w:adjustRightInd w:val="0"/>
            </w:pPr>
            <w:r>
              <w:t>Place QC in Diluent Rack.</w:t>
            </w:r>
          </w:p>
          <w:p w:rsidR="007B6F15" w:rsidRDefault="007B6F15" w:rsidP="004A4731">
            <w:pPr>
              <w:pStyle w:val="ListParagraph"/>
              <w:numPr>
                <w:ilvl w:val="0"/>
                <w:numId w:val="11"/>
              </w:numPr>
              <w:autoSpaceDE w:val="0"/>
              <w:autoSpaceDN w:val="0"/>
              <w:adjustRightInd w:val="0"/>
            </w:pPr>
            <w:r>
              <w:t>Load rack in either Reagent Area or Diluent Area.</w:t>
            </w:r>
          </w:p>
          <w:p w:rsidR="007B6F15" w:rsidRDefault="007B6F15" w:rsidP="004A4731">
            <w:pPr>
              <w:pStyle w:val="ListParagraph"/>
              <w:numPr>
                <w:ilvl w:val="0"/>
                <w:numId w:val="11"/>
              </w:numPr>
              <w:autoSpaceDE w:val="0"/>
              <w:autoSpaceDN w:val="0"/>
              <w:adjustRightInd w:val="0"/>
            </w:pPr>
            <w:r>
              <w:t>Go to Menu bar and choose "QC" then" Results List" from dropdown menu. Click on "QC Statistics".</w:t>
            </w:r>
          </w:p>
          <w:p w:rsidR="007B6F15" w:rsidRDefault="007B6F15" w:rsidP="004A4731">
            <w:pPr>
              <w:pStyle w:val="ListParagraph"/>
              <w:numPr>
                <w:ilvl w:val="0"/>
                <w:numId w:val="11"/>
              </w:numPr>
              <w:autoSpaceDE w:val="0"/>
              <w:autoSpaceDN w:val="0"/>
              <w:adjustRightInd w:val="0"/>
            </w:pPr>
            <w:r>
              <w:t>On Navigation Tree, select the appropriate QC to be run (only tests with check mark next to them will be run).</w:t>
            </w:r>
          </w:p>
          <w:p w:rsidR="007B6F15" w:rsidRDefault="007B6F15" w:rsidP="004A4731">
            <w:pPr>
              <w:pStyle w:val="ListParagraph"/>
              <w:numPr>
                <w:ilvl w:val="0"/>
                <w:numId w:val="11"/>
              </w:numPr>
              <w:autoSpaceDE w:val="0"/>
              <w:autoSpaceDN w:val="0"/>
              <w:adjustRightInd w:val="0"/>
            </w:pPr>
            <w:r>
              <w:t>Click on the "Run" tile.</w:t>
            </w:r>
          </w:p>
          <w:p w:rsidR="00614234" w:rsidRDefault="00614234" w:rsidP="00614234">
            <w:pPr>
              <w:pStyle w:val="ListParagraph"/>
              <w:autoSpaceDE w:val="0"/>
              <w:autoSpaceDN w:val="0"/>
              <w:adjustRightInd w:val="0"/>
              <w:ind w:left="1440"/>
            </w:pPr>
          </w:p>
          <w:p w:rsidR="00614234" w:rsidRPr="00614234" w:rsidRDefault="00614234" w:rsidP="004A4731">
            <w:pPr>
              <w:pStyle w:val="ListParagraph"/>
              <w:numPr>
                <w:ilvl w:val="0"/>
                <w:numId w:val="4"/>
              </w:numPr>
              <w:autoSpaceDE w:val="0"/>
              <w:autoSpaceDN w:val="0"/>
              <w:adjustRightInd w:val="0"/>
              <w:rPr>
                <w:b/>
              </w:rPr>
            </w:pPr>
            <w:r w:rsidRPr="00614234">
              <w:rPr>
                <w:b/>
              </w:rPr>
              <w:t>Validation of Controls:</w:t>
            </w:r>
          </w:p>
          <w:p w:rsidR="00614234" w:rsidRDefault="007B6F15" w:rsidP="004A4731">
            <w:pPr>
              <w:pStyle w:val="ListParagraph"/>
              <w:numPr>
                <w:ilvl w:val="0"/>
                <w:numId w:val="12"/>
              </w:numPr>
              <w:autoSpaceDE w:val="0"/>
              <w:autoSpaceDN w:val="0"/>
              <w:adjustRightInd w:val="0"/>
            </w:pPr>
            <w:r>
              <w:t>After controls have been run, click on the "Previous Page" tile.</w:t>
            </w:r>
          </w:p>
          <w:p w:rsidR="00614234" w:rsidRDefault="007B6F15" w:rsidP="004A4731">
            <w:pPr>
              <w:pStyle w:val="ListParagraph"/>
              <w:numPr>
                <w:ilvl w:val="0"/>
                <w:numId w:val="12"/>
              </w:numPr>
              <w:autoSpaceDE w:val="0"/>
              <w:autoSpaceDN w:val="0"/>
              <w:adjustRightInd w:val="0"/>
            </w:pPr>
            <w:r>
              <w:t xml:space="preserve"> Select "QC" then "Results List" from the dropdown menu. </w:t>
            </w:r>
          </w:p>
          <w:p w:rsidR="00D843D6" w:rsidRDefault="007B6F15" w:rsidP="004A4731">
            <w:pPr>
              <w:pStyle w:val="ListParagraph"/>
              <w:numPr>
                <w:ilvl w:val="0"/>
                <w:numId w:val="12"/>
              </w:numPr>
              <w:autoSpaceDE w:val="0"/>
              <w:autoSpaceDN w:val="0"/>
              <w:adjustRightInd w:val="0"/>
            </w:pPr>
            <w:r>
              <w:t>Verify all QC is within acceptable range before processing patients.</w:t>
            </w:r>
          </w:p>
        </w:tc>
      </w:tr>
      <w:tr w:rsidR="001C6BC0" w:rsidTr="00F11107">
        <w:trPr>
          <w:trHeight w:val="554"/>
        </w:trPr>
        <w:tc>
          <w:tcPr>
            <w:tcW w:w="2254" w:type="dxa"/>
            <w:tcBorders>
              <w:top w:val="nil"/>
              <w:left w:val="nil"/>
              <w:right w:val="nil"/>
            </w:tcBorders>
          </w:tcPr>
          <w:p w:rsidR="001C6BC0" w:rsidRDefault="00EC0727" w:rsidP="00A32BE2">
            <w:pPr>
              <w:rPr>
                <w:b/>
                <w:bCs/>
              </w:rPr>
            </w:pPr>
            <w:r>
              <w:rPr>
                <w:b/>
                <w:bCs/>
              </w:rPr>
              <w:lastRenderedPageBreak/>
              <w:t xml:space="preserve">Procedure             </w:t>
            </w:r>
          </w:p>
        </w:tc>
        <w:tc>
          <w:tcPr>
            <w:tcW w:w="8712" w:type="dxa"/>
            <w:tcBorders>
              <w:left w:val="nil"/>
              <w:right w:val="nil"/>
            </w:tcBorders>
          </w:tcPr>
          <w:p w:rsidR="00EC0727" w:rsidRPr="00EC0727" w:rsidRDefault="00EC0727" w:rsidP="00EC0727">
            <w:pPr>
              <w:autoSpaceDE w:val="0"/>
              <w:autoSpaceDN w:val="0"/>
              <w:adjustRightInd w:val="0"/>
              <w:rPr>
                <w:b/>
              </w:rPr>
            </w:pPr>
            <w:r w:rsidRPr="00EC0727">
              <w:rPr>
                <w:b/>
              </w:rPr>
              <w:t>IMPORTANT!!</w:t>
            </w:r>
            <w:r>
              <w:t xml:space="preserve"> </w:t>
            </w:r>
            <w:r w:rsidRPr="00EC0727">
              <w:rPr>
                <w:b/>
              </w:rPr>
              <w:t>IMPORTANT!! The instrument uses specific racks for closed and open mode processing. Do not place closed tubes in open mode rack or sampling probe may be damaged.</w:t>
            </w:r>
          </w:p>
          <w:p w:rsidR="00EC0727" w:rsidRDefault="00EC0727" w:rsidP="00EC0727">
            <w:pPr>
              <w:autoSpaceDE w:val="0"/>
              <w:autoSpaceDN w:val="0"/>
              <w:adjustRightInd w:val="0"/>
            </w:pPr>
          </w:p>
          <w:p w:rsidR="00EC0727" w:rsidRPr="00EC0727" w:rsidRDefault="00EC0727" w:rsidP="004A4731">
            <w:pPr>
              <w:pStyle w:val="ListParagraph"/>
              <w:numPr>
                <w:ilvl w:val="0"/>
                <w:numId w:val="4"/>
              </w:numPr>
              <w:autoSpaceDE w:val="0"/>
              <w:autoSpaceDN w:val="0"/>
              <w:adjustRightInd w:val="0"/>
              <w:rPr>
                <w:b/>
              </w:rPr>
            </w:pPr>
            <w:r w:rsidRPr="00EC0727">
              <w:rPr>
                <w:b/>
              </w:rPr>
              <w:t xml:space="preserve">Closed Mode: </w:t>
            </w:r>
          </w:p>
          <w:p w:rsidR="00EC0727" w:rsidRDefault="00EC0727" w:rsidP="004A4731">
            <w:pPr>
              <w:pStyle w:val="ListParagraph"/>
              <w:numPr>
                <w:ilvl w:val="0"/>
                <w:numId w:val="13"/>
              </w:numPr>
              <w:autoSpaceDE w:val="0"/>
              <w:autoSpaceDN w:val="0"/>
              <w:adjustRightInd w:val="0"/>
            </w:pPr>
            <w:r w:rsidRPr="00EC0727">
              <w:t>Place samples in correct Closed Mode Sample Rack (blue color on handle of rack) with barcodes facing out.</w:t>
            </w:r>
          </w:p>
          <w:p w:rsidR="00EC0727" w:rsidRDefault="00EC0727" w:rsidP="004A4731">
            <w:pPr>
              <w:pStyle w:val="ListParagraph"/>
              <w:numPr>
                <w:ilvl w:val="0"/>
                <w:numId w:val="13"/>
              </w:numPr>
              <w:autoSpaceDE w:val="0"/>
              <w:autoSpaceDN w:val="0"/>
              <w:adjustRightInd w:val="0"/>
            </w:pPr>
            <w:r w:rsidRPr="00EC0727">
              <w:t>From toolbar, click on the "Sample Area" tile</w:t>
            </w:r>
            <w:r>
              <w:t>.</w:t>
            </w:r>
          </w:p>
          <w:p w:rsidR="00EC0727" w:rsidRDefault="00EC0727" w:rsidP="004A4731">
            <w:pPr>
              <w:pStyle w:val="ListParagraph"/>
              <w:numPr>
                <w:ilvl w:val="0"/>
                <w:numId w:val="13"/>
              </w:numPr>
              <w:autoSpaceDE w:val="0"/>
              <w:autoSpaceDN w:val="0"/>
              <w:adjustRightInd w:val="0"/>
            </w:pPr>
            <w:r w:rsidRPr="00EC0727">
              <w:t>On instrument's "Track Control Panel" choose an empty or green track position (from S1 to S8). Load rack.</w:t>
            </w:r>
          </w:p>
          <w:p w:rsidR="00EC0727" w:rsidRDefault="00EC0727" w:rsidP="004A4731">
            <w:pPr>
              <w:pStyle w:val="ListParagraph"/>
              <w:numPr>
                <w:ilvl w:val="0"/>
                <w:numId w:val="13"/>
              </w:numPr>
              <w:autoSpaceDE w:val="0"/>
              <w:autoSpaceDN w:val="0"/>
              <w:adjustRightInd w:val="0"/>
            </w:pPr>
            <w:r w:rsidRPr="00EC0727">
              <w:t>If necessary, Add/Remove tests.</w:t>
            </w:r>
          </w:p>
          <w:p w:rsidR="00EC0727" w:rsidRDefault="00EC0727" w:rsidP="004A4731">
            <w:pPr>
              <w:pStyle w:val="ListParagraph"/>
              <w:numPr>
                <w:ilvl w:val="0"/>
                <w:numId w:val="13"/>
              </w:numPr>
              <w:autoSpaceDE w:val="0"/>
              <w:autoSpaceDN w:val="0"/>
              <w:adjustRightInd w:val="0"/>
            </w:pPr>
            <w:r w:rsidRPr="00EC0727">
              <w:t>Click on "Run" tile.</w:t>
            </w:r>
          </w:p>
          <w:p w:rsidR="00C215D9" w:rsidRPr="00EC0727" w:rsidRDefault="00C215D9" w:rsidP="00C215D9">
            <w:pPr>
              <w:pStyle w:val="ListParagraph"/>
              <w:autoSpaceDE w:val="0"/>
              <w:autoSpaceDN w:val="0"/>
              <w:adjustRightInd w:val="0"/>
              <w:ind w:left="1434"/>
            </w:pPr>
          </w:p>
          <w:p w:rsidR="00EC0727" w:rsidRPr="00C215D9" w:rsidRDefault="00EC0727" w:rsidP="004A4731">
            <w:pPr>
              <w:pStyle w:val="ListParagraph"/>
              <w:numPr>
                <w:ilvl w:val="0"/>
                <w:numId w:val="4"/>
              </w:numPr>
              <w:autoSpaceDE w:val="0"/>
              <w:autoSpaceDN w:val="0"/>
              <w:adjustRightInd w:val="0"/>
              <w:rPr>
                <w:b/>
              </w:rPr>
            </w:pPr>
            <w:r w:rsidRPr="00C215D9">
              <w:rPr>
                <w:b/>
              </w:rPr>
              <w:t xml:space="preserve">Open Mode: </w:t>
            </w:r>
          </w:p>
          <w:p w:rsidR="00EC0727" w:rsidRDefault="00EC0727" w:rsidP="004A4731">
            <w:pPr>
              <w:pStyle w:val="ListParagraph"/>
              <w:numPr>
                <w:ilvl w:val="0"/>
                <w:numId w:val="14"/>
              </w:numPr>
              <w:autoSpaceDE w:val="0"/>
              <w:autoSpaceDN w:val="0"/>
              <w:adjustRightInd w:val="0"/>
            </w:pPr>
            <w:r w:rsidRPr="00EC0727">
              <w:t>Choose Open Mode Sample Rack (black color on handle of rack).</w:t>
            </w:r>
          </w:p>
          <w:p w:rsidR="00C215D9" w:rsidRDefault="00EC0727" w:rsidP="004A4731">
            <w:pPr>
              <w:pStyle w:val="ListParagraph"/>
              <w:numPr>
                <w:ilvl w:val="0"/>
                <w:numId w:val="14"/>
              </w:numPr>
              <w:autoSpaceDE w:val="0"/>
              <w:autoSpaceDN w:val="0"/>
              <w:adjustRightInd w:val="0"/>
            </w:pPr>
            <w:r w:rsidRPr="00EC0727">
              <w:t xml:space="preserve">From toolbar, click on the "Sample Area" tile. </w:t>
            </w:r>
          </w:p>
          <w:p w:rsidR="00C215D9" w:rsidRDefault="00EC0727" w:rsidP="004A4731">
            <w:pPr>
              <w:pStyle w:val="ListParagraph"/>
              <w:numPr>
                <w:ilvl w:val="0"/>
                <w:numId w:val="14"/>
              </w:numPr>
              <w:autoSpaceDE w:val="0"/>
              <w:autoSpaceDN w:val="0"/>
              <w:adjustRightInd w:val="0"/>
            </w:pPr>
            <w:r w:rsidRPr="00EC0727">
              <w:t>Click on the "Offline Rack" area.</w:t>
            </w:r>
          </w:p>
          <w:p w:rsidR="00C215D9" w:rsidRDefault="00EC0727" w:rsidP="004A4731">
            <w:pPr>
              <w:pStyle w:val="ListParagraph"/>
              <w:numPr>
                <w:ilvl w:val="0"/>
                <w:numId w:val="14"/>
              </w:numPr>
              <w:autoSpaceDE w:val="0"/>
              <w:autoSpaceDN w:val="0"/>
              <w:adjustRightInd w:val="0"/>
            </w:pPr>
            <w:r w:rsidRPr="00EC0727">
              <w:t>Enter Sample ID under the appropriate area then double-click on white box to the right of the Sample ID box. A "Tests and Profiles" window will open — click on desired tests then place sample in corresponding position of the Sample Rack. Repeat for all</w:t>
            </w:r>
            <w:r w:rsidRPr="00C215D9">
              <w:rPr>
                <w:b/>
              </w:rPr>
              <w:t xml:space="preserve"> </w:t>
            </w:r>
            <w:r w:rsidRPr="00EC0727">
              <w:t>samples.</w:t>
            </w:r>
          </w:p>
          <w:p w:rsidR="00C215D9" w:rsidRDefault="00EC0727" w:rsidP="004A4731">
            <w:pPr>
              <w:pStyle w:val="ListParagraph"/>
              <w:numPr>
                <w:ilvl w:val="0"/>
                <w:numId w:val="14"/>
              </w:numPr>
              <w:autoSpaceDE w:val="0"/>
              <w:autoSpaceDN w:val="0"/>
              <w:adjustRightInd w:val="0"/>
            </w:pPr>
            <w:r w:rsidRPr="00EC0727">
              <w:tab/>
              <w:t>Click on "Insert Rack" tile.</w:t>
            </w:r>
          </w:p>
          <w:p w:rsidR="00C215D9" w:rsidRDefault="00EC0727" w:rsidP="004A4731">
            <w:pPr>
              <w:pStyle w:val="ListParagraph"/>
              <w:numPr>
                <w:ilvl w:val="0"/>
                <w:numId w:val="14"/>
              </w:numPr>
              <w:autoSpaceDE w:val="0"/>
              <w:autoSpaceDN w:val="0"/>
              <w:adjustRightInd w:val="0"/>
            </w:pPr>
            <w:r w:rsidRPr="00EC0727">
              <w:t>On instrument's "Track Control Panel" choose an empty or green track position (from S1 to S8). Load rack.</w:t>
            </w:r>
          </w:p>
          <w:p w:rsidR="00C215D9" w:rsidRDefault="00EC0727" w:rsidP="004A4731">
            <w:pPr>
              <w:pStyle w:val="ListParagraph"/>
              <w:numPr>
                <w:ilvl w:val="0"/>
                <w:numId w:val="14"/>
              </w:numPr>
              <w:autoSpaceDE w:val="0"/>
              <w:autoSpaceDN w:val="0"/>
              <w:adjustRightInd w:val="0"/>
            </w:pPr>
            <w:r w:rsidRPr="00EC0727">
              <w:t>If necessary, Add/Remove tests.</w:t>
            </w:r>
          </w:p>
          <w:p w:rsidR="002C753F" w:rsidRPr="00EC0727" w:rsidRDefault="00EC0727" w:rsidP="004A4731">
            <w:pPr>
              <w:pStyle w:val="ListParagraph"/>
              <w:numPr>
                <w:ilvl w:val="0"/>
                <w:numId w:val="14"/>
              </w:numPr>
              <w:autoSpaceDE w:val="0"/>
              <w:autoSpaceDN w:val="0"/>
              <w:adjustRightInd w:val="0"/>
            </w:pPr>
            <w:r w:rsidRPr="00EC0727">
              <w:lastRenderedPageBreak/>
              <w:t>Click on "Run" tile</w:t>
            </w:r>
            <w:r w:rsidRPr="00C215D9">
              <w:rPr>
                <w:b/>
              </w:rPr>
              <w:t>.</w:t>
            </w:r>
          </w:p>
          <w:p w:rsidR="002C753F" w:rsidRDefault="002C753F" w:rsidP="000C4491">
            <w:pPr>
              <w:autoSpaceDE w:val="0"/>
              <w:autoSpaceDN w:val="0"/>
              <w:adjustRightInd w:val="0"/>
            </w:pPr>
          </w:p>
        </w:tc>
      </w:tr>
      <w:tr w:rsidR="005E7EE4" w:rsidTr="00F11107">
        <w:trPr>
          <w:trHeight w:val="554"/>
        </w:trPr>
        <w:tc>
          <w:tcPr>
            <w:tcW w:w="2254" w:type="dxa"/>
            <w:tcBorders>
              <w:top w:val="nil"/>
              <w:left w:val="nil"/>
              <w:right w:val="nil"/>
            </w:tcBorders>
          </w:tcPr>
          <w:p w:rsidR="00ED27C8" w:rsidRPr="004D3943" w:rsidRDefault="007A0BA0" w:rsidP="00A32BE2">
            <w:pPr>
              <w:rPr>
                <w:b/>
                <w:bCs/>
              </w:rPr>
            </w:pPr>
            <w:r>
              <w:rPr>
                <w:b/>
                <w:bCs/>
              </w:rPr>
              <w:lastRenderedPageBreak/>
              <w:t xml:space="preserve">Reference/Analyzer range   </w:t>
            </w:r>
          </w:p>
        </w:tc>
        <w:tc>
          <w:tcPr>
            <w:tcW w:w="8712" w:type="dxa"/>
            <w:tcBorders>
              <w:left w:val="nil"/>
              <w:right w:val="nil"/>
            </w:tcBorders>
          </w:tcPr>
          <w:p w:rsidR="007A0BA0" w:rsidRDefault="007A0BA0" w:rsidP="004A4731">
            <w:pPr>
              <w:pStyle w:val="ListParagraph"/>
              <w:numPr>
                <w:ilvl w:val="0"/>
                <w:numId w:val="4"/>
              </w:numPr>
              <w:autoSpaceDE w:val="0"/>
              <w:autoSpaceDN w:val="0"/>
              <w:adjustRightInd w:val="0"/>
              <w:rPr>
                <w:b/>
              </w:rPr>
            </w:pPr>
            <w:r w:rsidRPr="007A0BA0">
              <w:rPr>
                <w:b/>
              </w:rPr>
              <w:t>Reference range</w:t>
            </w:r>
          </w:p>
          <w:p w:rsidR="002A7F80" w:rsidRPr="007A0BA0" w:rsidRDefault="002A7F80" w:rsidP="002A7F80">
            <w:pPr>
              <w:pStyle w:val="ListParagraph"/>
              <w:autoSpaceDE w:val="0"/>
              <w:autoSpaceDN w:val="0"/>
              <w:adjustRightInd w:val="0"/>
              <w:rPr>
                <w:b/>
              </w:rPr>
            </w:pPr>
          </w:p>
          <w:p w:rsidR="00333952" w:rsidRDefault="007A0BA0" w:rsidP="007A0BA0">
            <w:pPr>
              <w:autoSpaceDE w:val="0"/>
              <w:autoSpaceDN w:val="0"/>
              <w:adjustRightInd w:val="0"/>
            </w:pPr>
            <w:r>
              <w:t xml:space="preserve">     </w:t>
            </w:r>
            <w:r w:rsidR="002A7F80">
              <w:t xml:space="preserve">       P</w:t>
            </w:r>
            <w:r>
              <w:t>rothrombin time</w:t>
            </w:r>
            <w:r w:rsidR="002A7F80">
              <w:t>:</w:t>
            </w:r>
            <w:r w:rsidR="00994FD2">
              <w:t xml:space="preserve"> 9.5 – 12.6</w:t>
            </w:r>
            <w:r>
              <w:t xml:space="preserve"> seconds</w:t>
            </w:r>
          </w:p>
          <w:p w:rsidR="007A0BA0" w:rsidRDefault="007A0BA0" w:rsidP="007A0BA0">
            <w:pPr>
              <w:autoSpaceDE w:val="0"/>
              <w:autoSpaceDN w:val="0"/>
              <w:adjustRightInd w:val="0"/>
            </w:pPr>
          </w:p>
          <w:p w:rsidR="007A0BA0" w:rsidRDefault="007A0BA0" w:rsidP="004A4731">
            <w:pPr>
              <w:pStyle w:val="ListParagraph"/>
              <w:numPr>
                <w:ilvl w:val="0"/>
                <w:numId w:val="4"/>
              </w:numPr>
              <w:autoSpaceDE w:val="0"/>
              <w:autoSpaceDN w:val="0"/>
              <w:adjustRightInd w:val="0"/>
              <w:rPr>
                <w:b/>
              </w:rPr>
            </w:pPr>
            <w:r w:rsidRPr="007A0BA0">
              <w:rPr>
                <w:b/>
              </w:rPr>
              <w:t>Analyzer range</w:t>
            </w:r>
          </w:p>
          <w:p w:rsidR="002A7F80" w:rsidRDefault="002A7F80" w:rsidP="002A7F80">
            <w:pPr>
              <w:pStyle w:val="ListParagraph"/>
              <w:autoSpaceDE w:val="0"/>
              <w:autoSpaceDN w:val="0"/>
              <w:adjustRightInd w:val="0"/>
              <w:rPr>
                <w:b/>
              </w:rPr>
            </w:pPr>
          </w:p>
          <w:p w:rsidR="007A0BA0" w:rsidRPr="007A0BA0" w:rsidRDefault="007A0BA0" w:rsidP="007A0BA0">
            <w:pPr>
              <w:pStyle w:val="ListParagraph"/>
              <w:autoSpaceDE w:val="0"/>
              <w:autoSpaceDN w:val="0"/>
              <w:adjustRightInd w:val="0"/>
            </w:pPr>
            <w:r w:rsidRPr="007A0BA0">
              <w:t>7</w:t>
            </w:r>
            <w:r w:rsidR="002A7F80">
              <w:t xml:space="preserve"> </w:t>
            </w:r>
            <w:r w:rsidRPr="007A0BA0">
              <w:t>-</w:t>
            </w:r>
            <w:r w:rsidR="002A7F80">
              <w:t xml:space="preserve"> </w:t>
            </w:r>
            <w:r w:rsidRPr="007A0BA0">
              <w:t>320 seconds</w:t>
            </w:r>
          </w:p>
        </w:tc>
      </w:tr>
      <w:tr w:rsidR="0006587C" w:rsidTr="00F11107">
        <w:trPr>
          <w:trHeight w:val="1090"/>
        </w:trPr>
        <w:tc>
          <w:tcPr>
            <w:tcW w:w="2254" w:type="dxa"/>
            <w:tcBorders>
              <w:top w:val="nil"/>
              <w:left w:val="nil"/>
              <w:right w:val="nil"/>
            </w:tcBorders>
          </w:tcPr>
          <w:p w:rsidR="00ED27C8" w:rsidRPr="00743EA0" w:rsidRDefault="006C1E2F" w:rsidP="00A32BE2">
            <w:pPr>
              <w:rPr>
                <w:b/>
                <w:bCs/>
              </w:rPr>
            </w:pPr>
            <w:r>
              <w:rPr>
                <w:b/>
                <w:bCs/>
              </w:rPr>
              <w:t xml:space="preserve">Report Reporting/ </w:t>
            </w:r>
            <w:r w:rsidR="007A0BA0">
              <w:rPr>
                <w:b/>
                <w:bCs/>
              </w:rPr>
              <w:t xml:space="preserve">Critical Result              </w:t>
            </w:r>
          </w:p>
        </w:tc>
        <w:tc>
          <w:tcPr>
            <w:tcW w:w="8712" w:type="dxa"/>
            <w:tcBorders>
              <w:left w:val="nil"/>
              <w:right w:val="nil"/>
            </w:tcBorders>
          </w:tcPr>
          <w:p w:rsidR="006C1E2F" w:rsidRPr="006C1E2F" w:rsidRDefault="006C1E2F" w:rsidP="006C1E2F">
            <w:pPr>
              <w:autoSpaceDE w:val="0"/>
              <w:autoSpaceDN w:val="0"/>
              <w:adjustRightInd w:val="0"/>
              <w:rPr>
                <w:b/>
              </w:rPr>
            </w:pPr>
            <w:bookmarkStart w:id="0" w:name="_GoBack"/>
            <w:r w:rsidRPr="006C1E2F">
              <w:rPr>
                <w:b/>
              </w:rPr>
              <w:t>Result Reporting</w:t>
            </w:r>
          </w:p>
          <w:p w:rsidR="006C1E2F" w:rsidRDefault="00F30FB6" w:rsidP="006C1E2F">
            <w:pPr>
              <w:pStyle w:val="ListParagraph"/>
              <w:numPr>
                <w:ilvl w:val="0"/>
                <w:numId w:val="28"/>
              </w:numPr>
              <w:autoSpaceDE w:val="0"/>
              <w:autoSpaceDN w:val="0"/>
              <w:adjustRightInd w:val="0"/>
            </w:pPr>
            <w:r>
              <w:t xml:space="preserve">Results </w:t>
            </w:r>
            <w:r w:rsidR="006C1E2F">
              <w:t>are interfaced directly to the US (Vista):</w:t>
            </w:r>
          </w:p>
          <w:p w:rsidR="006C1E2F" w:rsidRDefault="006C1E2F" w:rsidP="006C1E2F">
            <w:pPr>
              <w:pStyle w:val="ListParagraph"/>
              <w:numPr>
                <w:ilvl w:val="0"/>
                <w:numId w:val="28"/>
              </w:numPr>
              <w:autoSpaceDE w:val="0"/>
              <w:autoSpaceDN w:val="0"/>
              <w:adjustRightInd w:val="0"/>
            </w:pPr>
            <w:r>
              <w:t>Access the automated result entry routine in Vista (EA — enter/verify data, auto instrument).</w:t>
            </w:r>
          </w:p>
          <w:p w:rsidR="006C1E2F" w:rsidRDefault="006C1E2F" w:rsidP="006C1E2F">
            <w:pPr>
              <w:pStyle w:val="ListParagraph"/>
              <w:numPr>
                <w:ilvl w:val="0"/>
                <w:numId w:val="28"/>
              </w:numPr>
              <w:autoSpaceDE w:val="0"/>
              <w:autoSpaceDN w:val="0"/>
              <w:adjustRightInd w:val="0"/>
            </w:pPr>
            <w:r>
              <w:t>Choose the BCOAGULATION worklist (BCO).</w:t>
            </w:r>
          </w:p>
          <w:p w:rsidR="006C1E2F" w:rsidRDefault="006C1E2F" w:rsidP="006C1E2F">
            <w:pPr>
              <w:pStyle w:val="ListParagraph"/>
              <w:numPr>
                <w:ilvl w:val="0"/>
                <w:numId w:val="28"/>
              </w:numPr>
              <w:autoSpaceDE w:val="0"/>
              <w:autoSpaceDN w:val="0"/>
              <w:adjustRightInd w:val="0"/>
            </w:pPr>
            <w:r>
              <w:t>Enter the accession # for the sample you wish to verify.</w:t>
            </w:r>
          </w:p>
          <w:p w:rsidR="006C1E2F" w:rsidRPr="006C1E2F" w:rsidRDefault="006C1E2F" w:rsidP="006C1E2F">
            <w:pPr>
              <w:pStyle w:val="ListParagraph"/>
              <w:numPr>
                <w:ilvl w:val="0"/>
                <w:numId w:val="28"/>
              </w:numPr>
              <w:autoSpaceDE w:val="0"/>
              <w:autoSpaceDN w:val="0"/>
              <w:adjustRightInd w:val="0"/>
              <w:rPr>
                <w:b/>
              </w:rPr>
            </w:pPr>
            <w:r w:rsidRPr="006C1E2F">
              <w:rPr>
                <w:b/>
              </w:rPr>
              <w:t>Note: certain analyzer flags will prevent results from crossing the interface. Investigate all results that do not cross the interface, as they may be in need of further action.</w:t>
            </w:r>
          </w:p>
          <w:bookmarkEnd w:id="0"/>
          <w:p w:rsidR="006C1E2F" w:rsidRDefault="006C1E2F" w:rsidP="006C1E2F">
            <w:pPr>
              <w:autoSpaceDE w:val="0"/>
              <w:autoSpaceDN w:val="0"/>
              <w:adjustRightInd w:val="0"/>
              <w:rPr>
                <w:b/>
              </w:rPr>
            </w:pPr>
          </w:p>
          <w:p w:rsidR="006C1E2F" w:rsidRPr="006C1E2F" w:rsidRDefault="006C1E2F" w:rsidP="006C1E2F">
            <w:pPr>
              <w:autoSpaceDE w:val="0"/>
              <w:autoSpaceDN w:val="0"/>
              <w:adjustRightInd w:val="0"/>
              <w:rPr>
                <w:b/>
              </w:rPr>
            </w:pPr>
            <w:r w:rsidRPr="006C1E2F">
              <w:rPr>
                <w:b/>
              </w:rPr>
              <w:t>Critical Result</w:t>
            </w:r>
          </w:p>
          <w:p w:rsidR="007A0BA0" w:rsidRDefault="007A0BA0" w:rsidP="004A4731">
            <w:pPr>
              <w:pStyle w:val="ListParagraph"/>
              <w:numPr>
                <w:ilvl w:val="0"/>
                <w:numId w:val="4"/>
              </w:numPr>
              <w:autoSpaceDE w:val="0"/>
              <w:autoSpaceDN w:val="0"/>
              <w:adjustRightInd w:val="0"/>
            </w:pPr>
            <w:r>
              <w:t xml:space="preserve">"Critical" INR </w:t>
            </w:r>
            <w:r w:rsidR="002A7F80">
              <w:t>:</w:t>
            </w:r>
            <w:r>
              <w:t xml:space="preserve"> </w:t>
            </w:r>
            <w:r w:rsidR="0095464D" w:rsidRPr="0095464D">
              <w:t>= &gt;</w:t>
            </w:r>
            <w:r>
              <w:t xml:space="preserve"> 4.0</w:t>
            </w:r>
          </w:p>
          <w:p w:rsidR="007A0BA0" w:rsidRDefault="007A0BA0" w:rsidP="007A0BA0">
            <w:pPr>
              <w:pStyle w:val="ListParagraph"/>
              <w:autoSpaceDE w:val="0"/>
              <w:autoSpaceDN w:val="0"/>
              <w:adjustRightInd w:val="0"/>
            </w:pPr>
          </w:p>
          <w:p w:rsidR="007A0BA0" w:rsidRDefault="007A0BA0" w:rsidP="004A4731">
            <w:pPr>
              <w:pStyle w:val="ListParagraph"/>
              <w:numPr>
                <w:ilvl w:val="0"/>
                <w:numId w:val="4"/>
              </w:numPr>
              <w:autoSpaceDE w:val="0"/>
              <w:autoSpaceDN w:val="0"/>
              <w:adjustRightInd w:val="0"/>
            </w:pPr>
            <w:r>
              <w:t xml:space="preserve">Any INR result &gt; 4.0 must be called to the provider or designee. Once the provider has been notified, the comments PV ("alert value. Called </w:t>
            </w:r>
            <w:proofErr w:type="gramStart"/>
            <w:r>
              <w:t>to  "</w:t>
            </w:r>
            <w:proofErr w:type="gramEnd"/>
            <w:r>
              <w:t xml:space="preserve">) and PV1 ("Results read back") must be attached to the patient's result in </w:t>
            </w:r>
            <w:proofErr w:type="spellStart"/>
            <w:r>
              <w:t>VistA</w:t>
            </w:r>
            <w:proofErr w:type="spellEnd"/>
            <w:r>
              <w:t>.</w:t>
            </w:r>
          </w:p>
          <w:p w:rsidR="006C1E2F" w:rsidRDefault="006C1E2F" w:rsidP="006C1E2F">
            <w:pPr>
              <w:pStyle w:val="ListParagraph"/>
              <w:autoSpaceDE w:val="0"/>
              <w:autoSpaceDN w:val="0"/>
              <w:adjustRightInd w:val="0"/>
            </w:pPr>
          </w:p>
        </w:tc>
      </w:tr>
      <w:tr w:rsidR="00AD7D60" w:rsidTr="00F11107">
        <w:trPr>
          <w:trHeight w:val="554"/>
        </w:trPr>
        <w:tc>
          <w:tcPr>
            <w:tcW w:w="2254" w:type="dxa"/>
            <w:tcBorders>
              <w:top w:val="single" w:sz="4" w:space="0" w:color="auto"/>
              <w:left w:val="nil"/>
              <w:right w:val="nil"/>
            </w:tcBorders>
          </w:tcPr>
          <w:p w:rsidR="00AD7D60" w:rsidRPr="00743EA0" w:rsidRDefault="00303E78" w:rsidP="00C64240">
            <w:pPr>
              <w:rPr>
                <w:b/>
                <w:bCs/>
              </w:rPr>
            </w:pPr>
            <w:r>
              <w:rPr>
                <w:b/>
                <w:bCs/>
              </w:rPr>
              <w:t xml:space="preserve">Interpretation            </w:t>
            </w:r>
          </w:p>
        </w:tc>
        <w:tc>
          <w:tcPr>
            <w:tcW w:w="8712" w:type="dxa"/>
            <w:tcBorders>
              <w:top w:val="single" w:sz="4" w:space="0" w:color="auto"/>
              <w:left w:val="nil"/>
              <w:right w:val="nil"/>
            </w:tcBorders>
          </w:tcPr>
          <w:p w:rsidR="00303E78" w:rsidRDefault="00303E78" w:rsidP="004A4731">
            <w:pPr>
              <w:pStyle w:val="ListParagraph"/>
              <w:numPr>
                <w:ilvl w:val="0"/>
                <w:numId w:val="15"/>
              </w:numPr>
              <w:autoSpaceDE w:val="0"/>
              <w:autoSpaceDN w:val="0"/>
              <w:adjustRightInd w:val="0"/>
            </w:pPr>
            <w:r>
              <w:t xml:space="preserve">The test measures Factors I (fibrinogen), II (prothrombin), V (labile factor), VII and X. All are made in the liver. Factors II, VII and X are dependent upon Vitamin K for their production. Therefore, the prothrombin time is prolonged in liver disease or Vitamin K deficiency, biliary obstruction and malabsorption syndromes. It is also prolonged in </w:t>
            </w:r>
            <w:proofErr w:type="spellStart"/>
            <w:r>
              <w:t>defibrination</w:t>
            </w:r>
            <w:proofErr w:type="spellEnd"/>
            <w:r>
              <w:t xml:space="preserve"> syndromes or congenital defects of any of the coagulation factors mentioned above. Circulatory anticoagulants against these factors also prolong the test.</w:t>
            </w:r>
          </w:p>
          <w:p w:rsidR="00C30B4B" w:rsidRDefault="00C30B4B" w:rsidP="00C30B4B">
            <w:pPr>
              <w:pStyle w:val="ListParagraph"/>
              <w:autoSpaceDE w:val="0"/>
              <w:autoSpaceDN w:val="0"/>
              <w:adjustRightInd w:val="0"/>
            </w:pPr>
          </w:p>
          <w:p w:rsidR="00DC3CD8" w:rsidRDefault="00303E78" w:rsidP="004A4731">
            <w:pPr>
              <w:pStyle w:val="ListParagraph"/>
              <w:numPr>
                <w:ilvl w:val="0"/>
                <w:numId w:val="15"/>
              </w:numPr>
              <w:autoSpaceDE w:val="0"/>
              <w:autoSpaceDN w:val="0"/>
              <w:adjustRightInd w:val="0"/>
            </w:pPr>
            <w:r>
              <w:t>If the patient has received a bolus of intravenous heparin within the last four hours, the prothrombin time may be elevated due to heparin levels, but ever so little, unless the patient has a pre-existing prothrombin elevation.</w:t>
            </w:r>
          </w:p>
        </w:tc>
      </w:tr>
      <w:tr w:rsidR="00AD7D60" w:rsidTr="00F11107">
        <w:trPr>
          <w:trHeight w:val="554"/>
        </w:trPr>
        <w:tc>
          <w:tcPr>
            <w:tcW w:w="2254" w:type="dxa"/>
            <w:tcBorders>
              <w:top w:val="nil"/>
              <w:left w:val="nil"/>
              <w:right w:val="nil"/>
            </w:tcBorders>
          </w:tcPr>
          <w:p w:rsidR="00AD7D60" w:rsidRDefault="002A0860">
            <w:pPr>
              <w:rPr>
                <w:b/>
                <w:bCs/>
              </w:rPr>
            </w:pPr>
            <w:r>
              <w:rPr>
                <w:b/>
                <w:bCs/>
              </w:rPr>
              <w:t>Troubleshooting</w:t>
            </w:r>
          </w:p>
        </w:tc>
        <w:tc>
          <w:tcPr>
            <w:tcW w:w="8712" w:type="dxa"/>
            <w:tcBorders>
              <w:left w:val="nil"/>
              <w:right w:val="nil"/>
            </w:tcBorders>
          </w:tcPr>
          <w:p w:rsidR="002A7F80" w:rsidRPr="002A7F80" w:rsidRDefault="002A7F80" w:rsidP="002A7F80">
            <w:pPr>
              <w:rPr>
                <w:b/>
              </w:rPr>
            </w:pPr>
            <w:r w:rsidRPr="002A7F80">
              <w:rPr>
                <w:b/>
              </w:rPr>
              <w:t xml:space="preserve">Handling </w:t>
            </w:r>
            <w:proofErr w:type="spellStart"/>
            <w:r w:rsidRPr="002A7F80">
              <w:rPr>
                <w:b/>
              </w:rPr>
              <w:t>Lipemic</w:t>
            </w:r>
            <w:proofErr w:type="spellEnd"/>
            <w:r w:rsidRPr="002A7F80">
              <w:rPr>
                <w:b/>
              </w:rPr>
              <w:t xml:space="preserve">/Grossly </w:t>
            </w:r>
            <w:proofErr w:type="spellStart"/>
            <w:r w:rsidRPr="002A7F80">
              <w:rPr>
                <w:b/>
              </w:rPr>
              <w:t>Lipemic</w:t>
            </w:r>
            <w:proofErr w:type="spellEnd"/>
            <w:r w:rsidRPr="002A7F80">
              <w:rPr>
                <w:b/>
              </w:rPr>
              <w:t xml:space="preserve"> Plasma</w:t>
            </w:r>
          </w:p>
          <w:p w:rsidR="002A7F80" w:rsidRDefault="002A7F80" w:rsidP="004A4731">
            <w:pPr>
              <w:pStyle w:val="ListParagraph"/>
              <w:numPr>
                <w:ilvl w:val="0"/>
                <w:numId w:val="20"/>
              </w:numPr>
            </w:pPr>
            <w:r>
              <w:t xml:space="preserve">The Beckman </w:t>
            </w:r>
            <w:proofErr w:type="spellStart"/>
            <w:r>
              <w:t>Airfuge</w:t>
            </w:r>
            <w:proofErr w:type="spellEnd"/>
            <w:r>
              <w:t xml:space="preserve">® ultracentrifuge is located near the </w:t>
            </w:r>
            <w:r w:rsidR="00994FD2">
              <w:t>Microbiology hood</w:t>
            </w:r>
            <w:r>
              <w:t>.</w:t>
            </w:r>
          </w:p>
          <w:p w:rsidR="002A7F80" w:rsidRDefault="002A7F80" w:rsidP="004A4731">
            <w:pPr>
              <w:pStyle w:val="ListParagraph"/>
              <w:numPr>
                <w:ilvl w:val="0"/>
                <w:numId w:val="20"/>
              </w:numPr>
            </w:pPr>
            <w:r>
              <w:t>Fit an empty 2.4 ml plastic liner inside the metal rotor.</w:t>
            </w:r>
          </w:p>
          <w:p w:rsidR="002A7F80" w:rsidRDefault="002A7F80" w:rsidP="004A4731">
            <w:pPr>
              <w:pStyle w:val="ListParagraph"/>
              <w:numPr>
                <w:ilvl w:val="0"/>
                <w:numId w:val="20"/>
              </w:numPr>
            </w:pPr>
            <w:r>
              <w:t xml:space="preserve">Draw </w:t>
            </w:r>
            <w:proofErr w:type="spellStart"/>
            <w:r>
              <w:t>lipemic</w:t>
            </w:r>
            <w:proofErr w:type="spellEnd"/>
            <w:r>
              <w:t xml:space="preserve"> plasma into a plastic Beckman transfer pipette (part # 343779). Insert the tip of the loaded pipette through the hole on top of the liner and into the outer chamber of the liner.</w:t>
            </w:r>
          </w:p>
          <w:p w:rsidR="002A7F80" w:rsidRDefault="002A7F80" w:rsidP="004A4731">
            <w:pPr>
              <w:pStyle w:val="ListParagraph"/>
              <w:numPr>
                <w:ilvl w:val="0"/>
                <w:numId w:val="20"/>
              </w:numPr>
            </w:pPr>
            <w:r>
              <w:t>Fill the outer chamber until the plasma just overflows into the inner chamber.</w:t>
            </w:r>
          </w:p>
          <w:p w:rsidR="002A7F80" w:rsidRDefault="002A7F80" w:rsidP="004A4731">
            <w:pPr>
              <w:pStyle w:val="ListParagraph"/>
              <w:numPr>
                <w:ilvl w:val="0"/>
                <w:numId w:val="20"/>
              </w:numPr>
            </w:pPr>
            <w:r>
              <w:t>Screw the metal rotor lid on tightly.</w:t>
            </w:r>
          </w:p>
          <w:p w:rsidR="002A7F80" w:rsidRDefault="002A7F80" w:rsidP="004A4731">
            <w:pPr>
              <w:pStyle w:val="ListParagraph"/>
              <w:numPr>
                <w:ilvl w:val="0"/>
                <w:numId w:val="20"/>
              </w:numPr>
            </w:pPr>
            <w:r>
              <w:t>Fill the inner chamber until the plasma just touches the inside of the top of the dome.</w:t>
            </w:r>
          </w:p>
          <w:p w:rsidR="002A7F80" w:rsidRDefault="002A7F80" w:rsidP="004A4731">
            <w:pPr>
              <w:pStyle w:val="ListParagraph"/>
              <w:numPr>
                <w:ilvl w:val="0"/>
                <w:numId w:val="20"/>
              </w:numPr>
            </w:pPr>
            <w:r>
              <w:lastRenderedPageBreak/>
              <w:t>Place the fully assembled rotor on the stator pad, then close the instrument door.</w:t>
            </w:r>
          </w:p>
          <w:p w:rsidR="002A7F80" w:rsidRDefault="002A7F80" w:rsidP="004A4731">
            <w:pPr>
              <w:pStyle w:val="ListParagraph"/>
              <w:numPr>
                <w:ilvl w:val="0"/>
                <w:numId w:val="20"/>
              </w:numPr>
            </w:pPr>
            <w:r>
              <w:t>Set the TIME dial by turning past the 30 minute point, then back to the desired time of 10 minutes.</w:t>
            </w:r>
          </w:p>
          <w:p w:rsidR="002A7F80" w:rsidRDefault="002A7F80" w:rsidP="004A4731">
            <w:pPr>
              <w:pStyle w:val="ListParagraph"/>
              <w:numPr>
                <w:ilvl w:val="0"/>
                <w:numId w:val="20"/>
              </w:numPr>
            </w:pPr>
            <w:r>
              <w:t xml:space="preserve">Secure the instrument door by turning the pressure regulator knob (located on top of the instrument door) clockwise, pushing down until the air pressure indicated on the PRESSURE gauge brings the rotor up to 90 </w:t>
            </w:r>
            <w:proofErr w:type="spellStart"/>
            <w:r>
              <w:t>kPa</w:t>
            </w:r>
            <w:proofErr w:type="spellEnd"/>
            <w:r>
              <w:t>.</w:t>
            </w:r>
          </w:p>
          <w:p w:rsidR="002A7F80" w:rsidRDefault="002A7F80" w:rsidP="004A4731">
            <w:pPr>
              <w:pStyle w:val="ListParagraph"/>
              <w:numPr>
                <w:ilvl w:val="0"/>
                <w:numId w:val="20"/>
              </w:numPr>
            </w:pPr>
            <w:r>
              <w:t>After the rotor has stopped, turn the pressure regulator knob counterclockwise until the PRESSURE gauge reading is zero.</w:t>
            </w:r>
          </w:p>
          <w:p w:rsidR="002A7F80" w:rsidRDefault="002A7F80" w:rsidP="004A4731">
            <w:pPr>
              <w:pStyle w:val="ListParagraph"/>
              <w:numPr>
                <w:ilvl w:val="0"/>
                <w:numId w:val="20"/>
              </w:numPr>
            </w:pPr>
            <w:r>
              <w:t xml:space="preserve">Pipette the </w:t>
            </w:r>
            <w:proofErr w:type="spellStart"/>
            <w:r>
              <w:t>chylous</w:t>
            </w:r>
            <w:proofErr w:type="spellEnd"/>
            <w:r>
              <w:t xml:space="preserve"> material from the inner chamber while the rotor lid is in place, </w:t>
            </w:r>
            <w:proofErr w:type="gramStart"/>
            <w:r>
              <w:t>then</w:t>
            </w:r>
            <w:proofErr w:type="gramEnd"/>
            <w:r>
              <w:t xml:space="preserve"> unscrew the rotor lid.</w:t>
            </w:r>
          </w:p>
          <w:p w:rsidR="002A7F80" w:rsidRDefault="002A7F80" w:rsidP="004A4731">
            <w:pPr>
              <w:pStyle w:val="ListParagraph"/>
              <w:numPr>
                <w:ilvl w:val="0"/>
                <w:numId w:val="20"/>
              </w:numPr>
            </w:pPr>
            <w:r>
              <w:t>Using a new pipette, extract the clarified plasma from the outer chamber and into 0.5 ml sample cup.</w:t>
            </w:r>
          </w:p>
          <w:p w:rsidR="002A7F80" w:rsidRDefault="002A7F80" w:rsidP="004A4731">
            <w:pPr>
              <w:pStyle w:val="ListParagraph"/>
              <w:numPr>
                <w:ilvl w:val="0"/>
                <w:numId w:val="20"/>
              </w:numPr>
            </w:pPr>
            <w:r>
              <w:t>BE CAREFUL NOT TO MIX ANY FATTY MATERIAL LEFT ON THE WALL OF THE INNER CHAMBER WITH THE CLARIFIED PLASMA.</w:t>
            </w:r>
          </w:p>
          <w:p w:rsidR="001E37F5" w:rsidRDefault="002A7F80" w:rsidP="004A4731">
            <w:pPr>
              <w:pStyle w:val="ListParagraph"/>
              <w:numPr>
                <w:ilvl w:val="0"/>
                <w:numId w:val="20"/>
              </w:numPr>
            </w:pPr>
            <w:r>
              <w:t>Place 0.5 ml sample cup in sample rack and continue from Step 4 of "Procedure" section above.</w:t>
            </w:r>
          </w:p>
          <w:p w:rsidR="008361BB" w:rsidRDefault="008361BB" w:rsidP="004A4731">
            <w:pPr>
              <w:pStyle w:val="ListParagraph"/>
              <w:numPr>
                <w:ilvl w:val="0"/>
                <w:numId w:val="20"/>
              </w:numPr>
            </w:pPr>
            <w:r>
              <w:t xml:space="preserve">Note: </w:t>
            </w:r>
            <w:r w:rsidRPr="008361BB">
              <w:t>RecombiPlasTin 2G results on the ACL TOP® Family are not affected by</w:t>
            </w:r>
          </w:p>
          <w:p w:rsidR="008361BB" w:rsidRDefault="008361BB" w:rsidP="008361BB"/>
          <w:tbl>
            <w:tblPr>
              <w:tblStyle w:val="TableGrid"/>
              <w:tblW w:w="0" w:type="auto"/>
              <w:tblInd w:w="1983" w:type="dxa"/>
              <w:tblLook w:val="04A0" w:firstRow="1" w:lastRow="0" w:firstColumn="1" w:lastColumn="0" w:noHBand="0" w:noVBand="1"/>
            </w:tblPr>
            <w:tblGrid>
              <w:gridCol w:w="2256"/>
              <w:gridCol w:w="2257"/>
            </w:tblGrid>
            <w:tr w:rsidR="008361BB" w:rsidTr="00F11107">
              <w:trPr>
                <w:trHeight w:val="277"/>
              </w:trPr>
              <w:tc>
                <w:tcPr>
                  <w:tcW w:w="2256" w:type="dxa"/>
                </w:tcPr>
                <w:p w:rsidR="008361BB" w:rsidRDefault="008361BB" w:rsidP="00A45C5C">
                  <w:pPr>
                    <w:jc w:val="center"/>
                    <w:rPr>
                      <w:rFonts w:cs="Tahoma"/>
                      <w:snapToGrid w:val="0"/>
                    </w:rPr>
                  </w:pPr>
                </w:p>
              </w:tc>
              <w:tc>
                <w:tcPr>
                  <w:tcW w:w="2257" w:type="dxa"/>
                </w:tcPr>
                <w:p w:rsidR="008361BB" w:rsidRPr="008C5700" w:rsidRDefault="008361BB" w:rsidP="00A45C5C">
                  <w:pPr>
                    <w:jc w:val="center"/>
                    <w:rPr>
                      <w:rFonts w:cs="Tahoma"/>
                      <w:b/>
                      <w:snapToGrid w:val="0"/>
                    </w:rPr>
                  </w:pPr>
                  <w:r w:rsidRPr="008C5700">
                    <w:rPr>
                      <w:rFonts w:cs="Tahoma"/>
                      <w:b/>
                      <w:snapToGrid w:val="0"/>
                    </w:rPr>
                    <w:t>PT</w:t>
                  </w:r>
                </w:p>
              </w:tc>
            </w:tr>
            <w:tr w:rsidR="008361BB" w:rsidTr="00F11107">
              <w:trPr>
                <w:trHeight w:val="277"/>
              </w:trPr>
              <w:tc>
                <w:tcPr>
                  <w:tcW w:w="2256" w:type="dxa"/>
                </w:tcPr>
                <w:p w:rsidR="008361BB" w:rsidRPr="002E7FE7" w:rsidRDefault="008361BB" w:rsidP="00A45C5C">
                  <w:pPr>
                    <w:jc w:val="center"/>
                    <w:rPr>
                      <w:rFonts w:cs="Tahoma"/>
                      <w:snapToGrid w:val="0"/>
                    </w:rPr>
                  </w:pPr>
                  <w:r w:rsidRPr="002E7FE7">
                    <w:rPr>
                      <w:rFonts w:cs="Tahoma"/>
                      <w:snapToGrid w:val="0"/>
                    </w:rPr>
                    <w:t>Heparin, up to:</w:t>
                  </w:r>
                </w:p>
              </w:tc>
              <w:tc>
                <w:tcPr>
                  <w:tcW w:w="2257" w:type="dxa"/>
                </w:tcPr>
                <w:p w:rsidR="008361BB" w:rsidRDefault="008361BB" w:rsidP="00A45C5C">
                  <w:pPr>
                    <w:jc w:val="center"/>
                    <w:rPr>
                      <w:rFonts w:cs="Tahoma"/>
                      <w:snapToGrid w:val="0"/>
                    </w:rPr>
                  </w:pPr>
                  <w:r>
                    <w:rPr>
                      <w:rFonts w:cs="Tahoma"/>
                      <w:snapToGrid w:val="0"/>
                    </w:rPr>
                    <w:t>1.0 U/mL</w:t>
                  </w:r>
                </w:p>
              </w:tc>
            </w:tr>
            <w:tr w:rsidR="008361BB" w:rsidTr="00F11107">
              <w:trPr>
                <w:trHeight w:val="277"/>
              </w:trPr>
              <w:tc>
                <w:tcPr>
                  <w:tcW w:w="2256" w:type="dxa"/>
                </w:tcPr>
                <w:p w:rsidR="008361BB" w:rsidRPr="002E7FE7" w:rsidRDefault="008361BB" w:rsidP="00A45C5C">
                  <w:pPr>
                    <w:jc w:val="center"/>
                    <w:rPr>
                      <w:rFonts w:cs="Tahoma"/>
                      <w:snapToGrid w:val="0"/>
                    </w:rPr>
                  </w:pPr>
                  <w:r w:rsidRPr="002E7FE7">
                    <w:rPr>
                      <w:rFonts w:cs="Tahoma"/>
                      <w:snapToGrid w:val="0"/>
                    </w:rPr>
                    <w:t>Hemoglobin, up to:</w:t>
                  </w:r>
                </w:p>
              </w:tc>
              <w:tc>
                <w:tcPr>
                  <w:tcW w:w="2257" w:type="dxa"/>
                </w:tcPr>
                <w:p w:rsidR="008361BB" w:rsidRDefault="008361BB" w:rsidP="00A45C5C">
                  <w:pPr>
                    <w:jc w:val="center"/>
                    <w:rPr>
                      <w:rFonts w:cs="Tahoma"/>
                      <w:snapToGrid w:val="0"/>
                    </w:rPr>
                  </w:pPr>
                  <w:r>
                    <w:rPr>
                      <w:rFonts w:cs="Tahoma"/>
                      <w:snapToGrid w:val="0"/>
                    </w:rPr>
                    <w:t>500 mg/</w:t>
                  </w:r>
                  <w:proofErr w:type="spellStart"/>
                  <w:r>
                    <w:rPr>
                      <w:rFonts w:cs="Tahoma"/>
                      <w:snapToGrid w:val="0"/>
                    </w:rPr>
                    <w:t>dL</w:t>
                  </w:r>
                  <w:proofErr w:type="spellEnd"/>
                </w:p>
              </w:tc>
            </w:tr>
            <w:tr w:rsidR="008361BB" w:rsidTr="00F11107">
              <w:trPr>
                <w:trHeight w:val="266"/>
              </w:trPr>
              <w:tc>
                <w:tcPr>
                  <w:tcW w:w="2256" w:type="dxa"/>
                </w:tcPr>
                <w:p w:rsidR="008361BB" w:rsidRPr="002E7FE7" w:rsidRDefault="008361BB" w:rsidP="00A45C5C">
                  <w:pPr>
                    <w:jc w:val="center"/>
                    <w:rPr>
                      <w:rFonts w:cs="Tahoma"/>
                      <w:snapToGrid w:val="0"/>
                    </w:rPr>
                  </w:pPr>
                  <w:r w:rsidRPr="002E7FE7">
                    <w:rPr>
                      <w:rFonts w:cs="Tahoma"/>
                      <w:snapToGrid w:val="0"/>
                    </w:rPr>
                    <w:t>Bilirubin, up to:</w:t>
                  </w:r>
                </w:p>
              </w:tc>
              <w:tc>
                <w:tcPr>
                  <w:tcW w:w="2257" w:type="dxa"/>
                </w:tcPr>
                <w:p w:rsidR="008361BB" w:rsidRDefault="008361BB" w:rsidP="00A45C5C">
                  <w:pPr>
                    <w:jc w:val="center"/>
                    <w:rPr>
                      <w:rFonts w:cs="Tahoma"/>
                      <w:snapToGrid w:val="0"/>
                    </w:rPr>
                  </w:pPr>
                  <w:r>
                    <w:rPr>
                      <w:rFonts w:cs="Tahoma"/>
                      <w:snapToGrid w:val="0"/>
                    </w:rPr>
                    <w:t>30</w:t>
                  </w:r>
                  <w:r w:rsidRPr="00CC05F5">
                    <w:rPr>
                      <w:rFonts w:cs="Tahoma"/>
                      <w:snapToGrid w:val="0"/>
                    </w:rPr>
                    <w:t xml:space="preserve"> mg/</w:t>
                  </w:r>
                  <w:proofErr w:type="spellStart"/>
                  <w:r w:rsidRPr="00CC05F5">
                    <w:rPr>
                      <w:rFonts w:cs="Tahoma"/>
                      <w:snapToGrid w:val="0"/>
                    </w:rPr>
                    <w:t>dL</w:t>
                  </w:r>
                  <w:proofErr w:type="spellEnd"/>
                </w:p>
              </w:tc>
            </w:tr>
            <w:tr w:rsidR="008361BB" w:rsidTr="00F11107">
              <w:trPr>
                <w:trHeight w:val="289"/>
              </w:trPr>
              <w:tc>
                <w:tcPr>
                  <w:tcW w:w="2256" w:type="dxa"/>
                </w:tcPr>
                <w:p w:rsidR="008361BB" w:rsidRPr="002E7FE7" w:rsidRDefault="008361BB" w:rsidP="00A45C5C">
                  <w:pPr>
                    <w:jc w:val="center"/>
                    <w:rPr>
                      <w:rFonts w:cs="Tahoma"/>
                      <w:snapToGrid w:val="0"/>
                    </w:rPr>
                  </w:pPr>
                  <w:r w:rsidRPr="002E7FE7">
                    <w:rPr>
                      <w:rFonts w:cs="Tahoma"/>
                      <w:snapToGrid w:val="0"/>
                    </w:rPr>
                    <w:t>Triglycerides, up to:</w:t>
                  </w:r>
                </w:p>
              </w:tc>
              <w:tc>
                <w:tcPr>
                  <w:tcW w:w="2257" w:type="dxa"/>
                </w:tcPr>
                <w:p w:rsidR="008361BB" w:rsidRDefault="008361BB" w:rsidP="00A45C5C">
                  <w:pPr>
                    <w:jc w:val="center"/>
                    <w:rPr>
                      <w:rFonts w:cs="Tahoma"/>
                      <w:snapToGrid w:val="0"/>
                    </w:rPr>
                  </w:pPr>
                  <w:r>
                    <w:rPr>
                      <w:rFonts w:cs="Tahoma"/>
                      <w:snapToGrid w:val="0"/>
                    </w:rPr>
                    <w:t>1000</w:t>
                  </w:r>
                  <w:r w:rsidRPr="00CC05F5">
                    <w:rPr>
                      <w:rFonts w:cs="Tahoma"/>
                      <w:snapToGrid w:val="0"/>
                    </w:rPr>
                    <w:t xml:space="preserve"> mg/</w:t>
                  </w:r>
                  <w:proofErr w:type="spellStart"/>
                  <w:r w:rsidRPr="00CC05F5">
                    <w:rPr>
                      <w:rFonts w:cs="Tahoma"/>
                      <w:snapToGrid w:val="0"/>
                    </w:rPr>
                    <w:t>dL</w:t>
                  </w:r>
                  <w:proofErr w:type="spellEnd"/>
                </w:p>
              </w:tc>
            </w:tr>
          </w:tbl>
          <w:p w:rsidR="008361BB" w:rsidRPr="00BB118A" w:rsidRDefault="008361BB" w:rsidP="008361BB">
            <w:pPr>
              <w:pStyle w:val="ListParagraph"/>
              <w:ind w:left="0"/>
            </w:pPr>
          </w:p>
        </w:tc>
      </w:tr>
      <w:tr w:rsidR="003071B9" w:rsidTr="00F11107">
        <w:trPr>
          <w:trHeight w:val="554"/>
        </w:trPr>
        <w:tc>
          <w:tcPr>
            <w:tcW w:w="2254" w:type="dxa"/>
            <w:tcBorders>
              <w:top w:val="nil"/>
              <w:left w:val="nil"/>
              <w:bottom w:val="single" w:sz="4" w:space="0" w:color="auto"/>
              <w:right w:val="nil"/>
            </w:tcBorders>
          </w:tcPr>
          <w:p w:rsidR="003071B9" w:rsidRPr="00315B21" w:rsidRDefault="008361BB" w:rsidP="003071B9">
            <w:pPr>
              <w:ind w:right="-108"/>
              <w:rPr>
                <w:b/>
                <w:bCs/>
              </w:rPr>
            </w:pPr>
            <w:r>
              <w:rPr>
                <w:b/>
                <w:bCs/>
              </w:rPr>
              <w:lastRenderedPageBreak/>
              <w:t>Results outside of analyzer range</w:t>
            </w:r>
          </w:p>
        </w:tc>
        <w:tc>
          <w:tcPr>
            <w:tcW w:w="8712" w:type="dxa"/>
            <w:tcBorders>
              <w:top w:val="single" w:sz="4" w:space="0" w:color="auto"/>
              <w:left w:val="nil"/>
              <w:bottom w:val="single" w:sz="4" w:space="0" w:color="auto"/>
              <w:right w:val="nil"/>
            </w:tcBorders>
          </w:tcPr>
          <w:p w:rsidR="008361BB" w:rsidRPr="008361BB" w:rsidRDefault="008361BB" w:rsidP="008361BB">
            <w:pPr>
              <w:pStyle w:val="ListParagraph"/>
              <w:ind w:left="342" w:firstLine="18"/>
              <w:rPr>
                <w:b/>
              </w:rPr>
            </w:pPr>
            <w:r w:rsidRPr="008361BB">
              <w:rPr>
                <w:b/>
              </w:rPr>
              <w:t>Results outside of analyzer range</w:t>
            </w:r>
          </w:p>
          <w:p w:rsidR="008361BB" w:rsidRDefault="008361BB" w:rsidP="004A4731">
            <w:pPr>
              <w:pStyle w:val="ListParagraph"/>
              <w:numPr>
                <w:ilvl w:val="0"/>
                <w:numId w:val="21"/>
              </w:numPr>
              <w:ind w:left="342" w:firstLine="18"/>
            </w:pPr>
            <w:r>
              <w:t>When a PT result is outside of the analyzer range, a numeric error code as well as HL or LL will be generated and result will show as FAILED.</w:t>
            </w:r>
          </w:p>
          <w:p w:rsidR="008361BB" w:rsidRDefault="008361BB" w:rsidP="004A4731">
            <w:pPr>
              <w:pStyle w:val="ListParagraph"/>
              <w:numPr>
                <w:ilvl w:val="0"/>
                <w:numId w:val="21"/>
              </w:numPr>
              <w:ind w:left="342" w:firstLine="18"/>
            </w:pPr>
            <w:r>
              <w:t>Review the curve by following the steps below:</w:t>
            </w:r>
          </w:p>
          <w:p w:rsidR="008361BB" w:rsidRDefault="0095464D" w:rsidP="004A4731">
            <w:pPr>
              <w:pStyle w:val="ListParagraph"/>
              <w:numPr>
                <w:ilvl w:val="0"/>
                <w:numId w:val="22"/>
              </w:numPr>
            </w:pPr>
            <w:r>
              <w:t xml:space="preserve">Select "Sample List" </w:t>
            </w:r>
            <w:r w:rsidR="008361BB">
              <w:t>from toolbar.</w:t>
            </w:r>
          </w:p>
          <w:p w:rsidR="0095464D" w:rsidRDefault="0095464D" w:rsidP="004A4731">
            <w:pPr>
              <w:pStyle w:val="ListParagraph"/>
              <w:numPr>
                <w:ilvl w:val="0"/>
                <w:numId w:val="22"/>
              </w:numPr>
            </w:pPr>
            <w:r>
              <w:t xml:space="preserve">The </w:t>
            </w:r>
            <w:r w:rsidRPr="0095464D">
              <w:t>Sample List screen is divided into 2 sections. Select the patient Sample ID desired from the top section — information about that sample will show on bottom half of screen.</w:t>
            </w:r>
          </w:p>
          <w:p w:rsidR="0095464D" w:rsidRDefault="008361BB" w:rsidP="004A4731">
            <w:pPr>
              <w:pStyle w:val="ListParagraph"/>
              <w:numPr>
                <w:ilvl w:val="0"/>
                <w:numId w:val="22"/>
              </w:numPr>
            </w:pPr>
            <w:r>
              <w:t>Double click on the test for which curve is desired (page will open containing all test info as well as clot curve) NOTE: If extended curve is desired, make sure the extended result is selected — an "E" will be present under the "JOB TYPE" column of the extended result.</w:t>
            </w:r>
          </w:p>
          <w:p w:rsidR="008361BB" w:rsidRDefault="008361BB" w:rsidP="004A4731">
            <w:pPr>
              <w:pStyle w:val="ListParagraph"/>
              <w:numPr>
                <w:ilvl w:val="0"/>
                <w:numId w:val="22"/>
              </w:numPr>
            </w:pPr>
            <w:r>
              <w:t>Print copy of clot curve by selecting the Printer icon on the top of the page.</w:t>
            </w:r>
          </w:p>
          <w:p w:rsidR="0095464D" w:rsidRDefault="008361BB" w:rsidP="004A4731">
            <w:pPr>
              <w:pStyle w:val="ListParagraph"/>
              <w:numPr>
                <w:ilvl w:val="0"/>
                <w:numId w:val="23"/>
              </w:numPr>
            </w:pPr>
            <w:r>
              <w:t>If curve is unacceptable, call floor and investigate whether specimen may have been drawn from a line. Do not report an estimated PT — answer test as "Possible IV contamination, redraw suggested". Refer to the "Think Quality" book for examples of acceptable and unacceptable graphs.</w:t>
            </w:r>
          </w:p>
          <w:p w:rsidR="008361BB" w:rsidRPr="0095464D" w:rsidRDefault="008361BB" w:rsidP="004A4731">
            <w:pPr>
              <w:pStyle w:val="ListParagraph"/>
              <w:numPr>
                <w:ilvl w:val="0"/>
                <w:numId w:val="23"/>
              </w:numPr>
              <w:rPr>
                <w:b/>
              </w:rPr>
            </w:pPr>
            <w:r>
              <w:t xml:space="preserve">If acceptable curve is present and clot is formed after 320 seconds, report the results in the computer. Note: </w:t>
            </w:r>
            <w:r w:rsidRPr="0095464D">
              <w:rPr>
                <w:b/>
              </w:rPr>
              <w:t>INR results that print in italics are outside of the instrument's linearity</w:t>
            </w:r>
            <w:r w:rsidR="0095464D" w:rsidRPr="0095464D">
              <w:rPr>
                <w:b/>
              </w:rPr>
              <w:t xml:space="preserve"> </w:t>
            </w:r>
            <w:r w:rsidRPr="0095464D">
              <w:rPr>
                <w:b/>
              </w:rPr>
              <w:t>and should be reported as: PT = &gt;320 seconds or</w:t>
            </w:r>
          </w:p>
          <w:p w:rsidR="008361BB" w:rsidRPr="0095464D" w:rsidRDefault="008361BB" w:rsidP="008361BB">
            <w:pPr>
              <w:pStyle w:val="ListParagraph"/>
              <w:ind w:left="342" w:firstLine="18"/>
              <w:rPr>
                <w:b/>
              </w:rPr>
            </w:pPr>
            <w:r w:rsidRPr="0095464D">
              <w:rPr>
                <w:b/>
              </w:rPr>
              <w:t>INR = &gt;</w:t>
            </w:r>
            <w:r w:rsidR="0095464D">
              <w:rPr>
                <w:b/>
              </w:rPr>
              <w:t>__</w:t>
            </w:r>
            <w:r w:rsidRPr="0095464D">
              <w:rPr>
                <w:b/>
              </w:rPr>
              <w:tab/>
              <w:t>(</w:t>
            </w:r>
            <w:r w:rsidRPr="0095464D">
              <w:rPr>
                <w:b/>
                <w:i/>
              </w:rPr>
              <w:t>INR calculation corresponding to 320 second PT for the reagent lot</w:t>
            </w:r>
            <w:r w:rsidRPr="0095464D">
              <w:rPr>
                <w:b/>
              </w:rPr>
              <w:t>).</w:t>
            </w:r>
          </w:p>
          <w:p w:rsidR="0095464D" w:rsidRDefault="0095464D" w:rsidP="008361BB">
            <w:pPr>
              <w:pStyle w:val="ListParagraph"/>
              <w:ind w:left="342" w:firstLine="18"/>
            </w:pPr>
          </w:p>
          <w:p w:rsidR="008361BB" w:rsidRPr="0093616D" w:rsidRDefault="0095464D" w:rsidP="0093616D">
            <w:pPr>
              <w:rPr>
                <w:b/>
              </w:rPr>
            </w:pPr>
            <w:r w:rsidRPr="0093616D">
              <w:rPr>
                <w:b/>
              </w:rPr>
              <w:t>Handling Samples with HCT&gt;</w:t>
            </w:r>
            <w:r w:rsidR="008361BB" w:rsidRPr="0093616D">
              <w:rPr>
                <w:b/>
              </w:rPr>
              <w:t xml:space="preserve"> 55% </w:t>
            </w:r>
          </w:p>
          <w:p w:rsidR="005A2459" w:rsidRDefault="005A2459" w:rsidP="005A2459">
            <w:pPr>
              <w:pStyle w:val="ListParagraph"/>
              <w:rPr>
                <w:b/>
              </w:rPr>
            </w:pPr>
          </w:p>
          <w:p w:rsidR="005A2459" w:rsidRDefault="005A2459" w:rsidP="005A2459">
            <w:pPr>
              <w:pStyle w:val="ListParagraph"/>
              <w:numPr>
                <w:ilvl w:val="0"/>
                <w:numId w:val="27"/>
              </w:numPr>
            </w:pPr>
            <w:r w:rsidRPr="00F32FAC">
              <w:t>A</w:t>
            </w:r>
            <w:r>
              <w:t xml:space="preserve"> patient with HCT &gt;55% will cause spurious coagulation results</w:t>
            </w:r>
            <w:r w:rsidRPr="00F32FAC">
              <w:t xml:space="preserve"> </w:t>
            </w:r>
            <w:r>
              <w:t xml:space="preserve">including falsely </w:t>
            </w:r>
            <w:r w:rsidRPr="00F32FAC">
              <w:t xml:space="preserve">prolonged PT and </w:t>
            </w:r>
            <w:r>
              <w:t xml:space="preserve">APTT results and </w:t>
            </w:r>
            <w:r w:rsidRPr="00F32FAC">
              <w:t>erroneous results for other calcium-dependent clotting tests</w:t>
            </w:r>
            <w:r>
              <w:t xml:space="preserve"> due to excess anticoagulant in the plasma. </w:t>
            </w:r>
          </w:p>
          <w:p w:rsidR="005A2459" w:rsidRDefault="005A2459" w:rsidP="005A2459">
            <w:pPr>
              <w:pStyle w:val="ListParagraph"/>
              <w:numPr>
                <w:ilvl w:val="0"/>
                <w:numId w:val="27"/>
              </w:numPr>
            </w:pPr>
            <w:r w:rsidRPr="00F32FAC">
              <w:t>The citra</w:t>
            </w:r>
            <w:r>
              <w:t xml:space="preserve">te anticoagulant is distributed </w:t>
            </w:r>
            <w:r w:rsidRPr="00F32FAC">
              <w:t>only in the plasma</w:t>
            </w:r>
            <w:r>
              <w:t xml:space="preserve"> but not into the blood cells.</w:t>
            </w:r>
          </w:p>
          <w:p w:rsidR="005A2459" w:rsidRDefault="005A2459" w:rsidP="005A2459">
            <w:pPr>
              <w:pStyle w:val="ListParagraph"/>
              <w:numPr>
                <w:ilvl w:val="0"/>
                <w:numId w:val="27"/>
              </w:numPr>
            </w:pPr>
            <w:r>
              <w:t>The amount of sodium citrate must be adjusted before re-drawing blood sample from patients with HCT&gt;55%.</w:t>
            </w:r>
          </w:p>
          <w:p w:rsidR="005A2459" w:rsidRDefault="005A2459" w:rsidP="005A2459">
            <w:pPr>
              <w:pStyle w:val="ListParagraph"/>
              <w:numPr>
                <w:ilvl w:val="0"/>
                <w:numId w:val="27"/>
              </w:numPr>
            </w:pPr>
            <w:r>
              <w:t>When notified by the DxH800 tech about a patient with a HCT &gt; 55%:</w:t>
            </w:r>
          </w:p>
          <w:p w:rsidR="005A2459" w:rsidRDefault="005A2459" w:rsidP="005A2459">
            <w:pPr>
              <w:pStyle w:val="ListParagraph"/>
              <w:numPr>
                <w:ilvl w:val="0"/>
                <w:numId w:val="26"/>
              </w:numPr>
            </w:pPr>
            <w:r>
              <w:t>Review patient Coagulation history by using the Interim Report for Select tests. Be sure to check from T (today) to T-365.</w:t>
            </w:r>
          </w:p>
          <w:p w:rsidR="005A2459" w:rsidRDefault="005A2459" w:rsidP="005A2459">
            <w:pPr>
              <w:pStyle w:val="ListParagraph"/>
              <w:numPr>
                <w:ilvl w:val="0"/>
                <w:numId w:val="26"/>
              </w:numPr>
            </w:pPr>
            <w:r>
              <w:t>If the patient has a PT/APTT requested, hold the current tube in reserve with the comment: "HCT &gt; 55% requires redraw. Please call lab at x5499 for further instructions."</w:t>
            </w:r>
          </w:p>
          <w:p w:rsidR="005A2459" w:rsidRDefault="005A2459" w:rsidP="005A2459">
            <w:pPr>
              <w:pStyle w:val="ListParagraph"/>
              <w:numPr>
                <w:ilvl w:val="0"/>
                <w:numId w:val="26"/>
              </w:numPr>
            </w:pPr>
            <w:r>
              <w:t>The formula to calculate the appropriate amount of sodium citrate volume is:</w:t>
            </w:r>
          </w:p>
          <w:p w:rsidR="005A2459" w:rsidRDefault="005A2459" w:rsidP="005A2459">
            <w:pPr>
              <w:pStyle w:val="ListParagraph"/>
              <w:ind w:left="1440"/>
            </w:pPr>
          </w:p>
          <w:p w:rsidR="005A2459" w:rsidRDefault="005A2459" w:rsidP="005A2459">
            <w:pPr>
              <w:pStyle w:val="ListParagraph"/>
              <w:ind w:left="1440"/>
            </w:pPr>
            <w:r w:rsidRPr="000F66FF">
              <w:rPr>
                <w:b/>
              </w:rPr>
              <w:t>Formula:</w:t>
            </w:r>
            <w:r w:rsidRPr="00F449BA">
              <w:t xml:space="preserve"> (100 – HCT) </w:t>
            </w:r>
            <w:r>
              <w:t>/ (595 – HCT) x Total Volume</w:t>
            </w:r>
          </w:p>
          <w:p w:rsidR="005A2459" w:rsidRDefault="005A2459" w:rsidP="005A2459"/>
          <w:p w:rsidR="005A2459" w:rsidRDefault="005A2459" w:rsidP="005A2459">
            <w:pPr>
              <w:pStyle w:val="ListParagraph"/>
              <w:numPr>
                <w:ilvl w:val="0"/>
                <w:numId w:val="26"/>
              </w:numPr>
            </w:pPr>
            <w:r>
              <w:t>Prepare the Adjusted Coagulation tube using the following  table:</w:t>
            </w:r>
          </w:p>
          <w:p w:rsidR="005A2459" w:rsidRDefault="005A2459" w:rsidP="005A2459">
            <w:pPr>
              <w:pStyle w:val="ListParagraph"/>
              <w:ind w:left="1440"/>
            </w:pPr>
          </w:p>
          <w:p w:rsidR="005A2459" w:rsidRPr="00BC65DA" w:rsidRDefault="005A2459" w:rsidP="005A2459">
            <w:pPr>
              <w:jc w:val="center"/>
              <w:rPr>
                <w:b/>
              </w:rPr>
            </w:pPr>
            <w:r>
              <w:rPr>
                <w:b/>
              </w:rPr>
              <w:t xml:space="preserve">     </w:t>
            </w:r>
            <w:r w:rsidRPr="00BC65DA">
              <w:rPr>
                <w:b/>
              </w:rPr>
              <w:t>Amount of Anticoagulant Solution (0.5 ml) Adjustment at Different HCT for 3.2% Sodium Citrate, 2.7ML Draw</w:t>
            </w:r>
          </w:p>
          <w:p w:rsidR="0093616D" w:rsidRDefault="0093616D" w:rsidP="0093616D">
            <w:pPr>
              <w:pStyle w:val="ListParagraph"/>
              <w:ind w:left="1860"/>
            </w:pPr>
          </w:p>
          <w:tbl>
            <w:tblPr>
              <w:tblpPr w:leftFromText="180" w:rightFromText="180" w:vertAnchor="text" w:horzAnchor="margin" w:tblpXSpec="center" w:tblpY="-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4039"/>
            </w:tblGrid>
            <w:tr w:rsidR="005A2459" w:rsidRPr="001F6FDF" w:rsidTr="00CE1C59">
              <w:trPr>
                <w:trHeight w:val="556"/>
              </w:trPr>
              <w:tc>
                <w:tcPr>
                  <w:tcW w:w="3877" w:type="dxa"/>
                  <w:shd w:val="clear" w:color="auto" w:fill="auto"/>
                  <w:vAlign w:val="center"/>
                </w:tcPr>
                <w:p w:rsidR="005A2459" w:rsidRPr="00B7001B" w:rsidRDefault="005A2459" w:rsidP="005A2459">
                  <w:pPr>
                    <w:jc w:val="center"/>
                    <w:rPr>
                      <w:b/>
                    </w:rPr>
                  </w:pPr>
                  <w:r w:rsidRPr="00B7001B">
                    <w:rPr>
                      <w:b/>
                    </w:rPr>
                    <w:t>HCT % Range</w:t>
                  </w:r>
                </w:p>
              </w:tc>
              <w:tc>
                <w:tcPr>
                  <w:tcW w:w="4039" w:type="dxa"/>
                  <w:shd w:val="clear" w:color="auto" w:fill="auto"/>
                  <w:vAlign w:val="center"/>
                </w:tcPr>
                <w:p w:rsidR="005A2459" w:rsidRPr="00B7001B" w:rsidRDefault="005A2459" w:rsidP="005A2459">
                  <w:pPr>
                    <w:jc w:val="center"/>
                    <w:rPr>
                      <w:b/>
                    </w:rPr>
                  </w:pPr>
                  <w:r w:rsidRPr="00B7001B">
                    <w:rPr>
                      <w:b/>
                    </w:rPr>
                    <w:t>V</w:t>
                  </w:r>
                  <w:r>
                    <w:rPr>
                      <w:b/>
                    </w:rPr>
                    <w:t>olume of Sodium Citrate to Remove</w:t>
                  </w:r>
                </w:p>
              </w:tc>
            </w:tr>
            <w:tr w:rsidR="005A2459" w:rsidRPr="001F6FDF" w:rsidTr="00CE1C59">
              <w:trPr>
                <w:trHeight w:val="310"/>
              </w:trPr>
              <w:tc>
                <w:tcPr>
                  <w:tcW w:w="3877" w:type="dxa"/>
                  <w:shd w:val="clear" w:color="auto" w:fill="auto"/>
                  <w:vAlign w:val="center"/>
                </w:tcPr>
                <w:p w:rsidR="005A2459" w:rsidRPr="001D06C6" w:rsidRDefault="005A2459" w:rsidP="005A2459">
                  <w:pPr>
                    <w:jc w:val="center"/>
                  </w:pPr>
                  <w:r w:rsidRPr="001D06C6">
                    <w:t>55 – 59</w:t>
                  </w:r>
                </w:p>
              </w:tc>
              <w:tc>
                <w:tcPr>
                  <w:tcW w:w="4039" w:type="dxa"/>
                  <w:shd w:val="clear" w:color="auto" w:fill="auto"/>
                  <w:vAlign w:val="center"/>
                </w:tcPr>
                <w:p w:rsidR="005A2459" w:rsidRPr="001D06C6" w:rsidRDefault="005A2459" w:rsidP="005A2459">
                  <w:pPr>
                    <w:jc w:val="center"/>
                  </w:pPr>
                  <w:r>
                    <w:t>0.2</w:t>
                  </w:r>
                </w:p>
              </w:tc>
            </w:tr>
            <w:tr w:rsidR="005A2459" w:rsidRPr="001F6FDF" w:rsidTr="00CE1C59">
              <w:trPr>
                <w:trHeight w:val="82"/>
              </w:trPr>
              <w:tc>
                <w:tcPr>
                  <w:tcW w:w="3877" w:type="dxa"/>
                  <w:shd w:val="clear" w:color="auto" w:fill="auto"/>
                  <w:vAlign w:val="center"/>
                </w:tcPr>
                <w:p w:rsidR="005A2459" w:rsidRPr="001D06C6" w:rsidRDefault="005A2459" w:rsidP="005A2459">
                  <w:pPr>
                    <w:jc w:val="center"/>
                  </w:pPr>
                  <w:r w:rsidRPr="001D06C6">
                    <w:t>60 – 64</w:t>
                  </w:r>
                </w:p>
              </w:tc>
              <w:tc>
                <w:tcPr>
                  <w:tcW w:w="4039" w:type="dxa"/>
                  <w:shd w:val="clear" w:color="auto" w:fill="auto"/>
                  <w:vAlign w:val="center"/>
                </w:tcPr>
                <w:p w:rsidR="005A2459" w:rsidRPr="001D06C6" w:rsidRDefault="005A2459" w:rsidP="005A2459">
                  <w:pPr>
                    <w:jc w:val="center"/>
                  </w:pPr>
                  <w:r>
                    <w:t>0.19</w:t>
                  </w:r>
                </w:p>
              </w:tc>
            </w:tr>
            <w:tr w:rsidR="005A2459" w:rsidRPr="001F6FDF" w:rsidTr="00CE1C59">
              <w:trPr>
                <w:trHeight w:val="146"/>
              </w:trPr>
              <w:tc>
                <w:tcPr>
                  <w:tcW w:w="3877" w:type="dxa"/>
                  <w:shd w:val="clear" w:color="auto" w:fill="auto"/>
                  <w:vAlign w:val="center"/>
                </w:tcPr>
                <w:p w:rsidR="005A2459" w:rsidRPr="001D06C6" w:rsidRDefault="005A2459" w:rsidP="005A2459">
                  <w:pPr>
                    <w:jc w:val="center"/>
                  </w:pPr>
                  <w:r w:rsidRPr="001D06C6">
                    <w:t>65 – 69</w:t>
                  </w:r>
                </w:p>
              </w:tc>
              <w:tc>
                <w:tcPr>
                  <w:tcW w:w="4039" w:type="dxa"/>
                  <w:shd w:val="clear" w:color="auto" w:fill="auto"/>
                  <w:vAlign w:val="center"/>
                </w:tcPr>
                <w:p w:rsidR="005A2459" w:rsidRPr="001D06C6" w:rsidRDefault="005A2459" w:rsidP="005A2459">
                  <w:pPr>
                    <w:jc w:val="center"/>
                  </w:pPr>
                  <w:r>
                    <w:t>0.17</w:t>
                  </w:r>
                </w:p>
              </w:tc>
            </w:tr>
            <w:tr w:rsidR="005A2459" w:rsidRPr="001F6FDF" w:rsidTr="00CE1C59">
              <w:trPr>
                <w:trHeight w:val="127"/>
              </w:trPr>
              <w:tc>
                <w:tcPr>
                  <w:tcW w:w="3877" w:type="dxa"/>
                  <w:shd w:val="clear" w:color="auto" w:fill="auto"/>
                  <w:vAlign w:val="center"/>
                </w:tcPr>
                <w:p w:rsidR="005A2459" w:rsidRPr="001D06C6" w:rsidRDefault="005A2459" w:rsidP="005A2459">
                  <w:pPr>
                    <w:jc w:val="center"/>
                  </w:pPr>
                  <w:r w:rsidRPr="001D06C6">
                    <w:t>70 – 74</w:t>
                  </w:r>
                </w:p>
              </w:tc>
              <w:tc>
                <w:tcPr>
                  <w:tcW w:w="4039" w:type="dxa"/>
                  <w:shd w:val="clear" w:color="auto" w:fill="auto"/>
                  <w:vAlign w:val="center"/>
                </w:tcPr>
                <w:p w:rsidR="005A2459" w:rsidRPr="001D06C6" w:rsidRDefault="005A2459" w:rsidP="005A2459">
                  <w:pPr>
                    <w:jc w:val="center"/>
                  </w:pPr>
                  <w:r>
                    <w:t>0.15</w:t>
                  </w:r>
                </w:p>
              </w:tc>
            </w:tr>
            <w:tr w:rsidR="005A2459" w:rsidRPr="001F6FDF" w:rsidTr="00CE1C59">
              <w:trPr>
                <w:trHeight w:val="109"/>
              </w:trPr>
              <w:tc>
                <w:tcPr>
                  <w:tcW w:w="3877" w:type="dxa"/>
                  <w:shd w:val="clear" w:color="auto" w:fill="auto"/>
                  <w:vAlign w:val="center"/>
                </w:tcPr>
                <w:p w:rsidR="005A2459" w:rsidRPr="001D06C6" w:rsidRDefault="005A2459" w:rsidP="005A2459">
                  <w:pPr>
                    <w:jc w:val="center"/>
                  </w:pPr>
                  <w:r w:rsidRPr="001D06C6">
                    <w:t xml:space="preserve">75 – 79 </w:t>
                  </w:r>
                </w:p>
              </w:tc>
              <w:tc>
                <w:tcPr>
                  <w:tcW w:w="4039" w:type="dxa"/>
                  <w:shd w:val="clear" w:color="auto" w:fill="auto"/>
                  <w:vAlign w:val="center"/>
                </w:tcPr>
                <w:p w:rsidR="005A2459" w:rsidRPr="001D06C6" w:rsidRDefault="005A2459" w:rsidP="005A2459">
                  <w:pPr>
                    <w:jc w:val="center"/>
                  </w:pPr>
                  <w:r w:rsidRPr="001D06C6">
                    <w:t>0.</w:t>
                  </w:r>
                  <w:r>
                    <w:t>12</w:t>
                  </w:r>
                </w:p>
              </w:tc>
            </w:tr>
          </w:tbl>
          <w:p w:rsidR="00994FD2" w:rsidRPr="003071B9" w:rsidRDefault="00994FD2" w:rsidP="008361BB">
            <w:pPr>
              <w:pStyle w:val="ListParagraph"/>
              <w:ind w:hanging="360"/>
            </w:pPr>
          </w:p>
        </w:tc>
      </w:tr>
    </w:tbl>
    <w:p w:rsidR="00F11107" w:rsidRDefault="0055505C">
      <w:r w:rsidRPr="0055505C">
        <w:rPr>
          <w:b/>
        </w:rPr>
        <w:lastRenderedPageBreak/>
        <w:t xml:space="preserve">Reference </w:t>
      </w:r>
      <w:r>
        <w:rPr>
          <w:b/>
        </w:rPr>
        <w:t xml:space="preserve">        </w:t>
      </w:r>
      <w:r w:rsidR="00F11107">
        <w:rPr>
          <w:b/>
        </w:rPr>
        <w:t xml:space="preserve">    </w:t>
      </w:r>
      <w:r>
        <w:rPr>
          <w:b/>
        </w:rPr>
        <w:t xml:space="preserve">   </w:t>
      </w:r>
      <w:r w:rsidR="00F11107">
        <w:rPr>
          <w:b/>
        </w:rPr>
        <w:t xml:space="preserve">   </w:t>
      </w:r>
      <w:r w:rsidR="00F11107" w:rsidRPr="00F11107">
        <w:t>1</w:t>
      </w:r>
      <w:r w:rsidR="00F11107">
        <w:rPr>
          <w:b/>
        </w:rPr>
        <w:t xml:space="preserve">. </w:t>
      </w:r>
      <w:r w:rsidRPr="0055505C">
        <w:t>ACL TOP Series Operation Manual</w:t>
      </w:r>
    </w:p>
    <w:p w:rsidR="00F11107" w:rsidRDefault="00F11107" w:rsidP="00F11107">
      <w:r>
        <w:t xml:space="preserve">                                    </w:t>
      </w:r>
      <w:r w:rsidRPr="00F11107">
        <w:t>2</w:t>
      </w:r>
      <w:r>
        <w:t>. HemosIL RecombiPlasTin 2G (PN 0020002950/0020003050) package insert</w:t>
      </w:r>
    </w:p>
    <w:p w:rsidR="00F95946" w:rsidRDefault="00F11107" w:rsidP="00F11107">
      <w:r>
        <w:t xml:space="preserve">                                    </w:t>
      </w:r>
      <w:r w:rsidR="00F95946">
        <w:t>3</w:t>
      </w:r>
      <w:r>
        <w:t>. Clinical and Laboratory Standards Institute. Collection, Transport, and Processing of</w:t>
      </w:r>
    </w:p>
    <w:p w:rsidR="00F95946" w:rsidRDefault="00F95946" w:rsidP="00F11107">
      <w:r>
        <w:t xml:space="preserve">                                </w:t>
      </w:r>
      <w:r w:rsidR="00F11107">
        <w:t xml:space="preserve"> </w:t>
      </w:r>
      <w:r>
        <w:t xml:space="preserve">       </w:t>
      </w:r>
      <w:r w:rsidR="00F11107">
        <w:t xml:space="preserve">Blood Specimens for Testing Plasma-Based Coagulation and Molecular Hemostasis </w:t>
      </w:r>
    </w:p>
    <w:p w:rsidR="00F11107" w:rsidRDefault="00F95946" w:rsidP="00F11107">
      <w:r>
        <w:t xml:space="preserve">                                       </w:t>
      </w:r>
      <w:r w:rsidR="00F11107">
        <w:t>Assays; Approved Guideline - Fifth Edition, CLSI Document H21-A5; Vol. 28 No. 5</w:t>
      </w:r>
    </w:p>
    <w:p w:rsidR="00F95946" w:rsidRDefault="00F95946" w:rsidP="00F95946">
      <w:r>
        <w:t xml:space="preserve">                                    4. </w:t>
      </w:r>
      <w:r w:rsidR="00F11107">
        <w:t>HemosIL PT-Fibrinogen HS PLUS (PN 008469810) package insert</w:t>
      </w:r>
      <w:r>
        <w:t>.</w:t>
      </w:r>
    </w:p>
    <w:p w:rsidR="00F95946" w:rsidRDefault="00F95946" w:rsidP="00F95946">
      <w:r>
        <w:t xml:space="preserve">                                    5. </w:t>
      </w:r>
      <w:r w:rsidR="00F11107">
        <w:t>Clinical and Laboratory Standards Institute.  One Stage Prothrombin Time (PT) Test</w:t>
      </w:r>
    </w:p>
    <w:p w:rsidR="00F95946" w:rsidRDefault="00F95946" w:rsidP="00F95946">
      <w:r>
        <w:t xml:space="preserve">                                       </w:t>
      </w:r>
      <w:r w:rsidR="00F11107">
        <w:t xml:space="preserve"> and Activated Partial Thromboplastin Time (APTT) Test; Approved Guideline – </w:t>
      </w:r>
    </w:p>
    <w:p w:rsidR="00F95946" w:rsidRDefault="00F95946" w:rsidP="00F11107">
      <w:r>
        <w:t xml:space="preserve">                                       </w:t>
      </w:r>
      <w:r w:rsidR="00F11107">
        <w:t xml:space="preserve">Second Edition, CLSI Document H47-A2; </w:t>
      </w:r>
    </w:p>
    <w:p w:rsidR="00F95946" w:rsidRDefault="00F95946" w:rsidP="00F11107">
      <w:r>
        <w:t xml:space="preserve">                                    6. </w:t>
      </w:r>
      <w:r w:rsidR="00F11107">
        <w:t>Clinical and Laboratory Standards Institute.</w:t>
      </w:r>
      <w:r>
        <w:t xml:space="preserve"> </w:t>
      </w:r>
      <w:r w:rsidR="00F11107">
        <w:t>Preparation and Testing of Reagent Water</w:t>
      </w:r>
    </w:p>
    <w:p w:rsidR="00F95946" w:rsidRDefault="00F95946" w:rsidP="00F11107">
      <w:r>
        <w:t xml:space="preserve">                                       </w:t>
      </w:r>
      <w:r w:rsidR="00F11107">
        <w:t xml:space="preserve"> </w:t>
      </w:r>
      <w:proofErr w:type="gramStart"/>
      <w:r w:rsidR="00F11107">
        <w:t>in</w:t>
      </w:r>
      <w:proofErr w:type="gramEnd"/>
      <w:r w:rsidR="00F11107">
        <w:t xml:space="preserve"> the Clinical Laboratory;</w:t>
      </w:r>
      <w:r>
        <w:t xml:space="preserve"> </w:t>
      </w:r>
      <w:r w:rsidR="00F11107">
        <w:t>Approved Guideline. Fourth,</w:t>
      </w:r>
      <w:r>
        <w:t xml:space="preserve"> </w:t>
      </w:r>
      <w:r w:rsidR="00F11107">
        <w:t>Edition, CLSI Document C3-</w:t>
      </w:r>
    </w:p>
    <w:p w:rsidR="00F11107" w:rsidRPr="00F11107" w:rsidRDefault="00F95946" w:rsidP="00F11107">
      <w:pPr>
        <w:rPr>
          <w:b/>
        </w:rPr>
      </w:pPr>
      <w:r>
        <w:t xml:space="preserve">                                        </w:t>
      </w:r>
      <w:r w:rsidR="00F11107">
        <w:t>A4;Vol.26 No.22</w:t>
      </w:r>
    </w:p>
    <w:p w:rsidR="00F11107" w:rsidRDefault="0055505C">
      <w:pPr>
        <w:rPr>
          <w:b/>
        </w:rPr>
      </w:pPr>
      <w:r w:rsidRPr="0055505C">
        <w:t xml:space="preserve"> </w:t>
      </w:r>
      <w:r w:rsidR="00F11107">
        <w:t xml:space="preserve">             </w:t>
      </w:r>
      <w:r w:rsidRPr="0055505C">
        <w:rPr>
          <w:b/>
        </w:rPr>
        <w:t xml:space="preserve">  </w:t>
      </w:r>
    </w:p>
    <w:p w:rsidR="00EF360A" w:rsidRDefault="0055505C">
      <w:pPr>
        <w:rPr>
          <w:b/>
        </w:rPr>
      </w:pPr>
      <w:r w:rsidRPr="0055505C">
        <w:rPr>
          <w:b/>
        </w:rPr>
        <w:t xml:space="preserve">           </w:t>
      </w:r>
    </w:p>
    <w:p w:rsidR="00492EA3" w:rsidRPr="0055505C" w:rsidRDefault="0055505C">
      <w:pPr>
        <w:rPr>
          <w:b/>
        </w:rPr>
      </w:pPr>
      <w:r w:rsidRPr="0055505C">
        <w:rPr>
          <w:b/>
        </w:rPr>
        <w:lastRenderedPageBreak/>
        <w:t xml:space="preserve">      </w:t>
      </w: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5508"/>
        <w:gridCol w:w="2754"/>
        <w:gridCol w:w="2754"/>
      </w:tblGrid>
      <w:tr w:rsidR="00C04FE7" w:rsidTr="006E1B47">
        <w:trPr>
          <w:trHeight w:val="323"/>
        </w:trPr>
        <w:tc>
          <w:tcPr>
            <w:tcW w:w="5508" w:type="dxa"/>
            <w:vMerge w:val="restart"/>
            <w:vAlign w:val="center"/>
          </w:tcPr>
          <w:p w:rsidR="00C04FE7" w:rsidRPr="00660B52" w:rsidRDefault="0047502E" w:rsidP="00145DA7">
            <w:pPr>
              <w:jc w:val="center"/>
              <w:rPr>
                <w:b/>
                <w:bCs/>
                <w:sz w:val="28"/>
                <w:szCs w:val="28"/>
              </w:rPr>
            </w:pPr>
            <w:r>
              <w:rPr>
                <w:b/>
                <w:bCs/>
                <w:sz w:val="28"/>
                <w:szCs w:val="28"/>
              </w:rPr>
              <w:t>Prothrombin Time (PT) on ACLTOP 350 Analyzer</w:t>
            </w:r>
          </w:p>
        </w:tc>
        <w:tc>
          <w:tcPr>
            <w:tcW w:w="2754" w:type="dxa"/>
            <w:vAlign w:val="center"/>
          </w:tcPr>
          <w:p w:rsidR="00C04FE7" w:rsidRPr="00660B52" w:rsidRDefault="00C04FE7" w:rsidP="00145DA7">
            <w:pPr>
              <w:jc w:val="right"/>
              <w:rPr>
                <w:bCs/>
                <w:i/>
                <w:sz w:val="20"/>
                <w:szCs w:val="20"/>
              </w:rPr>
            </w:pPr>
            <w:r>
              <w:rPr>
                <w:bCs/>
                <w:i/>
                <w:sz w:val="20"/>
                <w:szCs w:val="20"/>
              </w:rPr>
              <w:t>Procedure #:</w:t>
            </w:r>
          </w:p>
        </w:tc>
        <w:tc>
          <w:tcPr>
            <w:tcW w:w="2754" w:type="dxa"/>
            <w:vAlign w:val="center"/>
          </w:tcPr>
          <w:p w:rsidR="00C04FE7" w:rsidRPr="007B0096" w:rsidRDefault="00F95946" w:rsidP="00145DA7">
            <w:pPr>
              <w:rPr>
                <w:b/>
                <w:bCs/>
                <w:i/>
                <w:sz w:val="20"/>
                <w:szCs w:val="20"/>
              </w:rPr>
            </w:pPr>
            <w:r w:rsidRPr="00F95946">
              <w:rPr>
                <w:b/>
                <w:bCs/>
                <w:i/>
                <w:sz w:val="20"/>
                <w:szCs w:val="20"/>
              </w:rPr>
              <w:t>HCO# 210</w:t>
            </w:r>
          </w:p>
        </w:tc>
      </w:tr>
      <w:tr w:rsidR="00C04FE7" w:rsidTr="006E1B47">
        <w:trPr>
          <w:trHeight w:val="322"/>
        </w:trPr>
        <w:tc>
          <w:tcPr>
            <w:tcW w:w="5508" w:type="dxa"/>
            <w:vMerge/>
          </w:tcPr>
          <w:p w:rsidR="00C04FE7" w:rsidRDefault="00C04FE7" w:rsidP="007437D5">
            <w:pPr>
              <w:jc w:val="center"/>
              <w:rPr>
                <w:b/>
                <w:bCs/>
                <w:sz w:val="28"/>
                <w:szCs w:val="28"/>
              </w:rPr>
            </w:pPr>
          </w:p>
        </w:tc>
        <w:tc>
          <w:tcPr>
            <w:tcW w:w="2754" w:type="dxa"/>
            <w:vAlign w:val="center"/>
          </w:tcPr>
          <w:p w:rsidR="00C04FE7" w:rsidRPr="00660B52" w:rsidRDefault="00C04FE7" w:rsidP="007437D5">
            <w:pPr>
              <w:jc w:val="right"/>
              <w:rPr>
                <w:bCs/>
                <w:i/>
                <w:sz w:val="20"/>
                <w:szCs w:val="20"/>
              </w:rPr>
            </w:pPr>
            <w:r>
              <w:rPr>
                <w:bCs/>
                <w:i/>
                <w:sz w:val="20"/>
                <w:szCs w:val="20"/>
              </w:rPr>
              <w:t>Version #:</w:t>
            </w:r>
          </w:p>
        </w:tc>
        <w:tc>
          <w:tcPr>
            <w:tcW w:w="2754" w:type="dxa"/>
            <w:vAlign w:val="center"/>
          </w:tcPr>
          <w:p w:rsidR="00C04FE7" w:rsidRPr="007B0096" w:rsidRDefault="00C04FE7" w:rsidP="007437D5">
            <w:pPr>
              <w:rPr>
                <w:b/>
                <w:bCs/>
                <w:i/>
                <w:sz w:val="20"/>
                <w:szCs w:val="20"/>
              </w:rPr>
            </w:pPr>
            <w:r>
              <w:rPr>
                <w:b/>
                <w:bCs/>
                <w:i/>
                <w:sz w:val="20"/>
                <w:szCs w:val="20"/>
              </w:rPr>
              <w:t>1.0</w:t>
            </w:r>
          </w:p>
        </w:tc>
      </w:tr>
    </w:tbl>
    <w:p w:rsidR="0072058A" w:rsidRPr="0072058A" w:rsidRDefault="0072058A" w:rsidP="00A312BF">
      <w:pPr>
        <w:rPr>
          <w:b/>
          <w:bCs/>
          <w:sz w:val="28"/>
          <w:szCs w:val="28"/>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3672"/>
        <w:gridCol w:w="3672"/>
        <w:gridCol w:w="3672"/>
      </w:tblGrid>
      <w:tr w:rsidR="001C49D9" w:rsidRPr="001C49D9" w:rsidTr="002C2B98">
        <w:tc>
          <w:tcPr>
            <w:tcW w:w="3672" w:type="dxa"/>
          </w:tcPr>
          <w:p w:rsidR="001C49D9" w:rsidRPr="001C49D9" w:rsidRDefault="001C49D9" w:rsidP="001C49D9">
            <w:pPr>
              <w:jc w:val="center"/>
              <w:rPr>
                <w:b/>
                <w:bCs/>
                <w:sz w:val="20"/>
                <w:szCs w:val="20"/>
              </w:rPr>
            </w:pPr>
            <w:r>
              <w:rPr>
                <w:b/>
                <w:bCs/>
                <w:sz w:val="20"/>
                <w:szCs w:val="20"/>
              </w:rPr>
              <w:t>Prepared by:</w:t>
            </w:r>
          </w:p>
        </w:tc>
        <w:tc>
          <w:tcPr>
            <w:tcW w:w="3672" w:type="dxa"/>
          </w:tcPr>
          <w:p w:rsidR="001C49D9" w:rsidRPr="001C49D9" w:rsidRDefault="001C49D9" w:rsidP="001C49D9">
            <w:pPr>
              <w:jc w:val="center"/>
              <w:rPr>
                <w:b/>
                <w:bCs/>
                <w:sz w:val="20"/>
                <w:szCs w:val="20"/>
              </w:rPr>
            </w:pPr>
            <w:r>
              <w:rPr>
                <w:b/>
                <w:bCs/>
                <w:sz w:val="20"/>
                <w:szCs w:val="20"/>
              </w:rPr>
              <w:t>Date Adopted:</w:t>
            </w:r>
          </w:p>
        </w:tc>
        <w:tc>
          <w:tcPr>
            <w:tcW w:w="3672" w:type="dxa"/>
          </w:tcPr>
          <w:p w:rsidR="001C49D9" w:rsidRPr="001C49D9" w:rsidRDefault="001C49D9" w:rsidP="001C49D9">
            <w:pPr>
              <w:jc w:val="center"/>
              <w:rPr>
                <w:b/>
                <w:bCs/>
                <w:sz w:val="20"/>
                <w:szCs w:val="20"/>
              </w:rPr>
            </w:pPr>
            <w:r>
              <w:rPr>
                <w:b/>
                <w:bCs/>
                <w:sz w:val="20"/>
                <w:szCs w:val="20"/>
              </w:rPr>
              <w:t>Approved by:</w:t>
            </w:r>
          </w:p>
        </w:tc>
      </w:tr>
      <w:tr w:rsidR="001C49D9" w:rsidRPr="001C49D9" w:rsidTr="002C2B98">
        <w:trPr>
          <w:trHeight w:val="260"/>
        </w:trPr>
        <w:tc>
          <w:tcPr>
            <w:tcW w:w="3672" w:type="dxa"/>
            <w:vAlign w:val="center"/>
          </w:tcPr>
          <w:p w:rsidR="001C49D9" w:rsidRPr="00C77CA2" w:rsidRDefault="0055505C" w:rsidP="0055505C">
            <w:pPr>
              <w:jc w:val="center"/>
              <w:rPr>
                <w:bCs/>
              </w:rPr>
            </w:pPr>
            <w:r>
              <w:rPr>
                <w:bCs/>
              </w:rPr>
              <w:t xml:space="preserve">Daniel </w:t>
            </w:r>
            <w:proofErr w:type="spellStart"/>
            <w:r>
              <w:rPr>
                <w:bCs/>
              </w:rPr>
              <w:t>Samaila</w:t>
            </w:r>
            <w:proofErr w:type="spellEnd"/>
            <w:r>
              <w:rPr>
                <w:bCs/>
              </w:rPr>
              <w:t>, H</w:t>
            </w:r>
            <w:r w:rsidR="00F77FD5">
              <w:rPr>
                <w:bCs/>
              </w:rPr>
              <w:t>(ASCP)</w:t>
            </w:r>
            <w:r w:rsidR="00F95946">
              <w:rPr>
                <w:bCs/>
              </w:rPr>
              <w:t>, MS</w:t>
            </w:r>
          </w:p>
        </w:tc>
        <w:tc>
          <w:tcPr>
            <w:tcW w:w="3672" w:type="dxa"/>
            <w:vAlign w:val="center"/>
          </w:tcPr>
          <w:p w:rsidR="001C49D9" w:rsidRPr="00C77CA2" w:rsidRDefault="001C49D9" w:rsidP="002C2B98">
            <w:pPr>
              <w:jc w:val="center"/>
              <w:rPr>
                <w:bCs/>
              </w:rPr>
            </w:pPr>
          </w:p>
        </w:tc>
        <w:tc>
          <w:tcPr>
            <w:tcW w:w="3672" w:type="dxa"/>
          </w:tcPr>
          <w:p w:rsidR="001C49D9" w:rsidRPr="00C77CA2" w:rsidRDefault="001C49D9" w:rsidP="001C49D9">
            <w:pPr>
              <w:jc w:val="center"/>
              <w:rPr>
                <w:bCs/>
                <w:sz w:val="40"/>
                <w:szCs w:val="40"/>
              </w:rPr>
            </w:pPr>
          </w:p>
        </w:tc>
      </w:tr>
    </w:tbl>
    <w:p w:rsidR="001C49D9" w:rsidRDefault="001C49D9" w:rsidP="00A312BF">
      <w:pPr>
        <w:rPr>
          <w:b/>
          <w:bCs/>
          <w:sz w:val="28"/>
          <w:szCs w:val="28"/>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5238"/>
        <w:gridCol w:w="5778"/>
      </w:tblGrid>
      <w:tr w:rsidR="00791611" w:rsidRPr="001C49D9" w:rsidTr="00EC0F8D">
        <w:tc>
          <w:tcPr>
            <w:tcW w:w="5238" w:type="dxa"/>
          </w:tcPr>
          <w:p w:rsidR="00791611" w:rsidRPr="001C49D9" w:rsidRDefault="00791611" w:rsidP="00EC0F8D">
            <w:pPr>
              <w:jc w:val="center"/>
              <w:rPr>
                <w:b/>
                <w:bCs/>
                <w:sz w:val="20"/>
                <w:szCs w:val="20"/>
              </w:rPr>
            </w:pPr>
            <w:r>
              <w:rPr>
                <w:b/>
                <w:bCs/>
                <w:sz w:val="20"/>
                <w:szCs w:val="20"/>
              </w:rPr>
              <w:t>Date Rescinded</w:t>
            </w:r>
          </w:p>
        </w:tc>
        <w:tc>
          <w:tcPr>
            <w:tcW w:w="5778" w:type="dxa"/>
          </w:tcPr>
          <w:p w:rsidR="00791611" w:rsidRPr="001C49D9" w:rsidRDefault="00791611" w:rsidP="00EC0F8D">
            <w:pPr>
              <w:jc w:val="center"/>
              <w:rPr>
                <w:b/>
                <w:bCs/>
                <w:sz w:val="20"/>
                <w:szCs w:val="20"/>
              </w:rPr>
            </w:pPr>
            <w:r>
              <w:rPr>
                <w:b/>
                <w:bCs/>
                <w:sz w:val="20"/>
                <w:szCs w:val="20"/>
              </w:rPr>
              <w:t>Procedure Rescinded</w:t>
            </w:r>
          </w:p>
        </w:tc>
      </w:tr>
      <w:tr w:rsidR="00791611" w:rsidRPr="001C49D9" w:rsidTr="00EC0F8D">
        <w:trPr>
          <w:trHeight w:val="260"/>
        </w:trPr>
        <w:tc>
          <w:tcPr>
            <w:tcW w:w="5238" w:type="dxa"/>
            <w:vAlign w:val="center"/>
          </w:tcPr>
          <w:p w:rsidR="00791611" w:rsidRPr="00C77CA2" w:rsidRDefault="00791611" w:rsidP="00EC0F8D">
            <w:pPr>
              <w:jc w:val="center"/>
              <w:rPr>
                <w:bCs/>
              </w:rPr>
            </w:pPr>
          </w:p>
        </w:tc>
        <w:tc>
          <w:tcPr>
            <w:tcW w:w="5778" w:type="dxa"/>
            <w:vAlign w:val="center"/>
          </w:tcPr>
          <w:p w:rsidR="00791611" w:rsidRPr="0047502E" w:rsidRDefault="0047502E" w:rsidP="00EC0F8D">
            <w:pPr>
              <w:jc w:val="center"/>
              <w:rPr>
                <w:bCs/>
              </w:rPr>
            </w:pPr>
            <w:r w:rsidRPr="0047502E">
              <w:rPr>
                <w:bCs/>
              </w:rPr>
              <w:t>HE 19b</w:t>
            </w:r>
          </w:p>
        </w:tc>
      </w:tr>
    </w:tbl>
    <w:p w:rsidR="008531F7" w:rsidRDefault="008531F7" w:rsidP="00A312BF">
      <w:pPr>
        <w:rPr>
          <w:b/>
          <w:bCs/>
          <w:sz w:val="28"/>
          <w:szCs w:val="28"/>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3672"/>
        <w:gridCol w:w="3672"/>
        <w:gridCol w:w="3672"/>
      </w:tblGrid>
      <w:tr w:rsidR="001C49D9" w:rsidRPr="001C49D9" w:rsidTr="002C2B98">
        <w:tc>
          <w:tcPr>
            <w:tcW w:w="3672" w:type="dxa"/>
          </w:tcPr>
          <w:p w:rsidR="001C49D9" w:rsidRPr="001C49D9" w:rsidRDefault="001C49D9" w:rsidP="001C49D9">
            <w:pPr>
              <w:jc w:val="center"/>
              <w:rPr>
                <w:b/>
                <w:bCs/>
                <w:sz w:val="20"/>
                <w:szCs w:val="20"/>
              </w:rPr>
            </w:pPr>
            <w:r>
              <w:rPr>
                <w:b/>
                <w:bCs/>
                <w:sz w:val="20"/>
                <w:szCs w:val="20"/>
              </w:rPr>
              <w:t>Review Date:</w:t>
            </w:r>
          </w:p>
        </w:tc>
        <w:tc>
          <w:tcPr>
            <w:tcW w:w="3672" w:type="dxa"/>
          </w:tcPr>
          <w:p w:rsidR="001C49D9" w:rsidRPr="001C49D9" w:rsidRDefault="001C49D9" w:rsidP="001C49D9">
            <w:pPr>
              <w:jc w:val="center"/>
              <w:rPr>
                <w:b/>
                <w:bCs/>
                <w:sz w:val="20"/>
                <w:szCs w:val="20"/>
              </w:rPr>
            </w:pPr>
            <w:r>
              <w:rPr>
                <w:b/>
                <w:bCs/>
                <w:sz w:val="20"/>
                <w:szCs w:val="20"/>
              </w:rPr>
              <w:t>Revision Date:</w:t>
            </w:r>
          </w:p>
        </w:tc>
        <w:tc>
          <w:tcPr>
            <w:tcW w:w="3672" w:type="dxa"/>
          </w:tcPr>
          <w:p w:rsidR="001C49D9" w:rsidRPr="001C49D9" w:rsidRDefault="001C49D9" w:rsidP="001C49D9">
            <w:pPr>
              <w:jc w:val="center"/>
              <w:rPr>
                <w:b/>
                <w:bCs/>
                <w:sz w:val="20"/>
                <w:szCs w:val="20"/>
              </w:rPr>
            </w:pPr>
            <w:r>
              <w:rPr>
                <w:b/>
                <w:bCs/>
                <w:sz w:val="20"/>
                <w:szCs w:val="20"/>
              </w:rPr>
              <w:t>Reviewed/Revised by:</w:t>
            </w:r>
          </w:p>
        </w:tc>
      </w:tr>
      <w:tr w:rsidR="001C49D9" w:rsidRPr="001C49D9" w:rsidTr="00C77CA2">
        <w:tc>
          <w:tcPr>
            <w:tcW w:w="3672" w:type="dxa"/>
            <w:vAlign w:val="center"/>
          </w:tcPr>
          <w:p w:rsidR="001C49D9" w:rsidRPr="00C77CA2" w:rsidRDefault="001C49D9" w:rsidP="00C77CA2">
            <w:pPr>
              <w:jc w:val="center"/>
              <w:rPr>
                <w:bCs/>
              </w:rPr>
            </w:pPr>
          </w:p>
        </w:tc>
        <w:tc>
          <w:tcPr>
            <w:tcW w:w="3672" w:type="dxa"/>
          </w:tcPr>
          <w:p w:rsidR="001C49D9" w:rsidRPr="002C2B98" w:rsidRDefault="001C49D9" w:rsidP="001C49D9">
            <w:pPr>
              <w:jc w:val="center"/>
              <w:rPr>
                <w:bCs/>
                <w:sz w:val="40"/>
                <w:szCs w:val="40"/>
              </w:rPr>
            </w:pPr>
          </w:p>
        </w:tc>
        <w:tc>
          <w:tcPr>
            <w:tcW w:w="3672" w:type="dxa"/>
          </w:tcPr>
          <w:p w:rsidR="001C49D9" w:rsidRPr="002C2B98" w:rsidRDefault="001C49D9" w:rsidP="001C49D9">
            <w:pPr>
              <w:jc w:val="center"/>
              <w:rPr>
                <w:bCs/>
                <w:sz w:val="40"/>
                <w:szCs w:val="40"/>
              </w:rPr>
            </w:pPr>
          </w:p>
        </w:tc>
      </w:tr>
      <w:tr w:rsidR="001C49D9" w:rsidRPr="001C49D9" w:rsidTr="00C77CA2">
        <w:tc>
          <w:tcPr>
            <w:tcW w:w="3672" w:type="dxa"/>
            <w:vAlign w:val="center"/>
          </w:tcPr>
          <w:p w:rsidR="001C49D9" w:rsidRPr="00C77CA2" w:rsidRDefault="001C49D9" w:rsidP="00C77CA2">
            <w:pPr>
              <w:jc w:val="center"/>
              <w:rPr>
                <w:bCs/>
              </w:rPr>
            </w:pPr>
          </w:p>
        </w:tc>
        <w:tc>
          <w:tcPr>
            <w:tcW w:w="3672" w:type="dxa"/>
          </w:tcPr>
          <w:p w:rsidR="001C49D9" w:rsidRPr="002C2B98" w:rsidRDefault="001C49D9" w:rsidP="001C49D9">
            <w:pPr>
              <w:jc w:val="center"/>
              <w:rPr>
                <w:bCs/>
                <w:sz w:val="40"/>
                <w:szCs w:val="40"/>
              </w:rPr>
            </w:pPr>
          </w:p>
        </w:tc>
        <w:tc>
          <w:tcPr>
            <w:tcW w:w="3672" w:type="dxa"/>
          </w:tcPr>
          <w:p w:rsidR="001C49D9" w:rsidRPr="002C2B98" w:rsidRDefault="001C49D9" w:rsidP="001C49D9">
            <w:pPr>
              <w:jc w:val="center"/>
              <w:rPr>
                <w:bCs/>
                <w:sz w:val="40"/>
                <w:szCs w:val="40"/>
              </w:rPr>
            </w:pPr>
          </w:p>
        </w:tc>
      </w:tr>
      <w:tr w:rsidR="001C49D9" w:rsidRPr="001C49D9" w:rsidTr="00C77CA2">
        <w:tc>
          <w:tcPr>
            <w:tcW w:w="3672" w:type="dxa"/>
            <w:vAlign w:val="center"/>
          </w:tcPr>
          <w:p w:rsidR="001C49D9" w:rsidRPr="00C77CA2" w:rsidRDefault="001C49D9" w:rsidP="00C77CA2">
            <w:pPr>
              <w:jc w:val="center"/>
              <w:rPr>
                <w:bCs/>
              </w:rPr>
            </w:pPr>
          </w:p>
        </w:tc>
        <w:tc>
          <w:tcPr>
            <w:tcW w:w="3672" w:type="dxa"/>
          </w:tcPr>
          <w:p w:rsidR="001C49D9" w:rsidRPr="002C2B98" w:rsidRDefault="001C49D9" w:rsidP="001C49D9">
            <w:pPr>
              <w:jc w:val="center"/>
              <w:rPr>
                <w:bCs/>
                <w:sz w:val="40"/>
                <w:szCs w:val="40"/>
              </w:rPr>
            </w:pPr>
          </w:p>
        </w:tc>
        <w:tc>
          <w:tcPr>
            <w:tcW w:w="3672" w:type="dxa"/>
          </w:tcPr>
          <w:p w:rsidR="001C49D9" w:rsidRPr="002C2B98" w:rsidRDefault="001C49D9" w:rsidP="001C49D9">
            <w:pPr>
              <w:jc w:val="center"/>
              <w:rPr>
                <w:bCs/>
                <w:sz w:val="40"/>
                <w:szCs w:val="40"/>
              </w:rPr>
            </w:pPr>
          </w:p>
        </w:tc>
      </w:tr>
      <w:tr w:rsidR="001C49D9" w:rsidRPr="001C49D9" w:rsidTr="00C77CA2">
        <w:tc>
          <w:tcPr>
            <w:tcW w:w="3672" w:type="dxa"/>
            <w:vAlign w:val="center"/>
          </w:tcPr>
          <w:p w:rsidR="001C49D9" w:rsidRPr="00C77CA2" w:rsidRDefault="001C49D9" w:rsidP="00C77CA2">
            <w:pPr>
              <w:jc w:val="center"/>
              <w:rPr>
                <w:bCs/>
              </w:rPr>
            </w:pPr>
          </w:p>
        </w:tc>
        <w:tc>
          <w:tcPr>
            <w:tcW w:w="3672" w:type="dxa"/>
          </w:tcPr>
          <w:p w:rsidR="001C49D9" w:rsidRPr="002C2B98" w:rsidRDefault="001C49D9" w:rsidP="001C49D9">
            <w:pPr>
              <w:jc w:val="center"/>
              <w:rPr>
                <w:bCs/>
                <w:sz w:val="40"/>
                <w:szCs w:val="40"/>
              </w:rPr>
            </w:pPr>
          </w:p>
        </w:tc>
        <w:tc>
          <w:tcPr>
            <w:tcW w:w="3672" w:type="dxa"/>
          </w:tcPr>
          <w:p w:rsidR="001C49D9" w:rsidRPr="002C2B98" w:rsidRDefault="001C49D9" w:rsidP="001C49D9">
            <w:pPr>
              <w:jc w:val="center"/>
              <w:rPr>
                <w:bCs/>
                <w:sz w:val="40"/>
                <w:szCs w:val="40"/>
              </w:rPr>
            </w:pPr>
          </w:p>
        </w:tc>
      </w:tr>
      <w:tr w:rsidR="001C49D9" w:rsidRPr="001C49D9" w:rsidTr="00C77CA2">
        <w:tc>
          <w:tcPr>
            <w:tcW w:w="3672" w:type="dxa"/>
            <w:vAlign w:val="center"/>
          </w:tcPr>
          <w:p w:rsidR="001C49D9" w:rsidRPr="00C77CA2" w:rsidRDefault="001C49D9" w:rsidP="00C77CA2">
            <w:pPr>
              <w:jc w:val="center"/>
              <w:rPr>
                <w:bCs/>
              </w:rPr>
            </w:pPr>
          </w:p>
        </w:tc>
        <w:tc>
          <w:tcPr>
            <w:tcW w:w="3672" w:type="dxa"/>
          </w:tcPr>
          <w:p w:rsidR="001C49D9" w:rsidRPr="002C2B98" w:rsidRDefault="001C49D9" w:rsidP="001C49D9">
            <w:pPr>
              <w:jc w:val="center"/>
              <w:rPr>
                <w:bCs/>
                <w:sz w:val="40"/>
                <w:szCs w:val="40"/>
              </w:rPr>
            </w:pPr>
          </w:p>
        </w:tc>
        <w:tc>
          <w:tcPr>
            <w:tcW w:w="3672" w:type="dxa"/>
          </w:tcPr>
          <w:p w:rsidR="001C49D9" w:rsidRPr="002C2B98" w:rsidRDefault="001C49D9" w:rsidP="001C49D9">
            <w:pPr>
              <w:jc w:val="center"/>
              <w:rPr>
                <w:bCs/>
                <w:sz w:val="40"/>
                <w:szCs w:val="40"/>
              </w:rPr>
            </w:pPr>
          </w:p>
        </w:tc>
      </w:tr>
      <w:tr w:rsidR="0072058A" w:rsidRPr="001C49D9" w:rsidTr="00C77CA2">
        <w:tc>
          <w:tcPr>
            <w:tcW w:w="3672" w:type="dxa"/>
            <w:vAlign w:val="center"/>
          </w:tcPr>
          <w:p w:rsidR="0072058A" w:rsidRPr="00C77CA2" w:rsidRDefault="0072058A" w:rsidP="00C77CA2">
            <w:pPr>
              <w:jc w:val="center"/>
              <w:rPr>
                <w:bCs/>
              </w:rPr>
            </w:pPr>
          </w:p>
        </w:tc>
        <w:tc>
          <w:tcPr>
            <w:tcW w:w="3672" w:type="dxa"/>
          </w:tcPr>
          <w:p w:rsidR="0072058A" w:rsidRPr="002C2B98" w:rsidRDefault="0072058A" w:rsidP="001C49D9">
            <w:pPr>
              <w:jc w:val="center"/>
              <w:rPr>
                <w:bCs/>
                <w:sz w:val="40"/>
                <w:szCs w:val="40"/>
              </w:rPr>
            </w:pPr>
          </w:p>
        </w:tc>
        <w:tc>
          <w:tcPr>
            <w:tcW w:w="3672" w:type="dxa"/>
          </w:tcPr>
          <w:p w:rsidR="0072058A" w:rsidRPr="002C2B98" w:rsidRDefault="0072058A" w:rsidP="001C49D9">
            <w:pPr>
              <w:jc w:val="center"/>
              <w:rPr>
                <w:bCs/>
                <w:sz w:val="40"/>
                <w:szCs w:val="40"/>
              </w:rPr>
            </w:pPr>
          </w:p>
        </w:tc>
      </w:tr>
      <w:tr w:rsidR="0072058A" w:rsidRPr="001C49D9" w:rsidTr="00C77CA2">
        <w:tc>
          <w:tcPr>
            <w:tcW w:w="3672" w:type="dxa"/>
            <w:vAlign w:val="center"/>
          </w:tcPr>
          <w:p w:rsidR="0072058A" w:rsidRPr="00C77CA2" w:rsidRDefault="0072058A" w:rsidP="00C77CA2">
            <w:pPr>
              <w:jc w:val="center"/>
              <w:rPr>
                <w:bCs/>
              </w:rPr>
            </w:pPr>
          </w:p>
        </w:tc>
        <w:tc>
          <w:tcPr>
            <w:tcW w:w="3672" w:type="dxa"/>
          </w:tcPr>
          <w:p w:rsidR="0072058A" w:rsidRPr="002C2B98" w:rsidRDefault="0072058A" w:rsidP="001C49D9">
            <w:pPr>
              <w:jc w:val="center"/>
              <w:rPr>
                <w:bCs/>
                <w:sz w:val="40"/>
                <w:szCs w:val="40"/>
              </w:rPr>
            </w:pPr>
          </w:p>
        </w:tc>
        <w:tc>
          <w:tcPr>
            <w:tcW w:w="3672" w:type="dxa"/>
          </w:tcPr>
          <w:p w:rsidR="0072058A" w:rsidRPr="002C2B98" w:rsidRDefault="0072058A" w:rsidP="001C49D9">
            <w:pPr>
              <w:jc w:val="center"/>
              <w:rPr>
                <w:bCs/>
                <w:sz w:val="40"/>
                <w:szCs w:val="40"/>
              </w:rPr>
            </w:pPr>
          </w:p>
        </w:tc>
      </w:tr>
      <w:tr w:rsidR="0072058A" w:rsidRPr="001C49D9" w:rsidTr="00C77CA2">
        <w:tc>
          <w:tcPr>
            <w:tcW w:w="3672" w:type="dxa"/>
            <w:vAlign w:val="center"/>
          </w:tcPr>
          <w:p w:rsidR="0072058A" w:rsidRPr="00C77CA2" w:rsidRDefault="0072058A" w:rsidP="00C77CA2">
            <w:pPr>
              <w:jc w:val="center"/>
              <w:rPr>
                <w:bCs/>
              </w:rPr>
            </w:pPr>
          </w:p>
        </w:tc>
        <w:tc>
          <w:tcPr>
            <w:tcW w:w="3672" w:type="dxa"/>
          </w:tcPr>
          <w:p w:rsidR="0072058A" w:rsidRPr="002C2B98" w:rsidRDefault="0072058A" w:rsidP="001C49D9">
            <w:pPr>
              <w:jc w:val="center"/>
              <w:rPr>
                <w:bCs/>
                <w:sz w:val="40"/>
                <w:szCs w:val="40"/>
              </w:rPr>
            </w:pPr>
          </w:p>
        </w:tc>
        <w:tc>
          <w:tcPr>
            <w:tcW w:w="3672" w:type="dxa"/>
          </w:tcPr>
          <w:p w:rsidR="0072058A" w:rsidRPr="002C2B98" w:rsidRDefault="0072058A" w:rsidP="001C49D9">
            <w:pPr>
              <w:jc w:val="center"/>
              <w:rPr>
                <w:bCs/>
                <w:sz w:val="40"/>
                <w:szCs w:val="40"/>
              </w:rPr>
            </w:pPr>
          </w:p>
        </w:tc>
      </w:tr>
    </w:tbl>
    <w:p w:rsidR="001C49D9" w:rsidRDefault="001C49D9" w:rsidP="00A312BF">
      <w:pPr>
        <w:rPr>
          <w:b/>
          <w:bCs/>
          <w:sz w:val="28"/>
          <w:szCs w:val="28"/>
        </w:rPr>
      </w:pPr>
    </w:p>
    <w:p w:rsidR="0072058A" w:rsidRPr="0072058A" w:rsidRDefault="0072058A" w:rsidP="00A312BF">
      <w:pPr>
        <w:rPr>
          <w:b/>
          <w:bCs/>
          <w:sz w:val="28"/>
          <w:szCs w:val="28"/>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2754"/>
        <w:gridCol w:w="2754"/>
        <w:gridCol w:w="2754"/>
        <w:gridCol w:w="2754"/>
      </w:tblGrid>
      <w:tr w:rsidR="001C49D9" w:rsidRPr="001C49D9" w:rsidTr="002C2B98">
        <w:tc>
          <w:tcPr>
            <w:tcW w:w="2754" w:type="dxa"/>
          </w:tcPr>
          <w:p w:rsidR="001C49D9" w:rsidRPr="001C49D9" w:rsidRDefault="001C49D9" w:rsidP="001C49D9">
            <w:pPr>
              <w:jc w:val="center"/>
              <w:rPr>
                <w:b/>
                <w:bCs/>
                <w:sz w:val="20"/>
                <w:szCs w:val="20"/>
              </w:rPr>
            </w:pPr>
            <w:r>
              <w:rPr>
                <w:b/>
                <w:bCs/>
                <w:sz w:val="20"/>
                <w:szCs w:val="20"/>
              </w:rPr>
              <w:t>Distributed to:</w:t>
            </w:r>
          </w:p>
        </w:tc>
        <w:tc>
          <w:tcPr>
            <w:tcW w:w="2754" w:type="dxa"/>
          </w:tcPr>
          <w:p w:rsidR="001C49D9" w:rsidRPr="001C49D9" w:rsidRDefault="001C49D9" w:rsidP="001C49D9">
            <w:pPr>
              <w:jc w:val="center"/>
              <w:rPr>
                <w:b/>
                <w:bCs/>
                <w:sz w:val="20"/>
                <w:szCs w:val="20"/>
              </w:rPr>
            </w:pPr>
            <w:r>
              <w:rPr>
                <w:b/>
                <w:bCs/>
                <w:sz w:val="20"/>
                <w:szCs w:val="20"/>
              </w:rPr>
              <w:t># of Copies:</w:t>
            </w:r>
          </w:p>
        </w:tc>
        <w:tc>
          <w:tcPr>
            <w:tcW w:w="2754" w:type="dxa"/>
          </w:tcPr>
          <w:p w:rsidR="001C49D9" w:rsidRPr="001C49D9" w:rsidRDefault="001C49D9" w:rsidP="001C49D9">
            <w:pPr>
              <w:jc w:val="center"/>
              <w:rPr>
                <w:b/>
                <w:bCs/>
                <w:sz w:val="20"/>
                <w:szCs w:val="20"/>
              </w:rPr>
            </w:pPr>
            <w:r>
              <w:rPr>
                <w:b/>
                <w:bCs/>
                <w:sz w:val="20"/>
                <w:szCs w:val="20"/>
              </w:rPr>
              <w:t>Distributed to:</w:t>
            </w:r>
          </w:p>
        </w:tc>
        <w:tc>
          <w:tcPr>
            <w:tcW w:w="2754" w:type="dxa"/>
          </w:tcPr>
          <w:p w:rsidR="001C49D9" w:rsidRPr="001C49D9" w:rsidRDefault="001C49D9" w:rsidP="001C49D9">
            <w:pPr>
              <w:jc w:val="center"/>
              <w:rPr>
                <w:b/>
                <w:bCs/>
                <w:sz w:val="20"/>
                <w:szCs w:val="20"/>
              </w:rPr>
            </w:pPr>
            <w:r>
              <w:rPr>
                <w:b/>
                <w:bCs/>
                <w:sz w:val="20"/>
                <w:szCs w:val="20"/>
              </w:rPr>
              <w:t># of Copies:</w:t>
            </w:r>
          </w:p>
        </w:tc>
      </w:tr>
      <w:tr w:rsidR="001C49D9" w:rsidRPr="001C49D9" w:rsidTr="002C2B98">
        <w:tc>
          <w:tcPr>
            <w:tcW w:w="2754" w:type="dxa"/>
            <w:vAlign w:val="center"/>
          </w:tcPr>
          <w:p w:rsidR="001C49D9" w:rsidRPr="002C2B98" w:rsidRDefault="00F77FD5" w:rsidP="006947C2">
            <w:pPr>
              <w:jc w:val="center"/>
              <w:rPr>
                <w:b/>
                <w:bCs/>
              </w:rPr>
            </w:pPr>
            <w:proofErr w:type="spellStart"/>
            <w:r>
              <w:rPr>
                <w:b/>
                <w:bCs/>
              </w:rPr>
              <w:t>Heme</w:t>
            </w:r>
            <w:proofErr w:type="spellEnd"/>
            <w:r>
              <w:rPr>
                <w:b/>
                <w:bCs/>
              </w:rPr>
              <w:t xml:space="preserve"> Lab</w:t>
            </w:r>
          </w:p>
        </w:tc>
        <w:tc>
          <w:tcPr>
            <w:tcW w:w="2754" w:type="dxa"/>
            <w:vAlign w:val="center"/>
          </w:tcPr>
          <w:p w:rsidR="001C49D9" w:rsidRPr="002C2B98" w:rsidRDefault="006947C2" w:rsidP="002C2B98">
            <w:pPr>
              <w:jc w:val="center"/>
              <w:rPr>
                <w:b/>
                <w:bCs/>
              </w:rPr>
            </w:pPr>
            <w:r>
              <w:rPr>
                <w:b/>
                <w:bCs/>
              </w:rPr>
              <w:t>1</w:t>
            </w:r>
          </w:p>
        </w:tc>
        <w:tc>
          <w:tcPr>
            <w:tcW w:w="2754" w:type="dxa"/>
          </w:tcPr>
          <w:p w:rsidR="001C49D9" w:rsidRPr="002C2B98" w:rsidRDefault="001C49D9" w:rsidP="001C49D9">
            <w:pPr>
              <w:jc w:val="center"/>
              <w:rPr>
                <w:b/>
                <w:bCs/>
                <w:sz w:val="40"/>
                <w:szCs w:val="40"/>
              </w:rPr>
            </w:pPr>
          </w:p>
        </w:tc>
        <w:tc>
          <w:tcPr>
            <w:tcW w:w="2754" w:type="dxa"/>
          </w:tcPr>
          <w:p w:rsidR="001C49D9" w:rsidRPr="002C2B98" w:rsidRDefault="001C49D9" w:rsidP="001C49D9">
            <w:pPr>
              <w:jc w:val="center"/>
              <w:rPr>
                <w:b/>
                <w:bCs/>
                <w:sz w:val="40"/>
                <w:szCs w:val="40"/>
              </w:rPr>
            </w:pPr>
          </w:p>
        </w:tc>
      </w:tr>
      <w:tr w:rsidR="001C49D9" w:rsidRPr="001C49D9" w:rsidTr="002C2B98">
        <w:tc>
          <w:tcPr>
            <w:tcW w:w="2754" w:type="dxa"/>
            <w:vAlign w:val="center"/>
          </w:tcPr>
          <w:p w:rsidR="001C49D9" w:rsidRPr="002C2B98" w:rsidRDefault="00F77FD5" w:rsidP="002C2B98">
            <w:pPr>
              <w:jc w:val="center"/>
              <w:rPr>
                <w:b/>
                <w:bCs/>
              </w:rPr>
            </w:pPr>
            <w:r>
              <w:rPr>
                <w:b/>
                <w:bCs/>
              </w:rPr>
              <w:t>Stat Lab</w:t>
            </w:r>
          </w:p>
        </w:tc>
        <w:tc>
          <w:tcPr>
            <w:tcW w:w="2754" w:type="dxa"/>
            <w:vAlign w:val="center"/>
          </w:tcPr>
          <w:p w:rsidR="001C49D9" w:rsidRPr="002C2B98" w:rsidRDefault="00F77FD5" w:rsidP="002C2B98">
            <w:pPr>
              <w:jc w:val="center"/>
              <w:rPr>
                <w:b/>
                <w:bCs/>
              </w:rPr>
            </w:pPr>
            <w:r>
              <w:rPr>
                <w:b/>
                <w:bCs/>
              </w:rPr>
              <w:t>1</w:t>
            </w:r>
          </w:p>
        </w:tc>
        <w:tc>
          <w:tcPr>
            <w:tcW w:w="2754" w:type="dxa"/>
          </w:tcPr>
          <w:p w:rsidR="001C49D9" w:rsidRPr="002C2B98" w:rsidRDefault="001C49D9" w:rsidP="001C49D9">
            <w:pPr>
              <w:jc w:val="center"/>
              <w:rPr>
                <w:b/>
                <w:bCs/>
                <w:sz w:val="40"/>
                <w:szCs w:val="40"/>
              </w:rPr>
            </w:pPr>
          </w:p>
        </w:tc>
        <w:tc>
          <w:tcPr>
            <w:tcW w:w="2754" w:type="dxa"/>
          </w:tcPr>
          <w:p w:rsidR="001C49D9" w:rsidRPr="002C2B98" w:rsidRDefault="001C49D9" w:rsidP="001C49D9">
            <w:pPr>
              <w:jc w:val="center"/>
              <w:rPr>
                <w:b/>
                <w:bCs/>
                <w:sz w:val="40"/>
                <w:szCs w:val="40"/>
              </w:rPr>
            </w:pPr>
          </w:p>
        </w:tc>
      </w:tr>
      <w:tr w:rsidR="00DE1D69" w:rsidRPr="001C49D9" w:rsidTr="002C2B98">
        <w:tc>
          <w:tcPr>
            <w:tcW w:w="2754" w:type="dxa"/>
            <w:vAlign w:val="center"/>
          </w:tcPr>
          <w:p w:rsidR="00DE1D69" w:rsidRPr="002C2B98" w:rsidRDefault="00C04FE7" w:rsidP="007437D5">
            <w:pPr>
              <w:jc w:val="center"/>
              <w:rPr>
                <w:b/>
                <w:bCs/>
              </w:rPr>
            </w:pPr>
            <w:r>
              <w:rPr>
                <w:b/>
                <w:bCs/>
              </w:rPr>
              <w:t>Lab Staff</w:t>
            </w:r>
          </w:p>
        </w:tc>
        <w:tc>
          <w:tcPr>
            <w:tcW w:w="2754" w:type="dxa"/>
            <w:vAlign w:val="center"/>
          </w:tcPr>
          <w:p w:rsidR="00DE1D69" w:rsidRPr="001D340D" w:rsidRDefault="00C04FE7" w:rsidP="007437D5">
            <w:pPr>
              <w:jc w:val="center"/>
              <w:rPr>
                <w:b/>
                <w:bCs/>
                <w:sz w:val="20"/>
                <w:szCs w:val="20"/>
              </w:rPr>
            </w:pPr>
            <w:r>
              <w:rPr>
                <w:b/>
                <w:bCs/>
                <w:sz w:val="20"/>
                <w:szCs w:val="20"/>
              </w:rPr>
              <w:t>Via MTS Software</w:t>
            </w:r>
          </w:p>
        </w:tc>
        <w:tc>
          <w:tcPr>
            <w:tcW w:w="2754" w:type="dxa"/>
          </w:tcPr>
          <w:p w:rsidR="00DE1D69" w:rsidRPr="002C2B98" w:rsidRDefault="00DE1D69" w:rsidP="001C49D9">
            <w:pPr>
              <w:jc w:val="center"/>
              <w:rPr>
                <w:b/>
                <w:bCs/>
                <w:sz w:val="40"/>
                <w:szCs w:val="40"/>
              </w:rPr>
            </w:pPr>
          </w:p>
        </w:tc>
        <w:tc>
          <w:tcPr>
            <w:tcW w:w="2754" w:type="dxa"/>
          </w:tcPr>
          <w:p w:rsidR="00DE1D69" w:rsidRPr="002C2B98" w:rsidRDefault="00DE1D69" w:rsidP="001C49D9">
            <w:pPr>
              <w:jc w:val="center"/>
              <w:rPr>
                <w:b/>
                <w:bCs/>
                <w:sz w:val="40"/>
                <w:szCs w:val="40"/>
              </w:rPr>
            </w:pPr>
          </w:p>
        </w:tc>
      </w:tr>
    </w:tbl>
    <w:p w:rsidR="001C49D9" w:rsidRDefault="001C49D9" w:rsidP="00A312BF">
      <w:pPr>
        <w:rPr>
          <w:b/>
          <w:bCs/>
          <w:sz w:val="20"/>
          <w:szCs w:val="20"/>
        </w:rPr>
      </w:pPr>
    </w:p>
    <w:p w:rsidR="0047502E" w:rsidRDefault="0047502E" w:rsidP="00A312BF">
      <w:pPr>
        <w:rPr>
          <w:b/>
          <w:bCs/>
          <w:sz w:val="20"/>
          <w:szCs w:val="20"/>
        </w:rPr>
      </w:pPr>
    </w:p>
    <w:p w:rsidR="0047502E" w:rsidRDefault="0047502E" w:rsidP="00A312BF">
      <w:pPr>
        <w:rPr>
          <w:b/>
          <w:bCs/>
          <w:sz w:val="20"/>
          <w:szCs w:val="20"/>
        </w:rPr>
      </w:pPr>
    </w:p>
    <w:p w:rsidR="0047502E" w:rsidRDefault="0047502E" w:rsidP="00A312BF">
      <w:pPr>
        <w:rPr>
          <w:b/>
          <w:bCs/>
          <w:sz w:val="20"/>
          <w:szCs w:val="20"/>
        </w:rPr>
      </w:pPr>
    </w:p>
    <w:p w:rsidR="0047502E" w:rsidRDefault="0047502E" w:rsidP="00A312BF">
      <w:pPr>
        <w:rPr>
          <w:b/>
          <w:bCs/>
          <w:sz w:val="20"/>
          <w:szCs w:val="20"/>
        </w:rPr>
      </w:pPr>
    </w:p>
    <w:p w:rsidR="0047502E" w:rsidRDefault="0047502E" w:rsidP="00A312BF">
      <w:pPr>
        <w:rPr>
          <w:b/>
          <w:bCs/>
          <w:sz w:val="20"/>
          <w:szCs w:val="20"/>
        </w:rPr>
      </w:pPr>
    </w:p>
    <w:p w:rsidR="0047502E" w:rsidRDefault="0047502E" w:rsidP="00A312BF">
      <w:pPr>
        <w:rPr>
          <w:b/>
          <w:bCs/>
          <w:sz w:val="20"/>
          <w:szCs w:val="20"/>
        </w:rPr>
      </w:pPr>
    </w:p>
    <w:p w:rsidR="0047502E" w:rsidRDefault="0047502E" w:rsidP="00A312BF">
      <w:pPr>
        <w:rPr>
          <w:b/>
          <w:bCs/>
          <w:sz w:val="20"/>
          <w:szCs w:val="20"/>
        </w:rPr>
      </w:pPr>
    </w:p>
    <w:p w:rsidR="0047502E" w:rsidRDefault="0047502E" w:rsidP="00A312BF">
      <w:pPr>
        <w:rPr>
          <w:b/>
          <w:bCs/>
          <w:sz w:val="20"/>
          <w:szCs w:val="20"/>
        </w:rPr>
      </w:pPr>
    </w:p>
    <w:p w:rsidR="006C1E2F" w:rsidRDefault="006C1E2F" w:rsidP="00A312BF">
      <w:pPr>
        <w:rPr>
          <w:b/>
          <w:bCs/>
          <w:sz w:val="20"/>
          <w:szCs w:val="20"/>
        </w:rPr>
      </w:pPr>
    </w:p>
    <w:p w:rsidR="006C1E2F" w:rsidRDefault="006C1E2F" w:rsidP="00A312BF">
      <w:pPr>
        <w:rPr>
          <w:b/>
          <w:bCs/>
          <w:sz w:val="20"/>
          <w:szCs w:val="20"/>
        </w:rPr>
      </w:pPr>
    </w:p>
    <w:p w:rsidR="006C1E2F" w:rsidRDefault="006C1E2F" w:rsidP="00A312BF">
      <w:pPr>
        <w:rPr>
          <w:b/>
          <w:bCs/>
          <w:sz w:val="20"/>
          <w:szCs w:val="20"/>
        </w:rPr>
      </w:pPr>
    </w:p>
    <w:p w:rsidR="0047502E" w:rsidRDefault="0047502E" w:rsidP="00A312BF">
      <w:pPr>
        <w:rPr>
          <w:b/>
          <w:bCs/>
          <w:sz w:val="20"/>
          <w:szCs w:val="20"/>
        </w:rPr>
      </w:pPr>
    </w:p>
    <w:p w:rsidR="0047502E" w:rsidRDefault="0047502E" w:rsidP="00A312BF">
      <w:pPr>
        <w:rPr>
          <w:b/>
          <w:bCs/>
          <w:sz w:val="20"/>
          <w:szCs w:val="20"/>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5508"/>
        <w:gridCol w:w="2754"/>
        <w:gridCol w:w="2754"/>
      </w:tblGrid>
      <w:tr w:rsidR="0047502E" w:rsidTr="00841492">
        <w:trPr>
          <w:trHeight w:val="323"/>
        </w:trPr>
        <w:tc>
          <w:tcPr>
            <w:tcW w:w="5508" w:type="dxa"/>
            <w:vMerge w:val="restart"/>
            <w:vAlign w:val="center"/>
          </w:tcPr>
          <w:p w:rsidR="0047502E" w:rsidRPr="00660B52" w:rsidRDefault="0047502E" w:rsidP="00841492">
            <w:pPr>
              <w:jc w:val="center"/>
              <w:rPr>
                <w:b/>
                <w:bCs/>
                <w:sz w:val="28"/>
                <w:szCs w:val="28"/>
              </w:rPr>
            </w:pPr>
            <w:r w:rsidRPr="0047502E">
              <w:rPr>
                <w:b/>
                <w:bCs/>
                <w:sz w:val="28"/>
                <w:szCs w:val="28"/>
              </w:rPr>
              <w:lastRenderedPageBreak/>
              <w:t>Prothrombin Time (PT) on ACLTOP 350 Analyzer</w:t>
            </w:r>
          </w:p>
        </w:tc>
        <w:tc>
          <w:tcPr>
            <w:tcW w:w="2754" w:type="dxa"/>
            <w:vAlign w:val="center"/>
          </w:tcPr>
          <w:p w:rsidR="0047502E" w:rsidRPr="00660B52" w:rsidRDefault="0047502E" w:rsidP="00841492">
            <w:pPr>
              <w:jc w:val="right"/>
              <w:rPr>
                <w:bCs/>
                <w:i/>
                <w:sz w:val="20"/>
                <w:szCs w:val="20"/>
              </w:rPr>
            </w:pPr>
            <w:r>
              <w:rPr>
                <w:bCs/>
                <w:i/>
                <w:sz w:val="20"/>
                <w:szCs w:val="20"/>
              </w:rPr>
              <w:t>Procedure #:</w:t>
            </w:r>
          </w:p>
        </w:tc>
        <w:tc>
          <w:tcPr>
            <w:tcW w:w="2754" w:type="dxa"/>
            <w:vAlign w:val="center"/>
          </w:tcPr>
          <w:p w:rsidR="0047502E" w:rsidRPr="007B0096" w:rsidRDefault="0047502E" w:rsidP="00841492">
            <w:pPr>
              <w:rPr>
                <w:b/>
                <w:bCs/>
                <w:i/>
                <w:sz w:val="20"/>
                <w:szCs w:val="20"/>
              </w:rPr>
            </w:pPr>
            <w:r w:rsidRPr="00F95946">
              <w:rPr>
                <w:b/>
                <w:bCs/>
                <w:i/>
                <w:sz w:val="20"/>
                <w:szCs w:val="20"/>
              </w:rPr>
              <w:t>HCO# 210</w:t>
            </w:r>
          </w:p>
        </w:tc>
      </w:tr>
      <w:tr w:rsidR="0047502E" w:rsidTr="00841492">
        <w:trPr>
          <w:trHeight w:val="322"/>
        </w:trPr>
        <w:tc>
          <w:tcPr>
            <w:tcW w:w="5508" w:type="dxa"/>
            <w:vMerge/>
          </w:tcPr>
          <w:p w:rsidR="0047502E" w:rsidRDefault="0047502E" w:rsidP="00841492">
            <w:pPr>
              <w:jc w:val="center"/>
              <w:rPr>
                <w:b/>
                <w:bCs/>
                <w:sz w:val="28"/>
                <w:szCs w:val="28"/>
              </w:rPr>
            </w:pPr>
          </w:p>
        </w:tc>
        <w:tc>
          <w:tcPr>
            <w:tcW w:w="2754" w:type="dxa"/>
            <w:vAlign w:val="center"/>
          </w:tcPr>
          <w:p w:rsidR="0047502E" w:rsidRPr="00660B52" w:rsidRDefault="0047502E" w:rsidP="00841492">
            <w:pPr>
              <w:jc w:val="right"/>
              <w:rPr>
                <w:bCs/>
                <w:i/>
                <w:sz w:val="20"/>
                <w:szCs w:val="20"/>
              </w:rPr>
            </w:pPr>
            <w:r>
              <w:rPr>
                <w:bCs/>
                <w:i/>
                <w:sz w:val="20"/>
                <w:szCs w:val="20"/>
              </w:rPr>
              <w:t>Version #:</w:t>
            </w:r>
          </w:p>
        </w:tc>
        <w:tc>
          <w:tcPr>
            <w:tcW w:w="2754" w:type="dxa"/>
            <w:vAlign w:val="center"/>
          </w:tcPr>
          <w:p w:rsidR="0047502E" w:rsidRPr="007B0096" w:rsidRDefault="0047502E" w:rsidP="00841492">
            <w:pPr>
              <w:rPr>
                <w:b/>
                <w:bCs/>
                <w:i/>
                <w:sz w:val="20"/>
                <w:szCs w:val="20"/>
              </w:rPr>
            </w:pPr>
            <w:r>
              <w:rPr>
                <w:b/>
                <w:bCs/>
                <w:i/>
                <w:sz w:val="20"/>
                <w:szCs w:val="20"/>
              </w:rPr>
              <w:t>1.0</w:t>
            </w:r>
          </w:p>
        </w:tc>
      </w:tr>
    </w:tbl>
    <w:p w:rsidR="0047502E" w:rsidRDefault="0047502E" w:rsidP="00A312BF">
      <w:pPr>
        <w:rPr>
          <w:b/>
          <w:bCs/>
          <w:sz w:val="20"/>
          <w:szCs w:val="20"/>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2988"/>
        <w:gridCol w:w="3060"/>
        <w:gridCol w:w="1980"/>
        <w:gridCol w:w="2988"/>
      </w:tblGrid>
      <w:tr w:rsidR="0047502E" w:rsidRPr="001C49D9" w:rsidTr="00841492">
        <w:trPr>
          <w:trHeight w:val="926"/>
        </w:trPr>
        <w:tc>
          <w:tcPr>
            <w:tcW w:w="11016" w:type="dxa"/>
            <w:gridSpan w:val="4"/>
          </w:tcPr>
          <w:p w:rsidR="0047502E" w:rsidRDefault="0047502E" w:rsidP="00841492">
            <w:pPr>
              <w:rPr>
                <w:b/>
                <w:bCs/>
              </w:rPr>
            </w:pPr>
          </w:p>
          <w:p w:rsidR="0047502E" w:rsidRDefault="0047502E" w:rsidP="00841492">
            <w:pPr>
              <w:rPr>
                <w:b/>
                <w:bCs/>
              </w:rPr>
            </w:pPr>
            <w:r w:rsidRPr="00896AC8">
              <w:rPr>
                <w:b/>
                <w:bCs/>
              </w:rPr>
              <w:t>“I, the undersigned, do hereby certify that I have read this new/revised procedure. I understand the instructions contained within and have the opportunity for any/all of my questions to be answered by the Hematology Supervisor and/or the Medical Director. I agree to govern myself accordingly.</w:t>
            </w:r>
          </w:p>
          <w:p w:rsidR="0047502E" w:rsidRPr="00896AC8" w:rsidRDefault="0047502E" w:rsidP="00841492">
            <w:pPr>
              <w:rPr>
                <w:b/>
                <w:bCs/>
              </w:rPr>
            </w:pPr>
          </w:p>
        </w:tc>
      </w:tr>
      <w:tr w:rsidR="0047502E" w:rsidRPr="001C49D9" w:rsidTr="00841492">
        <w:tc>
          <w:tcPr>
            <w:tcW w:w="2988" w:type="dxa"/>
          </w:tcPr>
          <w:p w:rsidR="0047502E" w:rsidRPr="00896AC8" w:rsidRDefault="0047502E" w:rsidP="00841492">
            <w:pPr>
              <w:jc w:val="center"/>
              <w:rPr>
                <w:b/>
                <w:bCs/>
              </w:rPr>
            </w:pPr>
            <w:r w:rsidRPr="00896AC8">
              <w:rPr>
                <w:b/>
                <w:bCs/>
              </w:rPr>
              <w:t>Name:</w:t>
            </w:r>
          </w:p>
        </w:tc>
        <w:tc>
          <w:tcPr>
            <w:tcW w:w="3060" w:type="dxa"/>
          </w:tcPr>
          <w:p w:rsidR="0047502E" w:rsidRPr="00896AC8" w:rsidRDefault="0047502E" w:rsidP="00841492">
            <w:pPr>
              <w:jc w:val="center"/>
              <w:rPr>
                <w:b/>
                <w:bCs/>
              </w:rPr>
            </w:pPr>
            <w:r w:rsidRPr="00896AC8">
              <w:rPr>
                <w:b/>
                <w:bCs/>
              </w:rPr>
              <w:t>Signature:</w:t>
            </w:r>
          </w:p>
        </w:tc>
        <w:tc>
          <w:tcPr>
            <w:tcW w:w="1980" w:type="dxa"/>
          </w:tcPr>
          <w:p w:rsidR="0047502E" w:rsidRPr="00896AC8" w:rsidRDefault="0047502E" w:rsidP="00841492">
            <w:pPr>
              <w:jc w:val="center"/>
              <w:rPr>
                <w:b/>
                <w:bCs/>
              </w:rPr>
            </w:pPr>
            <w:r w:rsidRPr="00896AC8">
              <w:rPr>
                <w:b/>
                <w:bCs/>
              </w:rPr>
              <w:t xml:space="preserve">Date Read:         </w:t>
            </w:r>
          </w:p>
        </w:tc>
        <w:tc>
          <w:tcPr>
            <w:tcW w:w="2988" w:type="dxa"/>
          </w:tcPr>
          <w:p w:rsidR="0047502E" w:rsidRPr="00896AC8" w:rsidRDefault="0047502E" w:rsidP="00841492">
            <w:pPr>
              <w:jc w:val="center"/>
              <w:rPr>
                <w:b/>
                <w:bCs/>
              </w:rPr>
            </w:pPr>
            <w:r w:rsidRPr="00896AC8">
              <w:rPr>
                <w:b/>
                <w:bCs/>
              </w:rPr>
              <w:t>Comments/Notes</w:t>
            </w:r>
            <w:r>
              <w:rPr>
                <w:b/>
                <w:bCs/>
              </w:rPr>
              <w:t>:</w:t>
            </w:r>
          </w:p>
        </w:tc>
      </w:tr>
      <w:tr w:rsidR="0047502E" w:rsidRPr="001C49D9" w:rsidTr="00841492">
        <w:tc>
          <w:tcPr>
            <w:tcW w:w="2988" w:type="dxa"/>
            <w:vAlign w:val="center"/>
          </w:tcPr>
          <w:p w:rsidR="0047502E" w:rsidRPr="00C77CA2" w:rsidRDefault="0047502E" w:rsidP="00841492">
            <w:pPr>
              <w:jc w:val="center"/>
              <w:rPr>
                <w:bCs/>
              </w:rPr>
            </w:pPr>
            <w:r>
              <w:rPr>
                <w:bCs/>
              </w:rPr>
              <w:t>Ayd, Brenda</w:t>
            </w:r>
          </w:p>
        </w:tc>
        <w:tc>
          <w:tcPr>
            <w:tcW w:w="3060" w:type="dxa"/>
          </w:tcPr>
          <w:p w:rsidR="0047502E" w:rsidRPr="002C2B98" w:rsidRDefault="0047502E" w:rsidP="00841492">
            <w:pPr>
              <w:jc w:val="center"/>
              <w:rPr>
                <w:bCs/>
                <w:sz w:val="40"/>
                <w:szCs w:val="40"/>
              </w:rPr>
            </w:pPr>
          </w:p>
        </w:tc>
        <w:tc>
          <w:tcPr>
            <w:tcW w:w="1980" w:type="dxa"/>
          </w:tcPr>
          <w:p w:rsidR="0047502E" w:rsidRPr="002C2B98" w:rsidRDefault="0047502E" w:rsidP="00841492">
            <w:pPr>
              <w:jc w:val="center"/>
              <w:rPr>
                <w:bCs/>
                <w:sz w:val="40"/>
                <w:szCs w:val="40"/>
              </w:rPr>
            </w:pPr>
          </w:p>
        </w:tc>
        <w:tc>
          <w:tcPr>
            <w:tcW w:w="2988" w:type="dxa"/>
          </w:tcPr>
          <w:p w:rsidR="0047502E" w:rsidRPr="002C2B98" w:rsidRDefault="0047502E" w:rsidP="00841492">
            <w:pPr>
              <w:jc w:val="center"/>
              <w:rPr>
                <w:bCs/>
                <w:sz w:val="40"/>
                <w:szCs w:val="40"/>
              </w:rPr>
            </w:pPr>
          </w:p>
        </w:tc>
      </w:tr>
      <w:tr w:rsidR="0047502E" w:rsidRPr="001C49D9" w:rsidTr="00841492">
        <w:tc>
          <w:tcPr>
            <w:tcW w:w="2988" w:type="dxa"/>
            <w:vAlign w:val="center"/>
          </w:tcPr>
          <w:p w:rsidR="0047502E" w:rsidRPr="00C77CA2" w:rsidRDefault="0047502E" w:rsidP="00841492">
            <w:pPr>
              <w:jc w:val="center"/>
              <w:rPr>
                <w:bCs/>
              </w:rPr>
            </w:pPr>
            <w:r w:rsidRPr="00206B3F">
              <w:rPr>
                <w:bCs/>
              </w:rPr>
              <w:t>Spence, Kimberly</w:t>
            </w:r>
          </w:p>
        </w:tc>
        <w:tc>
          <w:tcPr>
            <w:tcW w:w="3060" w:type="dxa"/>
          </w:tcPr>
          <w:p w:rsidR="0047502E" w:rsidRPr="002C2B98" w:rsidRDefault="0047502E" w:rsidP="00841492">
            <w:pPr>
              <w:jc w:val="center"/>
              <w:rPr>
                <w:bCs/>
                <w:sz w:val="40"/>
                <w:szCs w:val="40"/>
              </w:rPr>
            </w:pPr>
          </w:p>
        </w:tc>
        <w:tc>
          <w:tcPr>
            <w:tcW w:w="1980" w:type="dxa"/>
          </w:tcPr>
          <w:p w:rsidR="0047502E" w:rsidRPr="002C2B98" w:rsidRDefault="0047502E" w:rsidP="00841492">
            <w:pPr>
              <w:jc w:val="center"/>
              <w:rPr>
                <w:bCs/>
                <w:sz w:val="40"/>
                <w:szCs w:val="40"/>
              </w:rPr>
            </w:pPr>
          </w:p>
        </w:tc>
        <w:tc>
          <w:tcPr>
            <w:tcW w:w="2988" w:type="dxa"/>
          </w:tcPr>
          <w:p w:rsidR="0047502E" w:rsidRPr="002C2B98" w:rsidRDefault="0047502E" w:rsidP="00841492">
            <w:pPr>
              <w:jc w:val="center"/>
              <w:rPr>
                <w:bCs/>
                <w:sz w:val="40"/>
                <w:szCs w:val="40"/>
              </w:rPr>
            </w:pPr>
          </w:p>
        </w:tc>
      </w:tr>
      <w:tr w:rsidR="0047502E" w:rsidRPr="001C49D9" w:rsidTr="00841492">
        <w:tc>
          <w:tcPr>
            <w:tcW w:w="2988" w:type="dxa"/>
            <w:vAlign w:val="center"/>
          </w:tcPr>
          <w:p w:rsidR="0047502E" w:rsidRPr="00C77CA2" w:rsidRDefault="0047502E" w:rsidP="00841492">
            <w:pPr>
              <w:jc w:val="center"/>
              <w:rPr>
                <w:bCs/>
              </w:rPr>
            </w:pPr>
            <w:r w:rsidRPr="00206B3F">
              <w:rPr>
                <w:bCs/>
              </w:rPr>
              <w:t>Adams, Frederick</w:t>
            </w:r>
          </w:p>
        </w:tc>
        <w:tc>
          <w:tcPr>
            <w:tcW w:w="3060" w:type="dxa"/>
          </w:tcPr>
          <w:p w:rsidR="0047502E" w:rsidRPr="002C2B98" w:rsidRDefault="0047502E" w:rsidP="00841492">
            <w:pPr>
              <w:jc w:val="center"/>
              <w:rPr>
                <w:bCs/>
                <w:sz w:val="40"/>
                <w:szCs w:val="40"/>
              </w:rPr>
            </w:pPr>
          </w:p>
        </w:tc>
        <w:tc>
          <w:tcPr>
            <w:tcW w:w="1980" w:type="dxa"/>
          </w:tcPr>
          <w:p w:rsidR="0047502E" w:rsidRPr="002C2B98" w:rsidRDefault="0047502E" w:rsidP="00841492">
            <w:pPr>
              <w:jc w:val="center"/>
              <w:rPr>
                <w:bCs/>
                <w:sz w:val="40"/>
                <w:szCs w:val="40"/>
              </w:rPr>
            </w:pPr>
          </w:p>
        </w:tc>
        <w:tc>
          <w:tcPr>
            <w:tcW w:w="2988" w:type="dxa"/>
          </w:tcPr>
          <w:p w:rsidR="0047502E" w:rsidRPr="002C2B98" w:rsidRDefault="0047502E" w:rsidP="00841492">
            <w:pPr>
              <w:jc w:val="center"/>
              <w:rPr>
                <w:bCs/>
                <w:sz w:val="40"/>
                <w:szCs w:val="40"/>
              </w:rPr>
            </w:pPr>
          </w:p>
        </w:tc>
      </w:tr>
      <w:tr w:rsidR="0047502E" w:rsidRPr="001C49D9" w:rsidTr="00841492">
        <w:tc>
          <w:tcPr>
            <w:tcW w:w="2988" w:type="dxa"/>
            <w:vAlign w:val="center"/>
          </w:tcPr>
          <w:p w:rsidR="0047502E" w:rsidRPr="00C77CA2" w:rsidRDefault="0047502E" w:rsidP="00841492">
            <w:pPr>
              <w:jc w:val="center"/>
              <w:rPr>
                <w:bCs/>
              </w:rPr>
            </w:pPr>
            <w:r w:rsidRPr="00206B3F">
              <w:rPr>
                <w:bCs/>
              </w:rPr>
              <w:t>Doan Chi</w:t>
            </w:r>
          </w:p>
        </w:tc>
        <w:tc>
          <w:tcPr>
            <w:tcW w:w="3060" w:type="dxa"/>
          </w:tcPr>
          <w:p w:rsidR="0047502E" w:rsidRPr="002C2B98" w:rsidRDefault="0047502E" w:rsidP="00841492">
            <w:pPr>
              <w:jc w:val="center"/>
              <w:rPr>
                <w:bCs/>
                <w:sz w:val="40"/>
                <w:szCs w:val="40"/>
              </w:rPr>
            </w:pPr>
          </w:p>
        </w:tc>
        <w:tc>
          <w:tcPr>
            <w:tcW w:w="1980" w:type="dxa"/>
          </w:tcPr>
          <w:p w:rsidR="0047502E" w:rsidRPr="002C2B98" w:rsidRDefault="0047502E" w:rsidP="00841492">
            <w:pPr>
              <w:jc w:val="center"/>
              <w:rPr>
                <w:bCs/>
                <w:sz w:val="40"/>
                <w:szCs w:val="40"/>
              </w:rPr>
            </w:pPr>
          </w:p>
        </w:tc>
        <w:tc>
          <w:tcPr>
            <w:tcW w:w="2988" w:type="dxa"/>
          </w:tcPr>
          <w:p w:rsidR="0047502E" w:rsidRPr="002C2B98" w:rsidRDefault="0047502E" w:rsidP="00841492">
            <w:pPr>
              <w:jc w:val="center"/>
              <w:rPr>
                <w:bCs/>
                <w:sz w:val="40"/>
                <w:szCs w:val="40"/>
              </w:rPr>
            </w:pPr>
          </w:p>
        </w:tc>
      </w:tr>
      <w:tr w:rsidR="0047502E" w:rsidRPr="001C49D9" w:rsidTr="00841492">
        <w:tc>
          <w:tcPr>
            <w:tcW w:w="2988" w:type="dxa"/>
            <w:vAlign w:val="center"/>
          </w:tcPr>
          <w:p w:rsidR="0047502E" w:rsidRPr="00C77CA2" w:rsidRDefault="0047502E" w:rsidP="00841492">
            <w:pPr>
              <w:jc w:val="center"/>
              <w:rPr>
                <w:bCs/>
              </w:rPr>
            </w:pPr>
            <w:r w:rsidRPr="00206B3F">
              <w:rPr>
                <w:bCs/>
              </w:rPr>
              <w:t>Duong, David</w:t>
            </w:r>
          </w:p>
        </w:tc>
        <w:tc>
          <w:tcPr>
            <w:tcW w:w="3060" w:type="dxa"/>
          </w:tcPr>
          <w:p w:rsidR="0047502E" w:rsidRPr="002C2B98" w:rsidRDefault="0047502E" w:rsidP="00841492">
            <w:pPr>
              <w:jc w:val="center"/>
              <w:rPr>
                <w:bCs/>
                <w:sz w:val="40"/>
                <w:szCs w:val="40"/>
              </w:rPr>
            </w:pPr>
          </w:p>
        </w:tc>
        <w:tc>
          <w:tcPr>
            <w:tcW w:w="1980" w:type="dxa"/>
          </w:tcPr>
          <w:p w:rsidR="0047502E" w:rsidRPr="002C2B98" w:rsidRDefault="0047502E" w:rsidP="00841492">
            <w:pPr>
              <w:jc w:val="center"/>
              <w:rPr>
                <w:bCs/>
                <w:sz w:val="40"/>
                <w:szCs w:val="40"/>
              </w:rPr>
            </w:pPr>
          </w:p>
        </w:tc>
        <w:tc>
          <w:tcPr>
            <w:tcW w:w="2988" w:type="dxa"/>
          </w:tcPr>
          <w:p w:rsidR="0047502E" w:rsidRPr="002C2B98" w:rsidRDefault="0047502E" w:rsidP="00841492">
            <w:pPr>
              <w:jc w:val="center"/>
              <w:rPr>
                <w:bCs/>
                <w:sz w:val="40"/>
                <w:szCs w:val="40"/>
              </w:rPr>
            </w:pPr>
          </w:p>
        </w:tc>
      </w:tr>
      <w:tr w:rsidR="0047502E" w:rsidRPr="001C49D9" w:rsidTr="00841492">
        <w:tc>
          <w:tcPr>
            <w:tcW w:w="2988" w:type="dxa"/>
            <w:vAlign w:val="center"/>
          </w:tcPr>
          <w:p w:rsidR="0047502E" w:rsidRPr="00C77CA2" w:rsidRDefault="0047502E" w:rsidP="00841492">
            <w:pPr>
              <w:jc w:val="center"/>
              <w:rPr>
                <w:bCs/>
              </w:rPr>
            </w:pPr>
            <w:r>
              <w:rPr>
                <w:bCs/>
              </w:rPr>
              <w:t>Lee, Jae</w:t>
            </w:r>
          </w:p>
        </w:tc>
        <w:tc>
          <w:tcPr>
            <w:tcW w:w="3060" w:type="dxa"/>
          </w:tcPr>
          <w:p w:rsidR="0047502E" w:rsidRPr="002C2B98" w:rsidRDefault="0047502E" w:rsidP="00841492">
            <w:pPr>
              <w:jc w:val="center"/>
              <w:rPr>
                <w:bCs/>
                <w:sz w:val="40"/>
                <w:szCs w:val="40"/>
              </w:rPr>
            </w:pPr>
          </w:p>
        </w:tc>
        <w:tc>
          <w:tcPr>
            <w:tcW w:w="1980" w:type="dxa"/>
          </w:tcPr>
          <w:p w:rsidR="0047502E" w:rsidRPr="002C2B98" w:rsidRDefault="0047502E" w:rsidP="00841492">
            <w:pPr>
              <w:jc w:val="center"/>
              <w:rPr>
                <w:bCs/>
                <w:sz w:val="40"/>
                <w:szCs w:val="40"/>
              </w:rPr>
            </w:pPr>
          </w:p>
        </w:tc>
        <w:tc>
          <w:tcPr>
            <w:tcW w:w="2988" w:type="dxa"/>
          </w:tcPr>
          <w:p w:rsidR="0047502E" w:rsidRPr="002C2B98" w:rsidRDefault="0047502E" w:rsidP="00841492">
            <w:pPr>
              <w:jc w:val="center"/>
              <w:rPr>
                <w:bCs/>
                <w:sz w:val="40"/>
                <w:szCs w:val="40"/>
              </w:rPr>
            </w:pPr>
          </w:p>
        </w:tc>
      </w:tr>
      <w:tr w:rsidR="0047502E" w:rsidRPr="001C49D9" w:rsidTr="00841492">
        <w:tc>
          <w:tcPr>
            <w:tcW w:w="2988" w:type="dxa"/>
            <w:vAlign w:val="center"/>
          </w:tcPr>
          <w:p w:rsidR="0047502E" w:rsidRPr="00C77CA2" w:rsidRDefault="0047502E" w:rsidP="00841492">
            <w:pPr>
              <w:jc w:val="center"/>
              <w:rPr>
                <w:bCs/>
              </w:rPr>
            </w:pPr>
            <w:proofErr w:type="spellStart"/>
            <w:r>
              <w:rPr>
                <w:bCs/>
              </w:rPr>
              <w:t>Percell</w:t>
            </w:r>
            <w:proofErr w:type="spellEnd"/>
            <w:r>
              <w:rPr>
                <w:bCs/>
              </w:rPr>
              <w:t>, Sandra</w:t>
            </w:r>
          </w:p>
        </w:tc>
        <w:tc>
          <w:tcPr>
            <w:tcW w:w="3060" w:type="dxa"/>
          </w:tcPr>
          <w:p w:rsidR="0047502E" w:rsidRPr="002C2B98" w:rsidRDefault="0047502E" w:rsidP="00841492">
            <w:pPr>
              <w:jc w:val="center"/>
              <w:rPr>
                <w:bCs/>
                <w:sz w:val="40"/>
                <w:szCs w:val="40"/>
              </w:rPr>
            </w:pPr>
          </w:p>
        </w:tc>
        <w:tc>
          <w:tcPr>
            <w:tcW w:w="1980" w:type="dxa"/>
          </w:tcPr>
          <w:p w:rsidR="0047502E" w:rsidRPr="002C2B98" w:rsidRDefault="0047502E" w:rsidP="00841492">
            <w:pPr>
              <w:jc w:val="center"/>
              <w:rPr>
                <w:bCs/>
                <w:sz w:val="40"/>
                <w:szCs w:val="40"/>
              </w:rPr>
            </w:pPr>
          </w:p>
        </w:tc>
        <w:tc>
          <w:tcPr>
            <w:tcW w:w="2988" w:type="dxa"/>
          </w:tcPr>
          <w:p w:rsidR="0047502E" w:rsidRPr="002C2B98" w:rsidRDefault="0047502E" w:rsidP="00841492">
            <w:pPr>
              <w:jc w:val="center"/>
              <w:rPr>
                <w:bCs/>
                <w:sz w:val="40"/>
                <w:szCs w:val="40"/>
              </w:rPr>
            </w:pPr>
          </w:p>
        </w:tc>
      </w:tr>
      <w:tr w:rsidR="0047502E" w:rsidRPr="001C49D9" w:rsidTr="00841492">
        <w:tc>
          <w:tcPr>
            <w:tcW w:w="2988" w:type="dxa"/>
            <w:vAlign w:val="center"/>
          </w:tcPr>
          <w:p w:rsidR="0047502E" w:rsidRPr="00C77CA2" w:rsidRDefault="0047502E" w:rsidP="00841492">
            <w:pPr>
              <w:jc w:val="center"/>
              <w:rPr>
                <w:bCs/>
              </w:rPr>
            </w:pPr>
            <w:proofErr w:type="spellStart"/>
            <w:r>
              <w:rPr>
                <w:bCs/>
              </w:rPr>
              <w:t>Poehlman</w:t>
            </w:r>
            <w:proofErr w:type="spellEnd"/>
            <w:r>
              <w:rPr>
                <w:bCs/>
              </w:rPr>
              <w:t>, Sheila</w:t>
            </w:r>
          </w:p>
        </w:tc>
        <w:tc>
          <w:tcPr>
            <w:tcW w:w="3060" w:type="dxa"/>
          </w:tcPr>
          <w:p w:rsidR="0047502E" w:rsidRPr="002C2B98" w:rsidRDefault="0047502E" w:rsidP="00841492">
            <w:pPr>
              <w:jc w:val="center"/>
              <w:rPr>
                <w:bCs/>
                <w:sz w:val="40"/>
                <w:szCs w:val="40"/>
              </w:rPr>
            </w:pPr>
          </w:p>
        </w:tc>
        <w:tc>
          <w:tcPr>
            <w:tcW w:w="1980" w:type="dxa"/>
          </w:tcPr>
          <w:p w:rsidR="0047502E" w:rsidRPr="002C2B98" w:rsidRDefault="0047502E" w:rsidP="00841492">
            <w:pPr>
              <w:jc w:val="center"/>
              <w:rPr>
                <w:bCs/>
                <w:sz w:val="40"/>
                <w:szCs w:val="40"/>
              </w:rPr>
            </w:pPr>
          </w:p>
        </w:tc>
        <w:tc>
          <w:tcPr>
            <w:tcW w:w="2988" w:type="dxa"/>
          </w:tcPr>
          <w:p w:rsidR="0047502E" w:rsidRPr="002C2B98" w:rsidRDefault="0047502E" w:rsidP="00841492">
            <w:pPr>
              <w:jc w:val="center"/>
              <w:rPr>
                <w:bCs/>
                <w:sz w:val="40"/>
                <w:szCs w:val="40"/>
              </w:rPr>
            </w:pPr>
          </w:p>
        </w:tc>
      </w:tr>
      <w:tr w:rsidR="0047502E" w:rsidRPr="001C49D9" w:rsidTr="00841492">
        <w:tc>
          <w:tcPr>
            <w:tcW w:w="2988" w:type="dxa"/>
            <w:vAlign w:val="center"/>
          </w:tcPr>
          <w:p w:rsidR="0047502E" w:rsidRPr="00C77CA2" w:rsidRDefault="0047502E" w:rsidP="00841492">
            <w:pPr>
              <w:jc w:val="center"/>
              <w:rPr>
                <w:bCs/>
              </w:rPr>
            </w:pPr>
            <w:r>
              <w:rPr>
                <w:bCs/>
              </w:rPr>
              <w:t xml:space="preserve">Ramiro, </w:t>
            </w:r>
            <w:proofErr w:type="spellStart"/>
            <w:r>
              <w:rPr>
                <w:bCs/>
              </w:rPr>
              <w:t>Florita</w:t>
            </w:r>
            <w:proofErr w:type="spellEnd"/>
          </w:p>
        </w:tc>
        <w:tc>
          <w:tcPr>
            <w:tcW w:w="3060" w:type="dxa"/>
          </w:tcPr>
          <w:p w:rsidR="0047502E" w:rsidRPr="002C2B98" w:rsidRDefault="0047502E" w:rsidP="00841492">
            <w:pPr>
              <w:jc w:val="center"/>
              <w:rPr>
                <w:bCs/>
                <w:sz w:val="40"/>
                <w:szCs w:val="40"/>
              </w:rPr>
            </w:pPr>
          </w:p>
        </w:tc>
        <w:tc>
          <w:tcPr>
            <w:tcW w:w="1980" w:type="dxa"/>
          </w:tcPr>
          <w:p w:rsidR="0047502E" w:rsidRPr="002C2B98" w:rsidRDefault="0047502E" w:rsidP="00841492">
            <w:pPr>
              <w:jc w:val="center"/>
              <w:rPr>
                <w:bCs/>
                <w:sz w:val="40"/>
                <w:szCs w:val="40"/>
              </w:rPr>
            </w:pPr>
          </w:p>
        </w:tc>
        <w:tc>
          <w:tcPr>
            <w:tcW w:w="2988" w:type="dxa"/>
          </w:tcPr>
          <w:p w:rsidR="0047502E" w:rsidRPr="002C2B98" w:rsidRDefault="0047502E" w:rsidP="00841492">
            <w:pPr>
              <w:jc w:val="center"/>
              <w:rPr>
                <w:bCs/>
                <w:sz w:val="40"/>
                <w:szCs w:val="40"/>
              </w:rPr>
            </w:pPr>
          </w:p>
        </w:tc>
      </w:tr>
      <w:tr w:rsidR="0047502E" w:rsidRPr="001C49D9" w:rsidTr="00841492">
        <w:tc>
          <w:tcPr>
            <w:tcW w:w="2988" w:type="dxa"/>
            <w:vAlign w:val="center"/>
          </w:tcPr>
          <w:p w:rsidR="0047502E" w:rsidRPr="00C77CA2" w:rsidRDefault="0047502E" w:rsidP="00841492">
            <w:pPr>
              <w:jc w:val="center"/>
              <w:rPr>
                <w:bCs/>
              </w:rPr>
            </w:pPr>
            <w:proofErr w:type="spellStart"/>
            <w:r>
              <w:rPr>
                <w:bCs/>
              </w:rPr>
              <w:t>Sahyoun</w:t>
            </w:r>
            <w:proofErr w:type="spellEnd"/>
            <w:r>
              <w:rPr>
                <w:bCs/>
              </w:rPr>
              <w:t>, Diana</w:t>
            </w:r>
          </w:p>
        </w:tc>
        <w:tc>
          <w:tcPr>
            <w:tcW w:w="3060" w:type="dxa"/>
          </w:tcPr>
          <w:p w:rsidR="0047502E" w:rsidRPr="002C2B98" w:rsidRDefault="0047502E" w:rsidP="00841492">
            <w:pPr>
              <w:jc w:val="center"/>
              <w:rPr>
                <w:bCs/>
                <w:sz w:val="40"/>
                <w:szCs w:val="40"/>
              </w:rPr>
            </w:pPr>
          </w:p>
        </w:tc>
        <w:tc>
          <w:tcPr>
            <w:tcW w:w="1980" w:type="dxa"/>
          </w:tcPr>
          <w:p w:rsidR="0047502E" w:rsidRPr="002C2B98" w:rsidRDefault="0047502E" w:rsidP="00841492">
            <w:pPr>
              <w:jc w:val="center"/>
              <w:rPr>
                <w:bCs/>
                <w:sz w:val="40"/>
                <w:szCs w:val="40"/>
              </w:rPr>
            </w:pPr>
          </w:p>
        </w:tc>
        <w:tc>
          <w:tcPr>
            <w:tcW w:w="2988" w:type="dxa"/>
          </w:tcPr>
          <w:p w:rsidR="0047502E" w:rsidRPr="002C2B98" w:rsidRDefault="0047502E" w:rsidP="00841492">
            <w:pPr>
              <w:jc w:val="center"/>
              <w:rPr>
                <w:bCs/>
                <w:sz w:val="40"/>
                <w:szCs w:val="40"/>
              </w:rPr>
            </w:pPr>
          </w:p>
        </w:tc>
      </w:tr>
      <w:tr w:rsidR="0047502E" w:rsidRPr="001C49D9" w:rsidTr="00841492">
        <w:tc>
          <w:tcPr>
            <w:tcW w:w="2988" w:type="dxa"/>
            <w:vAlign w:val="center"/>
          </w:tcPr>
          <w:p w:rsidR="0047502E" w:rsidRPr="00C77CA2" w:rsidRDefault="0047502E" w:rsidP="00841492">
            <w:pPr>
              <w:jc w:val="center"/>
              <w:rPr>
                <w:bCs/>
              </w:rPr>
            </w:pPr>
            <w:r>
              <w:rPr>
                <w:bCs/>
              </w:rPr>
              <w:t>Sheldon, Laura</w:t>
            </w:r>
          </w:p>
        </w:tc>
        <w:tc>
          <w:tcPr>
            <w:tcW w:w="3060" w:type="dxa"/>
          </w:tcPr>
          <w:p w:rsidR="0047502E" w:rsidRPr="002C2B98" w:rsidRDefault="0047502E" w:rsidP="00841492">
            <w:pPr>
              <w:jc w:val="center"/>
              <w:rPr>
                <w:bCs/>
                <w:sz w:val="40"/>
                <w:szCs w:val="40"/>
              </w:rPr>
            </w:pPr>
          </w:p>
        </w:tc>
        <w:tc>
          <w:tcPr>
            <w:tcW w:w="1980" w:type="dxa"/>
          </w:tcPr>
          <w:p w:rsidR="0047502E" w:rsidRPr="002C2B98" w:rsidRDefault="0047502E" w:rsidP="00841492">
            <w:pPr>
              <w:jc w:val="center"/>
              <w:rPr>
                <w:bCs/>
                <w:sz w:val="40"/>
                <w:szCs w:val="40"/>
              </w:rPr>
            </w:pPr>
          </w:p>
        </w:tc>
        <w:tc>
          <w:tcPr>
            <w:tcW w:w="2988" w:type="dxa"/>
          </w:tcPr>
          <w:p w:rsidR="0047502E" w:rsidRPr="002C2B98" w:rsidRDefault="0047502E" w:rsidP="00841492">
            <w:pPr>
              <w:jc w:val="center"/>
              <w:rPr>
                <w:bCs/>
                <w:sz w:val="40"/>
                <w:szCs w:val="40"/>
              </w:rPr>
            </w:pPr>
          </w:p>
        </w:tc>
      </w:tr>
      <w:tr w:rsidR="0047502E" w:rsidRPr="001C49D9" w:rsidTr="00841492">
        <w:tc>
          <w:tcPr>
            <w:tcW w:w="2988" w:type="dxa"/>
            <w:vAlign w:val="center"/>
          </w:tcPr>
          <w:p w:rsidR="0047502E" w:rsidRPr="00C77CA2" w:rsidRDefault="0047502E" w:rsidP="00841492">
            <w:pPr>
              <w:jc w:val="center"/>
              <w:rPr>
                <w:bCs/>
              </w:rPr>
            </w:pPr>
            <w:r>
              <w:rPr>
                <w:bCs/>
              </w:rPr>
              <w:t>Williams, Carol</w:t>
            </w:r>
          </w:p>
        </w:tc>
        <w:tc>
          <w:tcPr>
            <w:tcW w:w="3060" w:type="dxa"/>
          </w:tcPr>
          <w:p w:rsidR="0047502E" w:rsidRPr="002C2B98" w:rsidRDefault="0047502E" w:rsidP="00841492">
            <w:pPr>
              <w:jc w:val="center"/>
              <w:rPr>
                <w:bCs/>
                <w:sz w:val="40"/>
                <w:szCs w:val="40"/>
              </w:rPr>
            </w:pPr>
          </w:p>
        </w:tc>
        <w:tc>
          <w:tcPr>
            <w:tcW w:w="1980" w:type="dxa"/>
          </w:tcPr>
          <w:p w:rsidR="0047502E" w:rsidRPr="002C2B98" w:rsidRDefault="0047502E" w:rsidP="00841492">
            <w:pPr>
              <w:jc w:val="center"/>
              <w:rPr>
                <w:bCs/>
                <w:sz w:val="40"/>
                <w:szCs w:val="40"/>
              </w:rPr>
            </w:pPr>
          </w:p>
        </w:tc>
        <w:tc>
          <w:tcPr>
            <w:tcW w:w="2988" w:type="dxa"/>
          </w:tcPr>
          <w:p w:rsidR="0047502E" w:rsidRPr="002C2B98" w:rsidRDefault="0047502E" w:rsidP="00841492">
            <w:pPr>
              <w:jc w:val="center"/>
              <w:rPr>
                <w:bCs/>
                <w:sz w:val="40"/>
                <w:szCs w:val="40"/>
              </w:rPr>
            </w:pPr>
          </w:p>
        </w:tc>
      </w:tr>
      <w:tr w:rsidR="0047502E" w:rsidRPr="001C49D9" w:rsidTr="00841492">
        <w:tc>
          <w:tcPr>
            <w:tcW w:w="2988" w:type="dxa"/>
            <w:vAlign w:val="center"/>
          </w:tcPr>
          <w:p w:rsidR="0047502E" w:rsidRPr="00C77CA2" w:rsidRDefault="0047502E" w:rsidP="00841492">
            <w:pPr>
              <w:jc w:val="center"/>
              <w:rPr>
                <w:bCs/>
              </w:rPr>
            </w:pPr>
            <w:r>
              <w:rPr>
                <w:bCs/>
              </w:rPr>
              <w:t>Wong, Winnie</w:t>
            </w:r>
          </w:p>
        </w:tc>
        <w:tc>
          <w:tcPr>
            <w:tcW w:w="3060" w:type="dxa"/>
          </w:tcPr>
          <w:p w:rsidR="0047502E" w:rsidRPr="002C2B98" w:rsidRDefault="0047502E" w:rsidP="00841492">
            <w:pPr>
              <w:jc w:val="center"/>
              <w:rPr>
                <w:bCs/>
                <w:sz w:val="40"/>
                <w:szCs w:val="40"/>
              </w:rPr>
            </w:pPr>
          </w:p>
        </w:tc>
        <w:tc>
          <w:tcPr>
            <w:tcW w:w="1980" w:type="dxa"/>
          </w:tcPr>
          <w:p w:rsidR="0047502E" w:rsidRPr="002C2B98" w:rsidRDefault="0047502E" w:rsidP="00841492">
            <w:pPr>
              <w:jc w:val="center"/>
              <w:rPr>
                <w:bCs/>
                <w:sz w:val="40"/>
                <w:szCs w:val="40"/>
              </w:rPr>
            </w:pPr>
          </w:p>
        </w:tc>
        <w:tc>
          <w:tcPr>
            <w:tcW w:w="2988" w:type="dxa"/>
          </w:tcPr>
          <w:p w:rsidR="0047502E" w:rsidRPr="002C2B98" w:rsidRDefault="0047502E" w:rsidP="00841492">
            <w:pPr>
              <w:jc w:val="center"/>
              <w:rPr>
                <w:bCs/>
                <w:sz w:val="40"/>
                <w:szCs w:val="40"/>
              </w:rPr>
            </w:pPr>
          </w:p>
        </w:tc>
      </w:tr>
      <w:tr w:rsidR="0047502E" w:rsidRPr="001C49D9" w:rsidTr="00841492">
        <w:tc>
          <w:tcPr>
            <w:tcW w:w="2988" w:type="dxa"/>
            <w:vAlign w:val="center"/>
          </w:tcPr>
          <w:p w:rsidR="0047502E" w:rsidRPr="00C77CA2" w:rsidRDefault="0047502E" w:rsidP="00841492">
            <w:pPr>
              <w:jc w:val="center"/>
              <w:rPr>
                <w:bCs/>
              </w:rPr>
            </w:pPr>
            <w:r>
              <w:rPr>
                <w:bCs/>
              </w:rPr>
              <w:t>Harrison, Vanessa</w:t>
            </w:r>
          </w:p>
        </w:tc>
        <w:tc>
          <w:tcPr>
            <w:tcW w:w="3060" w:type="dxa"/>
          </w:tcPr>
          <w:p w:rsidR="0047502E" w:rsidRPr="002C2B98" w:rsidRDefault="0047502E" w:rsidP="00841492">
            <w:pPr>
              <w:jc w:val="center"/>
              <w:rPr>
                <w:bCs/>
                <w:sz w:val="40"/>
                <w:szCs w:val="40"/>
              </w:rPr>
            </w:pPr>
          </w:p>
        </w:tc>
        <w:tc>
          <w:tcPr>
            <w:tcW w:w="1980" w:type="dxa"/>
          </w:tcPr>
          <w:p w:rsidR="0047502E" w:rsidRPr="002C2B98" w:rsidRDefault="0047502E" w:rsidP="00841492">
            <w:pPr>
              <w:jc w:val="center"/>
              <w:rPr>
                <w:bCs/>
                <w:sz w:val="40"/>
                <w:szCs w:val="40"/>
              </w:rPr>
            </w:pPr>
          </w:p>
        </w:tc>
        <w:tc>
          <w:tcPr>
            <w:tcW w:w="2988" w:type="dxa"/>
          </w:tcPr>
          <w:p w:rsidR="0047502E" w:rsidRPr="002C2B98" w:rsidRDefault="0047502E" w:rsidP="00841492">
            <w:pPr>
              <w:jc w:val="center"/>
              <w:rPr>
                <w:bCs/>
                <w:sz w:val="40"/>
                <w:szCs w:val="40"/>
              </w:rPr>
            </w:pPr>
          </w:p>
        </w:tc>
      </w:tr>
      <w:tr w:rsidR="0047502E" w:rsidRPr="001C49D9" w:rsidTr="00841492">
        <w:tc>
          <w:tcPr>
            <w:tcW w:w="2988" w:type="dxa"/>
            <w:vAlign w:val="center"/>
          </w:tcPr>
          <w:p w:rsidR="0047502E" w:rsidRPr="00C77CA2" w:rsidRDefault="008A3899" w:rsidP="00841492">
            <w:pPr>
              <w:jc w:val="center"/>
              <w:rPr>
                <w:bCs/>
              </w:rPr>
            </w:pPr>
            <w:r>
              <w:rPr>
                <w:bCs/>
              </w:rPr>
              <w:t>Nguyen, An</w:t>
            </w:r>
          </w:p>
        </w:tc>
        <w:tc>
          <w:tcPr>
            <w:tcW w:w="3060" w:type="dxa"/>
          </w:tcPr>
          <w:p w:rsidR="0047502E" w:rsidRPr="002C2B98" w:rsidRDefault="0047502E" w:rsidP="00841492">
            <w:pPr>
              <w:jc w:val="center"/>
              <w:rPr>
                <w:bCs/>
                <w:sz w:val="40"/>
                <w:szCs w:val="40"/>
              </w:rPr>
            </w:pPr>
          </w:p>
        </w:tc>
        <w:tc>
          <w:tcPr>
            <w:tcW w:w="1980" w:type="dxa"/>
          </w:tcPr>
          <w:p w:rsidR="0047502E" w:rsidRPr="002C2B98" w:rsidRDefault="0047502E" w:rsidP="00841492">
            <w:pPr>
              <w:jc w:val="center"/>
              <w:rPr>
                <w:bCs/>
                <w:sz w:val="40"/>
                <w:szCs w:val="40"/>
              </w:rPr>
            </w:pPr>
          </w:p>
        </w:tc>
        <w:tc>
          <w:tcPr>
            <w:tcW w:w="2988" w:type="dxa"/>
          </w:tcPr>
          <w:p w:rsidR="0047502E" w:rsidRPr="002C2B98" w:rsidRDefault="0047502E" w:rsidP="00841492">
            <w:pPr>
              <w:jc w:val="center"/>
              <w:rPr>
                <w:bCs/>
                <w:sz w:val="40"/>
                <w:szCs w:val="40"/>
              </w:rPr>
            </w:pPr>
          </w:p>
        </w:tc>
      </w:tr>
      <w:tr w:rsidR="0047502E" w:rsidRPr="001C49D9" w:rsidTr="00841492">
        <w:tc>
          <w:tcPr>
            <w:tcW w:w="2988" w:type="dxa"/>
            <w:vAlign w:val="center"/>
          </w:tcPr>
          <w:p w:rsidR="0047502E" w:rsidRPr="00C77CA2" w:rsidRDefault="0047502E" w:rsidP="00841492">
            <w:pPr>
              <w:jc w:val="center"/>
              <w:rPr>
                <w:bCs/>
              </w:rPr>
            </w:pPr>
          </w:p>
        </w:tc>
        <w:tc>
          <w:tcPr>
            <w:tcW w:w="3060" w:type="dxa"/>
          </w:tcPr>
          <w:p w:rsidR="0047502E" w:rsidRPr="002C2B98" w:rsidRDefault="0047502E" w:rsidP="00841492">
            <w:pPr>
              <w:jc w:val="center"/>
              <w:rPr>
                <w:bCs/>
                <w:sz w:val="40"/>
                <w:szCs w:val="40"/>
              </w:rPr>
            </w:pPr>
          </w:p>
        </w:tc>
        <w:tc>
          <w:tcPr>
            <w:tcW w:w="1980" w:type="dxa"/>
          </w:tcPr>
          <w:p w:rsidR="0047502E" w:rsidRPr="002C2B98" w:rsidRDefault="0047502E" w:rsidP="00841492">
            <w:pPr>
              <w:jc w:val="center"/>
              <w:rPr>
                <w:bCs/>
                <w:sz w:val="40"/>
                <w:szCs w:val="40"/>
              </w:rPr>
            </w:pPr>
          </w:p>
        </w:tc>
        <w:tc>
          <w:tcPr>
            <w:tcW w:w="2988" w:type="dxa"/>
          </w:tcPr>
          <w:p w:rsidR="0047502E" w:rsidRPr="002C2B98" w:rsidRDefault="0047502E" w:rsidP="00841492">
            <w:pPr>
              <w:jc w:val="center"/>
              <w:rPr>
                <w:bCs/>
                <w:sz w:val="40"/>
                <w:szCs w:val="40"/>
              </w:rPr>
            </w:pPr>
          </w:p>
        </w:tc>
      </w:tr>
      <w:tr w:rsidR="0047502E" w:rsidRPr="001C49D9" w:rsidTr="00841492">
        <w:tc>
          <w:tcPr>
            <w:tcW w:w="2988" w:type="dxa"/>
            <w:vAlign w:val="center"/>
          </w:tcPr>
          <w:p w:rsidR="0047502E" w:rsidRPr="00C77CA2" w:rsidRDefault="0047502E" w:rsidP="00841492">
            <w:pPr>
              <w:jc w:val="center"/>
              <w:rPr>
                <w:bCs/>
              </w:rPr>
            </w:pPr>
          </w:p>
        </w:tc>
        <w:tc>
          <w:tcPr>
            <w:tcW w:w="3060" w:type="dxa"/>
          </w:tcPr>
          <w:p w:rsidR="0047502E" w:rsidRPr="002C2B98" w:rsidRDefault="0047502E" w:rsidP="00841492">
            <w:pPr>
              <w:jc w:val="center"/>
              <w:rPr>
                <w:bCs/>
                <w:sz w:val="40"/>
                <w:szCs w:val="40"/>
              </w:rPr>
            </w:pPr>
          </w:p>
        </w:tc>
        <w:tc>
          <w:tcPr>
            <w:tcW w:w="1980" w:type="dxa"/>
          </w:tcPr>
          <w:p w:rsidR="0047502E" w:rsidRPr="002C2B98" w:rsidRDefault="0047502E" w:rsidP="00841492">
            <w:pPr>
              <w:jc w:val="center"/>
              <w:rPr>
                <w:bCs/>
                <w:sz w:val="40"/>
                <w:szCs w:val="40"/>
              </w:rPr>
            </w:pPr>
          </w:p>
        </w:tc>
        <w:tc>
          <w:tcPr>
            <w:tcW w:w="2988" w:type="dxa"/>
          </w:tcPr>
          <w:p w:rsidR="0047502E" w:rsidRPr="002C2B98" w:rsidRDefault="0047502E" w:rsidP="00841492">
            <w:pPr>
              <w:jc w:val="center"/>
              <w:rPr>
                <w:bCs/>
                <w:sz w:val="40"/>
                <w:szCs w:val="40"/>
              </w:rPr>
            </w:pPr>
          </w:p>
        </w:tc>
      </w:tr>
      <w:tr w:rsidR="0047502E" w:rsidRPr="001C49D9" w:rsidTr="00841492">
        <w:tc>
          <w:tcPr>
            <w:tcW w:w="2988" w:type="dxa"/>
            <w:vAlign w:val="center"/>
          </w:tcPr>
          <w:p w:rsidR="0047502E" w:rsidRPr="00C77CA2" w:rsidRDefault="0047502E" w:rsidP="00841492">
            <w:pPr>
              <w:jc w:val="center"/>
              <w:rPr>
                <w:bCs/>
              </w:rPr>
            </w:pPr>
          </w:p>
        </w:tc>
        <w:tc>
          <w:tcPr>
            <w:tcW w:w="3060" w:type="dxa"/>
          </w:tcPr>
          <w:p w:rsidR="0047502E" w:rsidRPr="002C2B98" w:rsidRDefault="0047502E" w:rsidP="00841492">
            <w:pPr>
              <w:jc w:val="center"/>
              <w:rPr>
                <w:bCs/>
                <w:sz w:val="40"/>
                <w:szCs w:val="40"/>
              </w:rPr>
            </w:pPr>
          </w:p>
        </w:tc>
        <w:tc>
          <w:tcPr>
            <w:tcW w:w="1980" w:type="dxa"/>
          </w:tcPr>
          <w:p w:rsidR="0047502E" w:rsidRPr="002C2B98" w:rsidRDefault="0047502E" w:rsidP="00841492">
            <w:pPr>
              <w:jc w:val="center"/>
              <w:rPr>
                <w:bCs/>
                <w:sz w:val="40"/>
                <w:szCs w:val="40"/>
              </w:rPr>
            </w:pPr>
          </w:p>
        </w:tc>
        <w:tc>
          <w:tcPr>
            <w:tcW w:w="2988" w:type="dxa"/>
          </w:tcPr>
          <w:p w:rsidR="0047502E" w:rsidRPr="002C2B98" w:rsidRDefault="0047502E" w:rsidP="00841492">
            <w:pPr>
              <w:jc w:val="center"/>
              <w:rPr>
                <w:bCs/>
                <w:sz w:val="40"/>
                <w:szCs w:val="40"/>
              </w:rPr>
            </w:pPr>
          </w:p>
        </w:tc>
      </w:tr>
      <w:tr w:rsidR="0047502E" w:rsidRPr="001C49D9" w:rsidTr="00841492">
        <w:tc>
          <w:tcPr>
            <w:tcW w:w="2988" w:type="dxa"/>
            <w:vAlign w:val="center"/>
          </w:tcPr>
          <w:p w:rsidR="0047502E" w:rsidRPr="00C77CA2" w:rsidRDefault="0047502E" w:rsidP="00841492">
            <w:pPr>
              <w:jc w:val="center"/>
              <w:rPr>
                <w:bCs/>
              </w:rPr>
            </w:pPr>
          </w:p>
        </w:tc>
        <w:tc>
          <w:tcPr>
            <w:tcW w:w="3060" w:type="dxa"/>
          </w:tcPr>
          <w:p w:rsidR="0047502E" w:rsidRPr="002C2B98" w:rsidRDefault="0047502E" w:rsidP="00841492">
            <w:pPr>
              <w:jc w:val="center"/>
              <w:rPr>
                <w:bCs/>
                <w:sz w:val="40"/>
                <w:szCs w:val="40"/>
              </w:rPr>
            </w:pPr>
          </w:p>
        </w:tc>
        <w:tc>
          <w:tcPr>
            <w:tcW w:w="1980" w:type="dxa"/>
          </w:tcPr>
          <w:p w:rsidR="0047502E" w:rsidRPr="002C2B98" w:rsidRDefault="0047502E" w:rsidP="00841492">
            <w:pPr>
              <w:jc w:val="center"/>
              <w:rPr>
                <w:bCs/>
                <w:sz w:val="40"/>
                <w:szCs w:val="40"/>
              </w:rPr>
            </w:pPr>
          </w:p>
        </w:tc>
        <w:tc>
          <w:tcPr>
            <w:tcW w:w="2988" w:type="dxa"/>
          </w:tcPr>
          <w:p w:rsidR="0047502E" w:rsidRPr="002C2B98" w:rsidRDefault="0047502E" w:rsidP="00841492">
            <w:pPr>
              <w:jc w:val="center"/>
              <w:rPr>
                <w:bCs/>
                <w:sz w:val="40"/>
                <w:szCs w:val="40"/>
              </w:rPr>
            </w:pPr>
          </w:p>
        </w:tc>
      </w:tr>
      <w:tr w:rsidR="0047502E" w:rsidRPr="001C49D9" w:rsidTr="00841492">
        <w:tc>
          <w:tcPr>
            <w:tcW w:w="2988" w:type="dxa"/>
            <w:vAlign w:val="center"/>
          </w:tcPr>
          <w:p w:rsidR="0047502E" w:rsidRPr="00C77CA2" w:rsidRDefault="0047502E" w:rsidP="00841492">
            <w:pPr>
              <w:jc w:val="center"/>
              <w:rPr>
                <w:bCs/>
              </w:rPr>
            </w:pPr>
          </w:p>
        </w:tc>
        <w:tc>
          <w:tcPr>
            <w:tcW w:w="3060" w:type="dxa"/>
          </w:tcPr>
          <w:p w:rsidR="0047502E" w:rsidRPr="002C2B98" w:rsidRDefault="0047502E" w:rsidP="00841492">
            <w:pPr>
              <w:jc w:val="center"/>
              <w:rPr>
                <w:bCs/>
                <w:sz w:val="40"/>
                <w:szCs w:val="40"/>
              </w:rPr>
            </w:pPr>
          </w:p>
        </w:tc>
        <w:tc>
          <w:tcPr>
            <w:tcW w:w="1980" w:type="dxa"/>
          </w:tcPr>
          <w:p w:rsidR="0047502E" w:rsidRPr="002C2B98" w:rsidRDefault="0047502E" w:rsidP="00841492">
            <w:pPr>
              <w:jc w:val="center"/>
              <w:rPr>
                <w:bCs/>
                <w:sz w:val="40"/>
                <w:szCs w:val="40"/>
              </w:rPr>
            </w:pPr>
          </w:p>
        </w:tc>
        <w:tc>
          <w:tcPr>
            <w:tcW w:w="2988" w:type="dxa"/>
          </w:tcPr>
          <w:p w:rsidR="0047502E" w:rsidRPr="002C2B98" w:rsidRDefault="0047502E" w:rsidP="00841492">
            <w:pPr>
              <w:jc w:val="center"/>
              <w:rPr>
                <w:bCs/>
                <w:sz w:val="40"/>
                <w:szCs w:val="40"/>
              </w:rPr>
            </w:pPr>
          </w:p>
        </w:tc>
      </w:tr>
      <w:tr w:rsidR="0047502E" w:rsidRPr="001C49D9" w:rsidTr="00841492">
        <w:tc>
          <w:tcPr>
            <w:tcW w:w="2988" w:type="dxa"/>
            <w:vAlign w:val="center"/>
          </w:tcPr>
          <w:p w:rsidR="0047502E" w:rsidRPr="00C77CA2" w:rsidRDefault="0047502E" w:rsidP="00841492">
            <w:pPr>
              <w:jc w:val="center"/>
              <w:rPr>
                <w:bCs/>
              </w:rPr>
            </w:pPr>
          </w:p>
        </w:tc>
        <w:tc>
          <w:tcPr>
            <w:tcW w:w="3060" w:type="dxa"/>
          </w:tcPr>
          <w:p w:rsidR="0047502E" w:rsidRPr="002C2B98" w:rsidRDefault="0047502E" w:rsidP="00841492">
            <w:pPr>
              <w:jc w:val="center"/>
              <w:rPr>
                <w:bCs/>
                <w:sz w:val="40"/>
                <w:szCs w:val="40"/>
              </w:rPr>
            </w:pPr>
          </w:p>
        </w:tc>
        <w:tc>
          <w:tcPr>
            <w:tcW w:w="1980" w:type="dxa"/>
          </w:tcPr>
          <w:p w:rsidR="0047502E" w:rsidRPr="002C2B98" w:rsidRDefault="0047502E" w:rsidP="00841492">
            <w:pPr>
              <w:jc w:val="center"/>
              <w:rPr>
                <w:bCs/>
                <w:sz w:val="40"/>
                <w:szCs w:val="40"/>
              </w:rPr>
            </w:pPr>
          </w:p>
        </w:tc>
        <w:tc>
          <w:tcPr>
            <w:tcW w:w="2988" w:type="dxa"/>
          </w:tcPr>
          <w:p w:rsidR="0047502E" w:rsidRPr="002C2B98" w:rsidRDefault="0047502E" w:rsidP="00841492">
            <w:pPr>
              <w:jc w:val="center"/>
              <w:rPr>
                <w:bCs/>
                <w:sz w:val="40"/>
                <w:szCs w:val="40"/>
              </w:rPr>
            </w:pPr>
          </w:p>
        </w:tc>
      </w:tr>
    </w:tbl>
    <w:p w:rsidR="0047502E" w:rsidRPr="00816F76" w:rsidRDefault="0047502E" w:rsidP="00A312BF">
      <w:pPr>
        <w:rPr>
          <w:b/>
          <w:bCs/>
          <w:sz w:val="20"/>
          <w:szCs w:val="20"/>
        </w:rPr>
      </w:pPr>
    </w:p>
    <w:p w:rsidR="008531F7" w:rsidRDefault="008531F7">
      <w:pPr>
        <w:rPr>
          <w:b/>
          <w:bCs/>
        </w:rPr>
      </w:pPr>
    </w:p>
    <w:sectPr w:rsidR="008531F7" w:rsidSect="00492EA3">
      <w:headerReference w:type="default" r:id="rId9"/>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F99" w:rsidRDefault="00755F99">
      <w:r>
        <w:separator/>
      </w:r>
    </w:p>
  </w:endnote>
  <w:endnote w:type="continuationSeparator" w:id="0">
    <w:p w:rsidR="00755F99" w:rsidRDefault="0075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F99" w:rsidRDefault="00755F99">
      <w:r>
        <w:separator/>
      </w:r>
    </w:p>
  </w:footnote>
  <w:footnote w:type="continuationSeparator" w:id="0">
    <w:p w:rsidR="00755F99" w:rsidRDefault="00755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638"/>
      <w:gridCol w:w="7920"/>
      <w:gridCol w:w="1458"/>
    </w:tblGrid>
    <w:tr w:rsidR="00633A44" w:rsidTr="00AA3C2B">
      <w:tc>
        <w:tcPr>
          <w:tcW w:w="1638" w:type="dxa"/>
        </w:tcPr>
        <w:p w:rsidR="00633A44" w:rsidRDefault="00633A44" w:rsidP="00222375">
          <w:pPr>
            <w:pStyle w:val="Header"/>
            <w:jc w:val="center"/>
            <w:rPr>
              <w:b/>
              <w:sz w:val="16"/>
              <w:szCs w:val="16"/>
            </w:rPr>
          </w:pPr>
          <w:r>
            <w:rPr>
              <w:b/>
              <w:noProof/>
            </w:rPr>
            <w:drawing>
              <wp:inline distT="0" distB="0" distL="0" distR="0" wp14:anchorId="1494EED5" wp14:editId="309B19BA">
                <wp:extent cx="689660" cy="676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630" cy="679187"/>
                        </a:xfrm>
                        <a:prstGeom prst="rect">
                          <a:avLst/>
                        </a:prstGeom>
                        <a:noFill/>
                      </pic:spPr>
                    </pic:pic>
                  </a:graphicData>
                </a:graphic>
              </wp:inline>
            </w:drawing>
          </w:r>
        </w:p>
      </w:tc>
      <w:tc>
        <w:tcPr>
          <w:tcW w:w="7920" w:type="dxa"/>
        </w:tcPr>
        <w:p w:rsidR="00633A44" w:rsidRDefault="00633A44" w:rsidP="00AA3C2B">
          <w:pPr>
            <w:pStyle w:val="Header"/>
            <w:jc w:val="center"/>
            <w:rPr>
              <w:b/>
              <w:sz w:val="16"/>
              <w:szCs w:val="16"/>
            </w:rPr>
          </w:pPr>
        </w:p>
        <w:p w:rsidR="00633A44" w:rsidRPr="00B12612" w:rsidRDefault="00633A44" w:rsidP="00AA3C2B">
          <w:pPr>
            <w:pStyle w:val="Header"/>
            <w:jc w:val="center"/>
            <w:rPr>
              <w:b/>
              <w:sz w:val="16"/>
              <w:szCs w:val="16"/>
            </w:rPr>
          </w:pPr>
          <w:r w:rsidRPr="00B12612">
            <w:rPr>
              <w:b/>
              <w:sz w:val="16"/>
              <w:szCs w:val="16"/>
            </w:rPr>
            <w:t>VETERANS ADMINISTRATION MARYLAND HEALTH CARE SYSTEM</w:t>
          </w:r>
        </w:p>
        <w:p w:rsidR="00633A44" w:rsidRPr="00B12612" w:rsidRDefault="00633A44" w:rsidP="00AA3C2B">
          <w:pPr>
            <w:pStyle w:val="Header"/>
            <w:jc w:val="center"/>
            <w:rPr>
              <w:sz w:val="16"/>
              <w:szCs w:val="16"/>
            </w:rPr>
          </w:pPr>
          <w:r w:rsidRPr="00B12612">
            <w:rPr>
              <w:sz w:val="16"/>
              <w:szCs w:val="16"/>
            </w:rPr>
            <w:t>BALTIMORE DIVISION</w:t>
          </w:r>
        </w:p>
        <w:p w:rsidR="00633A44" w:rsidRPr="00B12612" w:rsidRDefault="00633A44" w:rsidP="00AA3C2B">
          <w:pPr>
            <w:pStyle w:val="Header"/>
            <w:jc w:val="center"/>
            <w:rPr>
              <w:sz w:val="16"/>
              <w:szCs w:val="16"/>
            </w:rPr>
          </w:pPr>
          <w:r w:rsidRPr="00B12612">
            <w:rPr>
              <w:sz w:val="16"/>
              <w:szCs w:val="16"/>
            </w:rPr>
            <w:t>10 NORTH GREENE STREET</w:t>
          </w:r>
        </w:p>
        <w:p w:rsidR="00633A44" w:rsidRDefault="00633A44" w:rsidP="00AA3C2B">
          <w:pPr>
            <w:pStyle w:val="Header"/>
            <w:jc w:val="center"/>
            <w:rPr>
              <w:sz w:val="16"/>
              <w:szCs w:val="16"/>
            </w:rPr>
          </w:pPr>
          <w:r w:rsidRPr="00B12612">
            <w:rPr>
              <w:sz w:val="16"/>
              <w:szCs w:val="16"/>
            </w:rPr>
            <w:t>BALTIMORE, MD  21201</w:t>
          </w:r>
        </w:p>
        <w:p w:rsidR="00633A44" w:rsidRPr="00AA3C2B" w:rsidRDefault="00633A44" w:rsidP="00AA3C2B">
          <w:pPr>
            <w:pStyle w:val="Header"/>
            <w:jc w:val="center"/>
            <w:rPr>
              <w:sz w:val="16"/>
              <w:szCs w:val="16"/>
            </w:rPr>
          </w:pPr>
        </w:p>
      </w:tc>
      <w:tc>
        <w:tcPr>
          <w:tcW w:w="1458" w:type="dxa"/>
          <w:vAlign w:val="bottom"/>
        </w:tcPr>
        <w:p w:rsidR="00633A44" w:rsidRDefault="00633A44" w:rsidP="00AA3C2B">
          <w:pPr>
            <w:pStyle w:val="Header"/>
            <w:jc w:val="right"/>
            <w:rPr>
              <w:b/>
              <w:sz w:val="16"/>
              <w:szCs w:val="16"/>
            </w:rPr>
          </w:pPr>
        </w:p>
        <w:p w:rsidR="00633A44" w:rsidRDefault="00633A44" w:rsidP="00AA3C2B">
          <w:pPr>
            <w:pStyle w:val="Header"/>
            <w:jc w:val="right"/>
            <w:rPr>
              <w:b/>
              <w:sz w:val="16"/>
              <w:szCs w:val="16"/>
            </w:rPr>
          </w:pPr>
        </w:p>
        <w:p w:rsidR="00633A44" w:rsidRDefault="00633A44" w:rsidP="00AA3C2B">
          <w:pPr>
            <w:pStyle w:val="Header"/>
            <w:jc w:val="right"/>
            <w:rPr>
              <w:b/>
              <w:sz w:val="16"/>
              <w:szCs w:val="16"/>
            </w:rPr>
          </w:pPr>
          <w:r>
            <w:rPr>
              <w:b/>
              <w:sz w:val="16"/>
              <w:szCs w:val="16"/>
            </w:rPr>
            <w:t xml:space="preserve">Page </w:t>
          </w:r>
          <w:r w:rsidR="00FF398C">
            <w:rPr>
              <w:b/>
              <w:sz w:val="16"/>
              <w:szCs w:val="16"/>
            </w:rPr>
            <w:fldChar w:fldCharType="begin"/>
          </w:r>
          <w:r>
            <w:rPr>
              <w:b/>
              <w:sz w:val="16"/>
              <w:szCs w:val="16"/>
            </w:rPr>
            <w:instrText xml:space="preserve"> PAGE  \* Arabic  \* MERGEFORMAT </w:instrText>
          </w:r>
          <w:r w:rsidR="00FF398C">
            <w:rPr>
              <w:b/>
              <w:sz w:val="16"/>
              <w:szCs w:val="16"/>
            </w:rPr>
            <w:fldChar w:fldCharType="separate"/>
          </w:r>
          <w:r w:rsidR="00F357C1">
            <w:rPr>
              <w:b/>
              <w:noProof/>
              <w:sz w:val="16"/>
              <w:szCs w:val="16"/>
            </w:rPr>
            <w:t>5</w:t>
          </w:r>
          <w:r w:rsidR="00FF398C">
            <w:rPr>
              <w:b/>
              <w:sz w:val="16"/>
              <w:szCs w:val="16"/>
            </w:rPr>
            <w:fldChar w:fldCharType="end"/>
          </w:r>
          <w:r>
            <w:rPr>
              <w:b/>
              <w:sz w:val="16"/>
              <w:szCs w:val="16"/>
            </w:rPr>
            <w:t xml:space="preserve"> of </w:t>
          </w:r>
          <w:r w:rsidR="00F357C1">
            <w:fldChar w:fldCharType="begin"/>
          </w:r>
          <w:r w:rsidR="00F357C1">
            <w:instrText xml:space="preserve"> NUMPAGES  \* Arabic  \* MERGEFORMAT </w:instrText>
          </w:r>
          <w:r w:rsidR="00F357C1">
            <w:fldChar w:fldCharType="separate"/>
          </w:r>
          <w:r w:rsidR="00F357C1" w:rsidRPr="00F357C1">
            <w:rPr>
              <w:b/>
              <w:noProof/>
              <w:sz w:val="16"/>
              <w:szCs w:val="16"/>
            </w:rPr>
            <w:t>9</w:t>
          </w:r>
          <w:r w:rsidR="00F357C1">
            <w:rPr>
              <w:b/>
              <w:noProof/>
              <w:sz w:val="16"/>
              <w:szCs w:val="16"/>
            </w:rPr>
            <w:fldChar w:fldCharType="end"/>
          </w:r>
        </w:p>
        <w:p w:rsidR="00633A44" w:rsidRDefault="00633A44" w:rsidP="00492EA3">
          <w:pPr>
            <w:pStyle w:val="Header"/>
            <w:rPr>
              <w:b/>
              <w:sz w:val="16"/>
              <w:szCs w:val="16"/>
            </w:rPr>
          </w:pPr>
        </w:p>
      </w:tc>
    </w:tr>
  </w:tbl>
  <w:p w:rsidR="00633A44" w:rsidRPr="00D6527B" w:rsidRDefault="00633A44" w:rsidP="00222375">
    <w:pPr>
      <w:pStyle w:val="Heade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0CF0"/>
    <w:multiLevelType w:val="hybridMultilevel"/>
    <w:tmpl w:val="F6F01AAE"/>
    <w:lvl w:ilvl="0" w:tplc="0409001B">
      <w:start w:val="1"/>
      <w:numFmt w:val="lowerRoman"/>
      <w:lvlText w:val="%1."/>
      <w:lvlJc w:val="righ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
    <w:nsid w:val="09B10910"/>
    <w:multiLevelType w:val="hybridMultilevel"/>
    <w:tmpl w:val="C8FACB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85693"/>
    <w:multiLevelType w:val="hybridMultilevel"/>
    <w:tmpl w:val="ED22FA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23EF6"/>
    <w:multiLevelType w:val="hybridMultilevel"/>
    <w:tmpl w:val="4742400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0F2896"/>
    <w:multiLevelType w:val="hybridMultilevel"/>
    <w:tmpl w:val="79B0E4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F13C19"/>
    <w:multiLevelType w:val="hybridMultilevel"/>
    <w:tmpl w:val="28DC0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44CD0"/>
    <w:multiLevelType w:val="hybridMultilevel"/>
    <w:tmpl w:val="8D5EC4F0"/>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0A017C5"/>
    <w:multiLevelType w:val="hybridMultilevel"/>
    <w:tmpl w:val="419EC6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DB4CBF"/>
    <w:multiLevelType w:val="hybridMultilevel"/>
    <w:tmpl w:val="FDCACF3C"/>
    <w:lvl w:ilvl="0" w:tplc="0409000B">
      <w:start w:val="1"/>
      <w:numFmt w:val="bullet"/>
      <w:lvlText w:val=""/>
      <w:lvlJc w:val="left"/>
      <w:pPr>
        <w:ind w:left="1492" w:hanging="360"/>
      </w:pPr>
      <w:rPr>
        <w:rFonts w:ascii="Wingdings" w:hAnsi="Wingdings"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9">
    <w:nsid w:val="33962F19"/>
    <w:multiLevelType w:val="hybridMultilevel"/>
    <w:tmpl w:val="1850FD84"/>
    <w:lvl w:ilvl="0" w:tplc="0409001B">
      <w:start w:val="1"/>
      <w:numFmt w:val="lowerRoman"/>
      <w:lvlText w:val="%1."/>
      <w:lvlJc w:val="righ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0">
    <w:nsid w:val="40F960EF"/>
    <w:multiLevelType w:val="hybridMultilevel"/>
    <w:tmpl w:val="19C865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040CF2"/>
    <w:multiLevelType w:val="hybridMultilevel"/>
    <w:tmpl w:val="8A1CE822"/>
    <w:lvl w:ilvl="0" w:tplc="0409000B">
      <w:start w:val="1"/>
      <w:numFmt w:val="bullet"/>
      <w:lvlText w:val=""/>
      <w:lvlJc w:val="left"/>
      <w:pPr>
        <w:ind w:left="1434" w:hanging="360"/>
      </w:pPr>
      <w:rPr>
        <w:rFonts w:ascii="Wingdings" w:hAnsi="Wingdings"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2">
    <w:nsid w:val="452F686F"/>
    <w:multiLevelType w:val="hybridMultilevel"/>
    <w:tmpl w:val="65085A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D448EA"/>
    <w:multiLevelType w:val="hybridMultilevel"/>
    <w:tmpl w:val="165C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1B0B3A"/>
    <w:multiLevelType w:val="hybridMultilevel"/>
    <w:tmpl w:val="C5BAE3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6C23DA"/>
    <w:multiLevelType w:val="hybridMultilevel"/>
    <w:tmpl w:val="32FC3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227A49"/>
    <w:multiLevelType w:val="hybridMultilevel"/>
    <w:tmpl w:val="4E58DE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F13AEC"/>
    <w:multiLevelType w:val="hybridMultilevel"/>
    <w:tmpl w:val="7850F1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F7B5EDB"/>
    <w:multiLevelType w:val="hybridMultilevel"/>
    <w:tmpl w:val="905EE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163512"/>
    <w:multiLevelType w:val="hybridMultilevel"/>
    <w:tmpl w:val="7018A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9D10B7"/>
    <w:multiLevelType w:val="hybridMultilevel"/>
    <w:tmpl w:val="BDF2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4B0C76"/>
    <w:multiLevelType w:val="hybridMultilevel"/>
    <w:tmpl w:val="771CE978"/>
    <w:lvl w:ilvl="0" w:tplc="0409000D">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2">
    <w:nsid w:val="69F7693D"/>
    <w:multiLevelType w:val="hybridMultilevel"/>
    <w:tmpl w:val="1B26D8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FB2538"/>
    <w:multiLevelType w:val="hybridMultilevel"/>
    <w:tmpl w:val="F724D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9C18CB"/>
    <w:multiLevelType w:val="hybridMultilevel"/>
    <w:tmpl w:val="902A46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440B18"/>
    <w:multiLevelType w:val="hybridMultilevel"/>
    <w:tmpl w:val="835038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E9859CB"/>
    <w:multiLevelType w:val="hybridMultilevel"/>
    <w:tmpl w:val="F8EC09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F7F76B6"/>
    <w:multiLevelType w:val="hybridMultilevel"/>
    <w:tmpl w:val="F1444750"/>
    <w:lvl w:ilvl="0" w:tplc="0409000B">
      <w:start w:val="1"/>
      <w:numFmt w:val="bullet"/>
      <w:lvlText w:val=""/>
      <w:lvlJc w:val="left"/>
      <w:pPr>
        <w:ind w:left="1434" w:hanging="360"/>
      </w:pPr>
      <w:rPr>
        <w:rFonts w:ascii="Wingdings" w:hAnsi="Wingdings"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num w:numId="1">
    <w:abstractNumId w:val="20"/>
  </w:num>
  <w:num w:numId="2">
    <w:abstractNumId w:val="13"/>
  </w:num>
  <w:num w:numId="3">
    <w:abstractNumId w:val="12"/>
  </w:num>
  <w:num w:numId="4">
    <w:abstractNumId w:val="7"/>
  </w:num>
  <w:num w:numId="5">
    <w:abstractNumId w:val="2"/>
  </w:num>
  <w:num w:numId="6">
    <w:abstractNumId w:val="4"/>
  </w:num>
  <w:num w:numId="7">
    <w:abstractNumId w:val="1"/>
  </w:num>
  <w:num w:numId="8">
    <w:abstractNumId w:val="19"/>
  </w:num>
  <w:num w:numId="9">
    <w:abstractNumId w:val="21"/>
  </w:num>
  <w:num w:numId="10">
    <w:abstractNumId w:val="24"/>
  </w:num>
  <w:num w:numId="11">
    <w:abstractNumId w:val="25"/>
  </w:num>
  <w:num w:numId="12">
    <w:abstractNumId w:val="8"/>
  </w:num>
  <w:num w:numId="13">
    <w:abstractNumId w:val="27"/>
  </w:num>
  <w:num w:numId="14">
    <w:abstractNumId w:val="11"/>
  </w:num>
  <w:num w:numId="15">
    <w:abstractNumId w:val="10"/>
  </w:num>
  <w:num w:numId="16">
    <w:abstractNumId w:val="23"/>
  </w:num>
  <w:num w:numId="17">
    <w:abstractNumId w:val="16"/>
  </w:num>
  <w:num w:numId="18">
    <w:abstractNumId w:val="14"/>
  </w:num>
  <w:num w:numId="19">
    <w:abstractNumId w:val="5"/>
  </w:num>
  <w:num w:numId="20">
    <w:abstractNumId w:val="22"/>
  </w:num>
  <w:num w:numId="21">
    <w:abstractNumId w:val="3"/>
  </w:num>
  <w:num w:numId="22">
    <w:abstractNumId w:val="0"/>
  </w:num>
  <w:num w:numId="23">
    <w:abstractNumId w:val="15"/>
  </w:num>
  <w:num w:numId="24">
    <w:abstractNumId w:val="26"/>
  </w:num>
  <w:num w:numId="25">
    <w:abstractNumId w:val="9"/>
  </w:num>
  <w:num w:numId="26">
    <w:abstractNumId w:val="6"/>
  </w:num>
  <w:num w:numId="27">
    <w:abstractNumId w:val="17"/>
  </w:num>
  <w:num w:numId="2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26B"/>
    <w:rsid w:val="00007CF0"/>
    <w:rsid w:val="0001735E"/>
    <w:rsid w:val="00023850"/>
    <w:rsid w:val="000356B4"/>
    <w:rsid w:val="0004033D"/>
    <w:rsid w:val="00041354"/>
    <w:rsid w:val="00042EAE"/>
    <w:rsid w:val="00043571"/>
    <w:rsid w:val="000453F7"/>
    <w:rsid w:val="00062BE0"/>
    <w:rsid w:val="00064190"/>
    <w:rsid w:val="00065471"/>
    <w:rsid w:val="0006587C"/>
    <w:rsid w:val="000726B3"/>
    <w:rsid w:val="00077FB7"/>
    <w:rsid w:val="000A0883"/>
    <w:rsid w:val="000A64B4"/>
    <w:rsid w:val="000B348C"/>
    <w:rsid w:val="000B6FEE"/>
    <w:rsid w:val="000B77C5"/>
    <w:rsid w:val="000C3554"/>
    <w:rsid w:val="000C4491"/>
    <w:rsid w:val="000D3773"/>
    <w:rsid w:val="000D7003"/>
    <w:rsid w:val="000E4C2C"/>
    <w:rsid w:val="0010413D"/>
    <w:rsid w:val="00111DF0"/>
    <w:rsid w:val="00126C3F"/>
    <w:rsid w:val="00132651"/>
    <w:rsid w:val="0014544E"/>
    <w:rsid w:val="00145963"/>
    <w:rsid w:val="00145DA7"/>
    <w:rsid w:val="00145DF3"/>
    <w:rsid w:val="00154758"/>
    <w:rsid w:val="00162D82"/>
    <w:rsid w:val="00166DEF"/>
    <w:rsid w:val="001729F0"/>
    <w:rsid w:val="0017610B"/>
    <w:rsid w:val="0018148B"/>
    <w:rsid w:val="001867C5"/>
    <w:rsid w:val="001A7DE0"/>
    <w:rsid w:val="001B38F1"/>
    <w:rsid w:val="001B7082"/>
    <w:rsid w:val="001B72CF"/>
    <w:rsid w:val="001B795D"/>
    <w:rsid w:val="001B7EC0"/>
    <w:rsid w:val="001C49D9"/>
    <w:rsid w:val="001C4A94"/>
    <w:rsid w:val="001C6B22"/>
    <w:rsid w:val="001C6BC0"/>
    <w:rsid w:val="001D5077"/>
    <w:rsid w:val="001D5979"/>
    <w:rsid w:val="001D6328"/>
    <w:rsid w:val="001E37F5"/>
    <w:rsid w:val="001E75A5"/>
    <w:rsid w:val="001E7994"/>
    <w:rsid w:val="00202C3F"/>
    <w:rsid w:val="00205F3A"/>
    <w:rsid w:val="002061FA"/>
    <w:rsid w:val="00214C74"/>
    <w:rsid w:val="00222375"/>
    <w:rsid w:val="00222DA1"/>
    <w:rsid w:val="0023088A"/>
    <w:rsid w:val="002370B5"/>
    <w:rsid w:val="00241FC5"/>
    <w:rsid w:val="00242CA2"/>
    <w:rsid w:val="00250A9C"/>
    <w:rsid w:val="002510DA"/>
    <w:rsid w:val="00254B0C"/>
    <w:rsid w:val="002567DE"/>
    <w:rsid w:val="00256DA8"/>
    <w:rsid w:val="002654C0"/>
    <w:rsid w:val="00266DC6"/>
    <w:rsid w:val="00271A69"/>
    <w:rsid w:val="00281D9F"/>
    <w:rsid w:val="00296C83"/>
    <w:rsid w:val="002A0860"/>
    <w:rsid w:val="002A7F80"/>
    <w:rsid w:val="002B2CB1"/>
    <w:rsid w:val="002B3F23"/>
    <w:rsid w:val="002C2B98"/>
    <w:rsid w:val="002C7527"/>
    <w:rsid w:val="002C753F"/>
    <w:rsid w:val="002E2B51"/>
    <w:rsid w:val="002E6A38"/>
    <w:rsid w:val="002E7D9D"/>
    <w:rsid w:val="002F3A29"/>
    <w:rsid w:val="002F6A60"/>
    <w:rsid w:val="00303E78"/>
    <w:rsid w:val="003071B9"/>
    <w:rsid w:val="003128D0"/>
    <w:rsid w:val="00315B21"/>
    <w:rsid w:val="00317FE8"/>
    <w:rsid w:val="00321335"/>
    <w:rsid w:val="00326F2C"/>
    <w:rsid w:val="0033019C"/>
    <w:rsid w:val="00333952"/>
    <w:rsid w:val="00334625"/>
    <w:rsid w:val="00337423"/>
    <w:rsid w:val="00337E91"/>
    <w:rsid w:val="003475C9"/>
    <w:rsid w:val="0035026B"/>
    <w:rsid w:val="00352D78"/>
    <w:rsid w:val="00356BDE"/>
    <w:rsid w:val="00366137"/>
    <w:rsid w:val="00373783"/>
    <w:rsid w:val="003751DF"/>
    <w:rsid w:val="003767D1"/>
    <w:rsid w:val="00380941"/>
    <w:rsid w:val="003A2658"/>
    <w:rsid w:val="003C394B"/>
    <w:rsid w:val="003C49E7"/>
    <w:rsid w:val="003C6ADC"/>
    <w:rsid w:val="003D12CE"/>
    <w:rsid w:val="003D6C9D"/>
    <w:rsid w:val="003E0075"/>
    <w:rsid w:val="003E1315"/>
    <w:rsid w:val="003E2DBC"/>
    <w:rsid w:val="003E31C7"/>
    <w:rsid w:val="003E56FA"/>
    <w:rsid w:val="00402D6B"/>
    <w:rsid w:val="0041532D"/>
    <w:rsid w:val="00420F19"/>
    <w:rsid w:val="00427944"/>
    <w:rsid w:val="0043352E"/>
    <w:rsid w:val="00437E01"/>
    <w:rsid w:val="004421BC"/>
    <w:rsid w:val="00466BE0"/>
    <w:rsid w:val="00467D32"/>
    <w:rsid w:val="0047075C"/>
    <w:rsid w:val="004725AF"/>
    <w:rsid w:val="00472682"/>
    <w:rsid w:val="0047502E"/>
    <w:rsid w:val="0047566B"/>
    <w:rsid w:val="00475D57"/>
    <w:rsid w:val="00487797"/>
    <w:rsid w:val="00492EA3"/>
    <w:rsid w:val="004A0F68"/>
    <w:rsid w:val="004A4731"/>
    <w:rsid w:val="004C14CD"/>
    <w:rsid w:val="004D3943"/>
    <w:rsid w:val="004E1C44"/>
    <w:rsid w:val="004E60E6"/>
    <w:rsid w:val="00510DFA"/>
    <w:rsid w:val="00521101"/>
    <w:rsid w:val="00527C35"/>
    <w:rsid w:val="005470BF"/>
    <w:rsid w:val="00551A72"/>
    <w:rsid w:val="005547C3"/>
    <w:rsid w:val="0055505C"/>
    <w:rsid w:val="005571C2"/>
    <w:rsid w:val="00560792"/>
    <w:rsid w:val="00571811"/>
    <w:rsid w:val="0057205C"/>
    <w:rsid w:val="005836BA"/>
    <w:rsid w:val="00585B05"/>
    <w:rsid w:val="00587025"/>
    <w:rsid w:val="005945A3"/>
    <w:rsid w:val="0059678B"/>
    <w:rsid w:val="005A11B3"/>
    <w:rsid w:val="005A2459"/>
    <w:rsid w:val="005A28C0"/>
    <w:rsid w:val="005B2D14"/>
    <w:rsid w:val="005B4373"/>
    <w:rsid w:val="005C55B0"/>
    <w:rsid w:val="005C5797"/>
    <w:rsid w:val="005C5DED"/>
    <w:rsid w:val="005C7E32"/>
    <w:rsid w:val="005D714D"/>
    <w:rsid w:val="005E0CB4"/>
    <w:rsid w:val="005E7DC0"/>
    <w:rsid w:val="005E7EE4"/>
    <w:rsid w:val="005F6D0A"/>
    <w:rsid w:val="005F7287"/>
    <w:rsid w:val="00613C4B"/>
    <w:rsid w:val="00614234"/>
    <w:rsid w:val="006205EA"/>
    <w:rsid w:val="006206B5"/>
    <w:rsid w:val="00624834"/>
    <w:rsid w:val="00633A44"/>
    <w:rsid w:val="00634183"/>
    <w:rsid w:val="006414F7"/>
    <w:rsid w:val="00642816"/>
    <w:rsid w:val="0065278A"/>
    <w:rsid w:val="00653D9D"/>
    <w:rsid w:val="00660B52"/>
    <w:rsid w:val="006821DF"/>
    <w:rsid w:val="006837AD"/>
    <w:rsid w:val="00690B88"/>
    <w:rsid w:val="00691CAA"/>
    <w:rsid w:val="00692C72"/>
    <w:rsid w:val="0069346B"/>
    <w:rsid w:val="006947C2"/>
    <w:rsid w:val="00695702"/>
    <w:rsid w:val="00695B22"/>
    <w:rsid w:val="00696F5A"/>
    <w:rsid w:val="006A0E52"/>
    <w:rsid w:val="006A5ADF"/>
    <w:rsid w:val="006B3799"/>
    <w:rsid w:val="006C1E2F"/>
    <w:rsid w:val="006D1683"/>
    <w:rsid w:val="006E1B47"/>
    <w:rsid w:val="006E3843"/>
    <w:rsid w:val="006E5875"/>
    <w:rsid w:val="006E7A77"/>
    <w:rsid w:val="006F2700"/>
    <w:rsid w:val="00706466"/>
    <w:rsid w:val="00707EDB"/>
    <w:rsid w:val="00707EE5"/>
    <w:rsid w:val="00715186"/>
    <w:rsid w:val="00717011"/>
    <w:rsid w:val="00720205"/>
    <w:rsid w:val="0072058A"/>
    <w:rsid w:val="00724EE9"/>
    <w:rsid w:val="007437D5"/>
    <w:rsid w:val="00743E7B"/>
    <w:rsid w:val="00743EA0"/>
    <w:rsid w:val="00744A90"/>
    <w:rsid w:val="00751450"/>
    <w:rsid w:val="00751BA9"/>
    <w:rsid w:val="00753255"/>
    <w:rsid w:val="007543A8"/>
    <w:rsid w:val="00755F99"/>
    <w:rsid w:val="00756C45"/>
    <w:rsid w:val="00775D24"/>
    <w:rsid w:val="007768B0"/>
    <w:rsid w:val="007817DA"/>
    <w:rsid w:val="00791611"/>
    <w:rsid w:val="0079170C"/>
    <w:rsid w:val="00791988"/>
    <w:rsid w:val="00794279"/>
    <w:rsid w:val="00794FF1"/>
    <w:rsid w:val="007A0BA0"/>
    <w:rsid w:val="007A7FD9"/>
    <w:rsid w:val="007B0096"/>
    <w:rsid w:val="007B3720"/>
    <w:rsid w:val="007B4389"/>
    <w:rsid w:val="007B6F15"/>
    <w:rsid w:val="007C0CC3"/>
    <w:rsid w:val="007C1505"/>
    <w:rsid w:val="007C78B0"/>
    <w:rsid w:val="007D7040"/>
    <w:rsid w:val="007E0669"/>
    <w:rsid w:val="007E3E12"/>
    <w:rsid w:val="007F7547"/>
    <w:rsid w:val="00803B6E"/>
    <w:rsid w:val="0080695C"/>
    <w:rsid w:val="00816F76"/>
    <w:rsid w:val="00817D43"/>
    <w:rsid w:val="00824957"/>
    <w:rsid w:val="00833224"/>
    <w:rsid w:val="008356AB"/>
    <w:rsid w:val="008361BB"/>
    <w:rsid w:val="00836A5F"/>
    <w:rsid w:val="008531F7"/>
    <w:rsid w:val="0085625F"/>
    <w:rsid w:val="00862D30"/>
    <w:rsid w:val="00864BB5"/>
    <w:rsid w:val="00870D7E"/>
    <w:rsid w:val="00871CF3"/>
    <w:rsid w:val="008A0405"/>
    <w:rsid w:val="008A3899"/>
    <w:rsid w:val="008A4C9B"/>
    <w:rsid w:val="008B001F"/>
    <w:rsid w:val="008C2CA7"/>
    <w:rsid w:val="008C6791"/>
    <w:rsid w:val="008C7E15"/>
    <w:rsid w:val="008D14FE"/>
    <w:rsid w:val="008D62BA"/>
    <w:rsid w:val="00901C39"/>
    <w:rsid w:val="009256C6"/>
    <w:rsid w:val="00926F49"/>
    <w:rsid w:val="0093102D"/>
    <w:rsid w:val="0093616D"/>
    <w:rsid w:val="0095464D"/>
    <w:rsid w:val="00961198"/>
    <w:rsid w:val="00976B7E"/>
    <w:rsid w:val="00983835"/>
    <w:rsid w:val="00992785"/>
    <w:rsid w:val="00994FD2"/>
    <w:rsid w:val="00995D21"/>
    <w:rsid w:val="00996064"/>
    <w:rsid w:val="009A22DB"/>
    <w:rsid w:val="009B6A4C"/>
    <w:rsid w:val="009C3215"/>
    <w:rsid w:val="009E2853"/>
    <w:rsid w:val="009F0F36"/>
    <w:rsid w:val="009F5DF8"/>
    <w:rsid w:val="009F5E42"/>
    <w:rsid w:val="00A12EB5"/>
    <w:rsid w:val="00A13210"/>
    <w:rsid w:val="00A235FA"/>
    <w:rsid w:val="00A30DC7"/>
    <w:rsid w:val="00A312BF"/>
    <w:rsid w:val="00A31A9E"/>
    <w:rsid w:val="00A32BE2"/>
    <w:rsid w:val="00A34174"/>
    <w:rsid w:val="00A445F9"/>
    <w:rsid w:val="00A5058C"/>
    <w:rsid w:val="00A50B0F"/>
    <w:rsid w:val="00A57DB3"/>
    <w:rsid w:val="00A72040"/>
    <w:rsid w:val="00A87CA7"/>
    <w:rsid w:val="00A918B8"/>
    <w:rsid w:val="00A91BA5"/>
    <w:rsid w:val="00A94CDC"/>
    <w:rsid w:val="00AA2107"/>
    <w:rsid w:val="00AA3C2B"/>
    <w:rsid w:val="00AB634C"/>
    <w:rsid w:val="00AB6BA6"/>
    <w:rsid w:val="00AD6BEA"/>
    <w:rsid w:val="00AD7831"/>
    <w:rsid w:val="00AD7D60"/>
    <w:rsid w:val="00AE5EFB"/>
    <w:rsid w:val="00AE7A81"/>
    <w:rsid w:val="00AF1558"/>
    <w:rsid w:val="00AF54B5"/>
    <w:rsid w:val="00B120E6"/>
    <w:rsid w:val="00B12612"/>
    <w:rsid w:val="00B17711"/>
    <w:rsid w:val="00B340C4"/>
    <w:rsid w:val="00B43F06"/>
    <w:rsid w:val="00B456B9"/>
    <w:rsid w:val="00B643FD"/>
    <w:rsid w:val="00B65A35"/>
    <w:rsid w:val="00B663A5"/>
    <w:rsid w:val="00B7218D"/>
    <w:rsid w:val="00B72986"/>
    <w:rsid w:val="00B768A1"/>
    <w:rsid w:val="00B8039F"/>
    <w:rsid w:val="00B808F3"/>
    <w:rsid w:val="00B86074"/>
    <w:rsid w:val="00B86ABA"/>
    <w:rsid w:val="00B96C0C"/>
    <w:rsid w:val="00BA055D"/>
    <w:rsid w:val="00BA4B2B"/>
    <w:rsid w:val="00BA6F8F"/>
    <w:rsid w:val="00BB118A"/>
    <w:rsid w:val="00BB1C47"/>
    <w:rsid w:val="00BB710E"/>
    <w:rsid w:val="00BC35AC"/>
    <w:rsid w:val="00BD334D"/>
    <w:rsid w:val="00BD4F84"/>
    <w:rsid w:val="00BD5986"/>
    <w:rsid w:val="00BE2887"/>
    <w:rsid w:val="00BE43A7"/>
    <w:rsid w:val="00BE49BE"/>
    <w:rsid w:val="00BF0518"/>
    <w:rsid w:val="00BF36A3"/>
    <w:rsid w:val="00C00D3A"/>
    <w:rsid w:val="00C0298B"/>
    <w:rsid w:val="00C04FE7"/>
    <w:rsid w:val="00C076D1"/>
    <w:rsid w:val="00C10FE7"/>
    <w:rsid w:val="00C20C36"/>
    <w:rsid w:val="00C21571"/>
    <w:rsid w:val="00C215D9"/>
    <w:rsid w:val="00C220D3"/>
    <w:rsid w:val="00C24807"/>
    <w:rsid w:val="00C24E9C"/>
    <w:rsid w:val="00C30B4B"/>
    <w:rsid w:val="00C444E1"/>
    <w:rsid w:val="00C46017"/>
    <w:rsid w:val="00C477B8"/>
    <w:rsid w:val="00C5038E"/>
    <w:rsid w:val="00C539AB"/>
    <w:rsid w:val="00C53AF3"/>
    <w:rsid w:val="00C643DA"/>
    <w:rsid w:val="00C668D4"/>
    <w:rsid w:val="00C70898"/>
    <w:rsid w:val="00C7126C"/>
    <w:rsid w:val="00C719AD"/>
    <w:rsid w:val="00C754D1"/>
    <w:rsid w:val="00C77CA2"/>
    <w:rsid w:val="00C8725E"/>
    <w:rsid w:val="00C9002E"/>
    <w:rsid w:val="00C91CDC"/>
    <w:rsid w:val="00C92552"/>
    <w:rsid w:val="00C95901"/>
    <w:rsid w:val="00CA0087"/>
    <w:rsid w:val="00CA2492"/>
    <w:rsid w:val="00CA4226"/>
    <w:rsid w:val="00CA5EBD"/>
    <w:rsid w:val="00CA5F39"/>
    <w:rsid w:val="00CB2A20"/>
    <w:rsid w:val="00CC4849"/>
    <w:rsid w:val="00CC4AAE"/>
    <w:rsid w:val="00CC5C3D"/>
    <w:rsid w:val="00CD45AF"/>
    <w:rsid w:val="00CF0213"/>
    <w:rsid w:val="00CF1EDE"/>
    <w:rsid w:val="00CF3CAC"/>
    <w:rsid w:val="00CF698D"/>
    <w:rsid w:val="00D02CA7"/>
    <w:rsid w:val="00D035EA"/>
    <w:rsid w:val="00D03A3C"/>
    <w:rsid w:val="00D05D1C"/>
    <w:rsid w:val="00D114E8"/>
    <w:rsid w:val="00D115AC"/>
    <w:rsid w:val="00D16E58"/>
    <w:rsid w:val="00D20204"/>
    <w:rsid w:val="00D404CB"/>
    <w:rsid w:val="00D62965"/>
    <w:rsid w:val="00D6527B"/>
    <w:rsid w:val="00D73BD8"/>
    <w:rsid w:val="00D7402A"/>
    <w:rsid w:val="00D74629"/>
    <w:rsid w:val="00D8121A"/>
    <w:rsid w:val="00D843D6"/>
    <w:rsid w:val="00D90361"/>
    <w:rsid w:val="00D9357F"/>
    <w:rsid w:val="00D97B46"/>
    <w:rsid w:val="00DA070A"/>
    <w:rsid w:val="00DA275D"/>
    <w:rsid w:val="00DA7DAC"/>
    <w:rsid w:val="00DB3594"/>
    <w:rsid w:val="00DC0D1B"/>
    <w:rsid w:val="00DC3CD8"/>
    <w:rsid w:val="00DC40AE"/>
    <w:rsid w:val="00DC494A"/>
    <w:rsid w:val="00DC77BF"/>
    <w:rsid w:val="00DE1D69"/>
    <w:rsid w:val="00DE366A"/>
    <w:rsid w:val="00DF165F"/>
    <w:rsid w:val="00DF1FCE"/>
    <w:rsid w:val="00DF25FC"/>
    <w:rsid w:val="00DF4C69"/>
    <w:rsid w:val="00DF5306"/>
    <w:rsid w:val="00DF7EE4"/>
    <w:rsid w:val="00E122CF"/>
    <w:rsid w:val="00E14AAA"/>
    <w:rsid w:val="00E14CC8"/>
    <w:rsid w:val="00E1668F"/>
    <w:rsid w:val="00E276C6"/>
    <w:rsid w:val="00E3358A"/>
    <w:rsid w:val="00E338AE"/>
    <w:rsid w:val="00E343AC"/>
    <w:rsid w:val="00E36242"/>
    <w:rsid w:val="00E3738F"/>
    <w:rsid w:val="00E45674"/>
    <w:rsid w:val="00E6403E"/>
    <w:rsid w:val="00E710F0"/>
    <w:rsid w:val="00E73499"/>
    <w:rsid w:val="00E913C0"/>
    <w:rsid w:val="00E93AE2"/>
    <w:rsid w:val="00E944A5"/>
    <w:rsid w:val="00E95230"/>
    <w:rsid w:val="00EA212B"/>
    <w:rsid w:val="00EA4DFF"/>
    <w:rsid w:val="00EB5BB7"/>
    <w:rsid w:val="00EC0727"/>
    <w:rsid w:val="00EC62E5"/>
    <w:rsid w:val="00ED27C8"/>
    <w:rsid w:val="00ED3E01"/>
    <w:rsid w:val="00EE5EBB"/>
    <w:rsid w:val="00EF360A"/>
    <w:rsid w:val="00EF496B"/>
    <w:rsid w:val="00F05073"/>
    <w:rsid w:val="00F11107"/>
    <w:rsid w:val="00F16B9E"/>
    <w:rsid w:val="00F30FB6"/>
    <w:rsid w:val="00F357C1"/>
    <w:rsid w:val="00F406C7"/>
    <w:rsid w:val="00F47AF6"/>
    <w:rsid w:val="00F517BF"/>
    <w:rsid w:val="00F60450"/>
    <w:rsid w:val="00F60EF9"/>
    <w:rsid w:val="00F672D6"/>
    <w:rsid w:val="00F7005E"/>
    <w:rsid w:val="00F73C42"/>
    <w:rsid w:val="00F75C33"/>
    <w:rsid w:val="00F77FD5"/>
    <w:rsid w:val="00F95946"/>
    <w:rsid w:val="00FB6061"/>
    <w:rsid w:val="00FC21C0"/>
    <w:rsid w:val="00FC7D4E"/>
    <w:rsid w:val="00FD337D"/>
    <w:rsid w:val="00FD7E6A"/>
    <w:rsid w:val="00FE5275"/>
    <w:rsid w:val="00FE7DE0"/>
    <w:rsid w:val="00FF2237"/>
    <w:rsid w:val="00FF3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left" w:pos="432"/>
      </w:tabs>
      <w:ind w:left="612"/>
      <w:outlineLvl w:val="1"/>
    </w:pPr>
    <w:rPr>
      <w:color w:val="000000"/>
      <w:szCs w:val="22"/>
      <w:u w:val="single"/>
    </w:rPr>
  </w:style>
  <w:style w:type="paragraph" w:styleId="Heading3">
    <w:name w:val="heading 3"/>
    <w:basedOn w:val="Normal"/>
    <w:next w:val="Normal"/>
    <w:qFormat/>
    <w:pPr>
      <w:keepNext/>
      <w:tabs>
        <w:tab w:val="left" w:pos="432"/>
      </w:tabs>
      <w:outlineLvl w:val="2"/>
    </w:pPr>
    <w:rPr>
      <w:b/>
      <w:bCs/>
      <w:color w:val="000000"/>
      <w:szCs w:val="22"/>
    </w:rPr>
  </w:style>
  <w:style w:type="paragraph" w:styleId="Heading5">
    <w:name w:val="heading 5"/>
    <w:basedOn w:val="Normal"/>
    <w:next w:val="Normal"/>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432"/>
      </w:tabs>
      <w:ind w:left="972" w:hanging="720"/>
    </w:pPr>
    <w:rPr>
      <w:color w:val="000000"/>
      <w:szCs w:val="22"/>
    </w:rPr>
  </w:style>
  <w:style w:type="paragraph" w:styleId="BodyText">
    <w:name w:val="Body Text"/>
    <w:basedOn w:val="Normal"/>
    <w:semiHidden/>
    <w:pPr>
      <w:tabs>
        <w:tab w:val="left" w:pos="432"/>
      </w:tabs>
    </w:pPr>
    <w:rPr>
      <w:b/>
      <w:bCs/>
      <w:color w:val="000000"/>
      <w:szCs w:val="22"/>
    </w:rPr>
  </w:style>
  <w:style w:type="paragraph" w:styleId="BodyText2">
    <w:name w:val="Body Text 2"/>
    <w:basedOn w:val="Normal"/>
    <w:semiHidden/>
    <w:pPr>
      <w:tabs>
        <w:tab w:val="left" w:pos="432"/>
      </w:tabs>
    </w:pPr>
    <w:rPr>
      <w:b/>
      <w:bCs/>
    </w:rPr>
  </w:style>
  <w:style w:type="paragraph" w:styleId="BodyTextIndent2">
    <w:name w:val="Body Text Indent 2"/>
    <w:basedOn w:val="Normal"/>
    <w:semiHidden/>
    <w:pPr>
      <w:autoSpaceDE w:val="0"/>
      <w:autoSpaceDN w:val="0"/>
      <w:adjustRightInd w:val="0"/>
      <w:ind w:firstLine="972"/>
    </w:pPr>
    <w:rPr>
      <w:color w:val="000000"/>
      <w:szCs w:val="22"/>
    </w:rPr>
  </w:style>
  <w:style w:type="paragraph" w:styleId="BalloonText">
    <w:name w:val="Balloon Text"/>
    <w:basedOn w:val="Normal"/>
    <w:link w:val="BalloonTextChar"/>
    <w:uiPriority w:val="99"/>
    <w:semiHidden/>
    <w:unhideWhenUsed/>
    <w:rsid w:val="00D6527B"/>
    <w:rPr>
      <w:rFonts w:ascii="Tahoma" w:hAnsi="Tahoma" w:cs="Tahoma"/>
      <w:sz w:val="16"/>
      <w:szCs w:val="16"/>
    </w:rPr>
  </w:style>
  <w:style w:type="character" w:customStyle="1" w:styleId="BalloonTextChar">
    <w:name w:val="Balloon Text Char"/>
    <w:basedOn w:val="DefaultParagraphFont"/>
    <w:link w:val="BalloonText"/>
    <w:uiPriority w:val="99"/>
    <w:semiHidden/>
    <w:rsid w:val="00D6527B"/>
    <w:rPr>
      <w:rFonts w:ascii="Tahoma" w:hAnsi="Tahoma" w:cs="Tahoma"/>
      <w:sz w:val="16"/>
      <w:szCs w:val="16"/>
    </w:rPr>
  </w:style>
  <w:style w:type="table" w:styleId="TableGrid">
    <w:name w:val="Table Grid"/>
    <w:basedOn w:val="TableNormal"/>
    <w:uiPriority w:val="59"/>
    <w:rsid w:val="00D6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CF0"/>
    <w:pPr>
      <w:ind w:left="720"/>
      <w:contextualSpacing/>
    </w:pPr>
  </w:style>
  <w:style w:type="character" w:customStyle="1" w:styleId="HeaderChar">
    <w:name w:val="Header Char"/>
    <w:link w:val="Header"/>
    <w:rsid w:val="0079170C"/>
    <w:rPr>
      <w:sz w:val="24"/>
      <w:szCs w:val="24"/>
    </w:rPr>
  </w:style>
  <w:style w:type="character" w:styleId="Hyperlink">
    <w:name w:val="Hyperlink"/>
    <w:basedOn w:val="DefaultParagraphFont"/>
    <w:uiPriority w:val="99"/>
    <w:unhideWhenUsed/>
    <w:rsid w:val="00A30DC7"/>
    <w:rPr>
      <w:color w:val="0000FF" w:themeColor="hyperlink"/>
      <w:u w:val="single"/>
    </w:rPr>
  </w:style>
  <w:style w:type="paragraph" w:customStyle="1" w:styleId="Questiontext">
    <w:name w:val="Question_text"/>
    <w:rsid w:val="00C220D3"/>
    <w:pPr>
      <w:spacing w:before="120" w:after="120"/>
    </w:pPr>
    <w:rPr>
      <w:rFonts w:ascii="Arial" w:eastAsia="Arial" w:hAnsi="Arial" w:cs="Arial"/>
      <w:b/>
      <w:color w:val="003893"/>
    </w:rPr>
  </w:style>
  <w:style w:type="character" w:customStyle="1" w:styleId="aspnetdisabled">
    <w:name w:val="aspnetdisabled"/>
    <w:basedOn w:val="DefaultParagraphFont"/>
    <w:rsid w:val="00756C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left" w:pos="432"/>
      </w:tabs>
      <w:ind w:left="612"/>
      <w:outlineLvl w:val="1"/>
    </w:pPr>
    <w:rPr>
      <w:color w:val="000000"/>
      <w:szCs w:val="22"/>
      <w:u w:val="single"/>
    </w:rPr>
  </w:style>
  <w:style w:type="paragraph" w:styleId="Heading3">
    <w:name w:val="heading 3"/>
    <w:basedOn w:val="Normal"/>
    <w:next w:val="Normal"/>
    <w:qFormat/>
    <w:pPr>
      <w:keepNext/>
      <w:tabs>
        <w:tab w:val="left" w:pos="432"/>
      </w:tabs>
      <w:outlineLvl w:val="2"/>
    </w:pPr>
    <w:rPr>
      <w:b/>
      <w:bCs/>
      <w:color w:val="000000"/>
      <w:szCs w:val="22"/>
    </w:rPr>
  </w:style>
  <w:style w:type="paragraph" w:styleId="Heading5">
    <w:name w:val="heading 5"/>
    <w:basedOn w:val="Normal"/>
    <w:next w:val="Normal"/>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432"/>
      </w:tabs>
      <w:ind w:left="972" w:hanging="720"/>
    </w:pPr>
    <w:rPr>
      <w:color w:val="000000"/>
      <w:szCs w:val="22"/>
    </w:rPr>
  </w:style>
  <w:style w:type="paragraph" w:styleId="BodyText">
    <w:name w:val="Body Text"/>
    <w:basedOn w:val="Normal"/>
    <w:semiHidden/>
    <w:pPr>
      <w:tabs>
        <w:tab w:val="left" w:pos="432"/>
      </w:tabs>
    </w:pPr>
    <w:rPr>
      <w:b/>
      <w:bCs/>
      <w:color w:val="000000"/>
      <w:szCs w:val="22"/>
    </w:rPr>
  </w:style>
  <w:style w:type="paragraph" w:styleId="BodyText2">
    <w:name w:val="Body Text 2"/>
    <w:basedOn w:val="Normal"/>
    <w:semiHidden/>
    <w:pPr>
      <w:tabs>
        <w:tab w:val="left" w:pos="432"/>
      </w:tabs>
    </w:pPr>
    <w:rPr>
      <w:b/>
      <w:bCs/>
    </w:rPr>
  </w:style>
  <w:style w:type="paragraph" w:styleId="BodyTextIndent2">
    <w:name w:val="Body Text Indent 2"/>
    <w:basedOn w:val="Normal"/>
    <w:semiHidden/>
    <w:pPr>
      <w:autoSpaceDE w:val="0"/>
      <w:autoSpaceDN w:val="0"/>
      <w:adjustRightInd w:val="0"/>
      <w:ind w:firstLine="972"/>
    </w:pPr>
    <w:rPr>
      <w:color w:val="000000"/>
      <w:szCs w:val="22"/>
    </w:rPr>
  </w:style>
  <w:style w:type="paragraph" w:styleId="BalloonText">
    <w:name w:val="Balloon Text"/>
    <w:basedOn w:val="Normal"/>
    <w:link w:val="BalloonTextChar"/>
    <w:uiPriority w:val="99"/>
    <w:semiHidden/>
    <w:unhideWhenUsed/>
    <w:rsid w:val="00D6527B"/>
    <w:rPr>
      <w:rFonts w:ascii="Tahoma" w:hAnsi="Tahoma" w:cs="Tahoma"/>
      <w:sz w:val="16"/>
      <w:szCs w:val="16"/>
    </w:rPr>
  </w:style>
  <w:style w:type="character" w:customStyle="1" w:styleId="BalloonTextChar">
    <w:name w:val="Balloon Text Char"/>
    <w:basedOn w:val="DefaultParagraphFont"/>
    <w:link w:val="BalloonText"/>
    <w:uiPriority w:val="99"/>
    <w:semiHidden/>
    <w:rsid w:val="00D6527B"/>
    <w:rPr>
      <w:rFonts w:ascii="Tahoma" w:hAnsi="Tahoma" w:cs="Tahoma"/>
      <w:sz w:val="16"/>
      <w:szCs w:val="16"/>
    </w:rPr>
  </w:style>
  <w:style w:type="table" w:styleId="TableGrid">
    <w:name w:val="Table Grid"/>
    <w:basedOn w:val="TableNormal"/>
    <w:uiPriority w:val="59"/>
    <w:rsid w:val="00D6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CF0"/>
    <w:pPr>
      <w:ind w:left="720"/>
      <w:contextualSpacing/>
    </w:pPr>
  </w:style>
  <w:style w:type="character" w:customStyle="1" w:styleId="HeaderChar">
    <w:name w:val="Header Char"/>
    <w:link w:val="Header"/>
    <w:rsid w:val="0079170C"/>
    <w:rPr>
      <w:sz w:val="24"/>
      <w:szCs w:val="24"/>
    </w:rPr>
  </w:style>
  <w:style w:type="character" w:styleId="Hyperlink">
    <w:name w:val="Hyperlink"/>
    <w:basedOn w:val="DefaultParagraphFont"/>
    <w:uiPriority w:val="99"/>
    <w:unhideWhenUsed/>
    <w:rsid w:val="00A30DC7"/>
    <w:rPr>
      <w:color w:val="0000FF" w:themeColor="hyperlink"/>
      <w:u w:val="single"/>
    </w:rPr>
  </w:style>
  <w:style w:type="paragraph" w:customStyle="1" w:styleId="Questiontext">
    <w:name w:val="Question_text"/>
    <w:rsid w:val="00C220D3"/>
    <w:pPr>
      <w:spacing w:before="120" w:after="120"/>
    </w:pPr>
    <w:rPr>
      <w:rFonts w:ascii="Arial" w:eastAsia="Arial" w:hAnsi="Arial" w:cs="Arial"/>
      <w:b/>
      <w:color w:val="003893"/>
    </w:rPr>
  </w:style>
  <w:style w:type="character" w:customStyle="1" w:styleId="aspnetdisabled">
    <w:name w:val="aspnetdisabled"/>
    <w:basedOn w:val="DefaultParagraphFont"/>
    <w:rsid w:val="0075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1204">
      <w:bodyDiv w:val="1"/>
      <w:marLeft w:val="0"/>
      <w:marRight w:val="0"/>
      <w:marTop w:val="0"/>
      <w:marBottom w:val="0"/>
      <w:divBdr>
        <w:top w:val="none" w:sz="0" w:space="0" w:color="auto"/>
        <w:left w:val="none" w:sz="0" w:space="0" w:color="auto"/>
        <w:bottom w:val="none" w:sz="0" w:space="0" w:color="auto"/>
        <w:right w:val="none" w:sz="0" w:space="0" w:color="auto"/>
      </w:divBdr>
    </w:div>
    <w:div w:id="540287461">
      <w:bodyDiv w:val="1"/>
      <w:marLeft w:val="0"/>
      <w:marRight w:val="0"/>
      <w:marTop w:val="0"/>
      <w:marBottom w:val="0"/>
      <w:divBdr>
        <w:top w:val="none" w:sz="0" w:space="0" w:color="auto"/>
        <w:left w:val="none" w:sz="0" w:space="0" w:color="auto"/>
        <w:bottom w:val="none" w:sz="0" w:space="0" w:color="auto"/>
        <w:right w:val="none" w:sz="0" w:space="0" w:color="auto"/>
      </w:divBdr>
    </w:div>
    <w:div w:id="717969788">
      <w:bodyDiv w:val="1"/>
      <w:marLeft w:val="0"/>
      <w:marRight w:val="0"/>
      <w:marTop w:val="0"/>
      <w:marBottom w:val="0"/>
      <w:divBdr>
        <w:top w:val="none" w:sz="0" w:space="0" w:color="auto"/>
        <w:left w:val="none" w:sz="0" w:space="0" w:color="auto"/>
        <w:bottom w:val="none" w:sz="0" w:space="0" w:color="auto"/>
        <w:right w:val="none" w:sz="0" w:space="0" w:color="auto"/>
      </w:divBdr>
    </w:div>
    <w:div w:id="1425999452">
      <w:bodyDiv w:val="1"/>
      <w:marLeft w:val="0"/>
      <w:marRight w:val="0"/>
      <w:marTop w:val="0"/>
      <w:marBottom w:val="0"/>
      <w:divBdr>
        <w:top w:val="none" w:sz="0" w:space="0" w:color="auto"/>
        <w:left w:val="none" w:sz="0" w:space="0" w:color="auto"/>
        <w:bottom w:val="none" w:sz="0" w:space="0" w:color="auto"/>
        <w:right w:val="none" w:sz="0" w:space="0" w:color="auto"/>
      </w:divBdr>
    </w:div>
    <w:div w:id="2138058643">
      <w:bodyDiv w:val="1"/>
      <w:marLeft w:val="0"/>
      <w:marRight w:val="0"/>
      <w:marTop w:val="0"/>
      <w:marBottom w:val="0"/>
      <w:divBdr>
        <w:top w:val="none" w:sz="0" w:space="0" w:color="auto"/>
        <w:left w:val="none" w:sz="0" w:space="0" w:color="auto"/>
        <w:bottom w:val="none" w:sz="0" w:space="0" w:color="auto"/>
        <w:right w:val="none" w:sz="0" w:space="0" w:color="auto"/>
      </w:divBdr>
      <w:divsChild>
        <w:div w:id="203107348">
          <w:marLeft w:val="300"/>
          <w:marRight w:val="300"/>
          <w:marTop w:val="0"/>
          <w:marBottom w:val="0"/>
          <w:divBdr>
            <w:top w:val="none" w:sz="0" w:space="0" w:color="auto"/>
            <w:left w:val="none" w:sz="0" w:space="0" w:color="auto"/>
            <w:bottom w:val="none" w:sz="0" w:space="0" w:color="auto"/>
            <w:right w:val="none" w:sz="0" w:space="0" w:color="auto"/>
          </w:divBdr>
          <w:divsChild>
            <w:div w:id="333146536">
              <w:marLeft w:val="0"/>
              <w:marRight w:val="0"/>
              <w:marTop w:val="0"/>
              <w:marBottom w:val="0"/>
              <w:divBdr>
                <w:top w:val="none" w:sz="0" w:space="0" w:color="auto"/>
                <w:left w:val="single" w:sz="6" w:space="8" w:color="CCCCCC"/>
                <w:bottom w:val="none" w:sz="0" w:space="0" w:color="auto"/>
                <w:right w:val="none" w:sz="0" w:space="0" w:color="auto"/>
              </w:divBdr>
              <w:divsChild>
                <w:div w:id="1539590473">
                  <w:marLeft w:val="0"/>
                  <w:marRight w:val="0"/>
                  <w:marTop w:val="0"/>
                  <w:marBottom w:val="0"/>
                  <w:divBdr>
                    <w:top w:val="none" w:sz="0" w:space="0" w:color="auto"/>
                    <w:left w:val="none" w:sz="0" w:space="0" w:color="auto"/>
                    <w:bottom w:val="none" w:sz="0" w:space="0" w:color="auto"/>
                    <w:right w:val="none" w:sz="0" w:space="0" w:color="auto"/>
                  </w:divBdr>
                  <w:divsChild>
                    <w:div w:id="2046639160">
                      <w:marLeft w:val="0"/>
                      <w:marRight w:val="0"/>
                      <w:marTop w:val="0"/>
                      <w:marBottom w:val="0"/>
                      <w:divBdr>
                        <w:top w:val="none" w:sz="0" w:space="0" w:color="auto"/>
                        <w:left w:val="none" w:sz="0" w:space="0" w:color="auto"/>
                        <w:bottom w:val="none" w:sz="0" w:space="0" w:color="auto"/>
                        <w:right w:val="none" w:sz="0" w:space="0" w:color="auto"/>
                      </w:divBdr>
                      <w:divsChild>
                        <w:div w:id="1632900281">
                          <w:marLeft w:val="300"/>
                          <w:marRight w:val="0"/>
                          <w:marTop w:val="0"/>
                          <w:marBottom w:val="0"/>
                          <w:divBdr>
                            <w:top w:val="none" w:sz="0" w:space="0" w:color="auto"/>
                            <w:left w:val="none" w:sz="0" w:space="0" w:color="auto"/>
                            <w:bottom w:val="none" w:sz="0" w:space="0" w:color="auto"/>
                            <w:right w:val="none" w:sz="0" w:space="0" w:color="auto"/>
                          </w:divBdr>
                        </w:div>
                        <w:div w:id="338627739">
                          <w:marLeft w:val="300"/>
                          <w:marRight w:val="0"/>
                          <w:marTop w:val="0"/>
                          <w:marBottom w:val="0"/>
                          <w:divBdr>
                            <w:top w:val="none" w:sz="0" w:space="0" w:color="auto"/>
                            <w:left w:val="none" w:sz="0" w:space="0" w:color="auto"/>
                            <w:bottom w:val="none" w:sz="0" w:space="0" w:color="auto"/>
                            <w:right w:val="none" w:sz="0" w:space="0" w:color="auto"/>
                          </w:divBdr>
                        </w:div>
                        <w:div w:id="843975633">
                          <w:marLeft w:val="300"/>
                          <w:marRight w:val="0"/>
                          <w:marTop w:val="0"/>
                          <w:marBottom w:val="0"/>
                          <w:divBdr>
                            <w:top w:val="none" w:sz="0" w:space="0" w:color="auto"/>
                            <w:left w:val="none" w:sz="0" w:space="0" w:color="auto"/>
                            <w:bottom w:val="none" w:sz="0" w:space="0" w:color="auto"/>
                            <w:right w:val="none" w:sz="0" w:space="0" w:color="auto"/>
                          </w:divBdr>
                        </w:div>
                        <w:div w:id="1433667547">
                          <w:marLeft w:val="300"/>
                          <w:marRight w:val="0"/>
                          <w:marTop w:val="0"/>
                          <w:marBottom w:val="0"/>
                          <w:divBdr>
                            <w:top w:val="none" w:sz="0" w:space="0" w:color="auto"/>
                            <w:left w:val="none" w:sz="0" w:space="0" w:color="auto"/>
                            <w:bottom w:val="none" w:sz="0" w:space="0" w:color="auto"/>
                            <w:right w:val="none" w:sz="0" w:space="0" w:color="auto"/>
                          </w:divBdr>
                        </w:div>
                        <w:div w:id="141289752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B8ADE-53A6-41AD-8E41-6AE30334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2655</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PROCEDURE TITLE</vt:lpstr>
    </vt:vector>
  </TitlesOfParts>
  <Company>Hanover Hospital</Company>
  <LinksUpToDate>false</LinksUpToDate>
  <CharactersWithSpaces>16751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TITLE</dc:title>
  <dc:creator>Department of Veterans Affairs</dc:creator>
  <cp:lastModifiedBy>Department of Veterans Affairs</cp:lastModifiedBy>
  <cp:revision>7</cp:revision>
  <cp:lastPrinted>2017-05-26T20:38:00Z</cp:lastPrinted>
  <dcterms:created xsi:type="dcterms:W3CDTF">2017-05-26T16:51:00Z</dcterms:created>
  <dcterms:modified xsi:type="dcterms:W3CDTF">2017-05-26T20:56:00Z</dcterms:modified>
</cp:coreProperties>
</file>