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CA8" w:rsidRDefault="00CA7CA8">
      <w:pPr>
        <w:pStyle w:val="Header"/>
        <w:tabs>
          <w:tab w:val="clear" w:pos="4320"/>
          <w:tab w:val="clear" w:pos="8640"/>
        </w:tabs>
      </w:pPr>
      <w:bookmarkStart w:id="0" w:name="_GoBack"/>
      <w:bookmarkEnd w:id="0"/>
    </w:p>
    <w:tbl>
      <w:tblPr>
        <w:tblStyle w:val="TableGrid"/>
        <w:tblW w:w="0" w:type="auto"/>
        <w:tblInd w:w="108" w:type="dxa"/>
        <w:tblBorders>
          <w:top w:val="single" w:sz="24" w:space="0" w:color="auto"/>
          <w:left w:val="none" w:sz="0" w:space="0" w:color="auto"/>
          <w:bottom w:val="single" w:sz="24" w:space="0" w:color="auto"/>
          <w:right w:val="none" w:sz="0" w:space="0" w:color="auto"/>
          <w:insideH w:val="single" w:sz="2" w:space="0" w:color="auto"/>
          <w:insideV w:val="none" w:sz="0" w:space="0" w:color="auto"/>
        </w:tblBorders>
        <w:tblLook w:val="04A0" w:firstRow="1" w:lastRow="0" w:firstColumn="1" w:lastColumn="0" w:noHBand="0" w:noVBand="1"/>
      </w:tblPr>
      <w:tblGrid>
        <w:gridCol w:w="1623"/>
        <w:gridCol w:w="3306"/>
        <w:gridCol w:w="1377"/>
        <w:gridCol w:w="1137"/>
        <w:gridCol w:w="2889"/>
      </w:tblGrid>
      <w:tr w:rsidR="004E2319" w:rsidTr="00AD7EF8">
        <w:trPr>
          <w:trHeight w:val="778"/>
        </w:trPr>
        <w:tc>
          <w:tcPr>
            <w:tcW w:w="1623" w:type="dxa"/>
            <w:vAlign w:val="center"/>
          </w:tcPr>
          <w:p w:rsidR="004E2319" w:rsidRPr="001304D8" w:rsidRDefault="004E2319" w:rsidP="006C3CB7">
            <w:pPr>
              <w:rPr>
                <w:b/>
                <w:sz w:val="24"/>
                <w:szCs w:val="24"/>
              </w:rPr>
            </w:pPr>
            <w:r w:rsidRPr="001304D8">
              <w:rPr>
                <w:b/>
                <w:sz w:val="24"/>
                <w:szCs w:val="24"/>
              </w:rPr>
              <w:t>SUBJECT:</w:t>
            </w:r>
          </w:p>
        </w:tc>
        <w:tc>
          <w:tcPr>
            <w:tcW w:w="3306" w:type="dxa"/>
            <w:tcBorders>
              <w:top w:val="single" w:sz="24" w:space="0" w:color="auto"/>
              <w:bottom w:val="single" w:sz="2" w:space="0" w:color="auto"/>
              <w:right w:val="single" w:sz="2" w:space="0" w:color="auto"/>
            </w:tcBorders>
            <w:vAlign w:val="center"/>
          </w:tcPr>
          <w:p w:rsidR="004E2319" w:rsidRPr="00C034F2" w:rsidRDefault="00C034F2" w:rsidP="006C3CB7">
            <w:pPr>
              <w:rPr>
                <w:sz w:val="24"/>
                <w:szCs w:val="24"/>
              </w:rPr>
            </w:pPr>
            <w:r w:rsidRPr="00C536EA">
              <w:rPr>
                <w:sz w:val="22"/>
                <w:szCs w:val="24"/>
              </w:rPr>
              <w:t>VIDAS</w:t>
            </w:r>
            <w:r w:rsidRPr="00C536EA">
              <w:rPr>
                <w:sz w:val="22"/>
                <w:szCs w:val="24"/>
                <w:vertAlign w:val="superscript"/>
              </w:rPr>
              <w:t>®</w:t>
            </w:r>
            <w:r w:rsidRPr="00C536EA">
              <w:rPr>
                <w:sz w:val="22"/>
                <w:szCs w:val="24"/>
              </w:rPr>
              <w:t xml:space="preserve"> B•R•A•H•M•S PCT</w:t>
            </w:r>
            <w:r w:rsidRPr="00C536EA">
              <w:rPr>
                <w:sz w:val="22"/>
                <w:szCs w:val="24"/>
                <w:vertAlign w:val="superscript"/>
              </w:rPr>
              <w:t>™</w:t>
            </w:r>
          </w:p>
        </w:tc>
        <w:tc>
          <w:tcPr>
            <w:tcW w:w="1377" w:type="dxa"/>
            <w:tcBorders>
              <w:left w:val="single" w:sz="2" w:space="0" w:color="auto"/>
            </w:tcBorders>
            <w:vAlign w:val="center"/>
          </w:tcPr>
          <w:p w:rsidR="004E2319" w:rsidRPr="001304D8" w:rsidRDefault="004E2319" w:rsidP="006C3CB7">
            <w:pPr>
              <w:rPr>
                <w:b/>
                <w:sz w:val="24"/>
                <w:szCs w:val="24"/>
              </w:rPr>
            </w:pPr>
            <w:r w:rsidRPr="001304D8">
              <w:rPr>
                <w:b/>
                <w:sz w:val="24"/>
                <w:szCs w:val="24"/>
              </w:rPr>
              <w:t>TITLE:</w:t>
            </w:r>
          </w:p>
        </w:tc>
        <w:tc>
          <w:tcPr>
            <w:tcW w:w="4026" w:type="dxa"/>
            <w:gridSpan w:val="2"/>
            <w:vAlign w:val="center"/>
          </w:tcPr>
          <w:p w:rsidR="004E2319" w:rsidRPr="00C536EA" w:rsidRDefault="00C034F2" w:rsidP="00C034F2">
            <w:pPr>
              <w:rPr>
                <w:sz w:val="22"/>
                <w:szCs w:val="24"/>
              </w:rPr>
            </w:pPr>
            <w:r w:rsidRPr="00C536EA">
              <w:rPr>
                <w:sz w:val="22"/>
                <w:szCs w:val="24"/>
              </w:rPr>
              <w:t>Principle and procedure for performing procalcitonin with MiniVidas</w:t>
            </w:r>
          </w:p>
        </w:tc>
      </w:tr>
      <w:tr w:rsidR="004E2319" w:rsidTr="00AD7EF8">
        <w:trPr>
          <w:trHeight w:val="778"/>
        </w:trPr>
        <w:tc>
          <w:tcPr>
            <w:tcW w:w="1623" w:type="dxa"/>
            <w:vAlign w:val="center"/>
          </w:tcPr>
          <w:p w:rsidR="004E2319" w:rsidRPr="001304D8" w:rsidRDefault="004E2319" w:rsidP="006C3CB7">
            <w:pPr>
              <w:rPr>
                <w:b/>
                <w:sz w:val="24"/>
                <w:szCs w:val="24"/>
              </w:rPr>
            </w:pPr>
            <w:r w:rsidRPr="001304D8">
              <w:rPr>
                <w:b/>
                <w:sz w:val="24"/>
                <w:szCs w:val="24"/>
              </w:rPr>
              <w:t>EFFECTIVE DATE:</w:t>
            </w:r>
          </w:p>
        </w:tc>
        <w:tc>
          <w:tcPr>
            <w:tcW w:w="3306" w:type="dxa"/>
            <w:tcBorders>
              <w:top w:val="single" w:sz="2" w:space="0" w:color="auto"/>
              <w:bottom w:val="single" w:sz="2" w:space="0" w:color="auto"/>
              <w:right w:val="single" w:sz="2" w:space="0" w:color="auto"/>
            </w:tcBorders>
            <w:vAlign w:val="center"/>
          </w:tcPr>
          <w:p w:rsidR="004E2319" w:rsidRPr="00BD479B" w:rsidRDefault="00C034F2" w:rsidP="006C3CB7">
            <w:pPr>
              <w:rPr>
                <w:sz w:val="24"/>
                <w:szCs w:val="24"/>
              </w:rPr>
            </w:pPr>
            <w:r w:rsidRPr="00C536EA">
              <w:rPr>
                <w:sz w:val="22"/>
                <w:szCs w:val="24"/>
              </w:rPr>
              <w:t>December 2017</w:t>
            </w:r>
          </w:p>
        </w:tc>
        <w:tc>
          <w:tcPr>
            <w:tcW w:w="1377" w:type="dxa"/>
            <w:tcBorders>
              <w:left w:val="single" w:sz="2" w:space="0" w:color="auto"/>
            </w:tcBorders>
            <w:vAlign w:val="center"/>
          </w:tcPr>
          <w:p w:rsidR="004E2319" w:rsidRPr="001304D8" w:rsidRDefault="004E2319" w:rsidP="006C3CB7">
            <w:pPr>
              <w:rPr>
                <w:b/>
                <w:sz w:val="24"/>
                <w:szCs w:val="24"/>
              </w:rPr>
            </w:pPr>
            <w:r w:rsidRPr="001304D8">
              <w:rPr>
                <w:b/>
                <w:sz w:val="24"/>
                <w:szCs w:val="24"/>
              </w:rPr>
              <w:t>SECTION:</w:t>
            </w:r>
          </w:p>
        </w:tc>
        <w:tc>
          <w:tcPr>
            <w:tcW w:w="4026" w:type="dxa"/>
            <w:gridSpan w:val="2"/>
            <w:vAlign w:val="center"/>
          </w:tcPr>
          <w:p w:rsidR="004E2319" w:rsidRPr="00C536EA" w:rsidRDefault="00A820CF" w:rsidP="006C3CB7">
            <w:pPr>
              <w:rPr>
                <w:sz w:val="22"/>
                <w:szCs w:val="24"/>
              </w:rPr>
            </w:pPr>
            <w:r w:rsidRPr="00C536EA">
              <w:rPr>
                <w:sz w:val="22"/>
                <w:szCs w:val="24"/>
              </w:rPr>
              <w:t xml:space="preserve">Core </w:t>
            </w:r>
            <w:r w:rsidR="004735DE" w:rsidRPr="00C536EA">
              <w:rPr>
                <w:sz w:val="22"/>
                <w:szCs w:val="24"/>
              </w:rPr>
              <w:t>Laboratory</w:t>
            </w:r>
          </w:p>
        </w:tc>
      </w:tr>
      <w:tr w:rsidR="00AD7EF8" w:rsidTr="00AD7EF8">
        <w:trPr>
          <w:trHeight w:val="778"/>
        </w:trPr>
        <w:tc>
          <w:tcPr>
            <w:tcW w:w="4929" w:type="dxa"/>
            <w:gridSpan w:val="2"/>
            <w:tcBorders>
              <w:right w:val="single" w:sz="2" w:space="0" w:color="auto"/>
            </w:tcBorders>
            <w:vAlign w:val="center"/>
          </w:tcPr>
          <w:p w:rsidR="00AD7EF8" w:rsidRPr="001304D8" w:rsidRDefault="00C034F2" w:rsidP="006C3CB7">
            <w:pPr>
              <w:rPr>
                <w:b/>
                <w:sz w:val="24"/>
                <w:szCs w:val="24"/>
              </w:rPr>
            </w:pPr>
            <w:r>
              <w:rPr>
                <w:b/>
                <w:sz w:val="24"/>
                <w:szCs w:val="24"/>
              </w:rPr>
              <w:t>APPROVED:</w:t>
            </w:r>
          </w:p>
        </w:tc>
        <w:tc>
          <w:tcPr>
            <w:tcW w:w="2514" w:type="dxa"/>
            <w:gridSpan w:val="2"/>
            <w:tcBorders>
              <w:left w:val="single" w:sz="2" w:space="0" w:color="auto"/>
            </w:tcBorders>
            <w:vAlign w:val="bottom"/>
          </w:tcPr>
          <w:p w:rsidR="00AD7EF8" w:rsidRPr="008854A9" w:rsidRDefault="00AD7EF8" w:rsidP="006C3CB7">
            <w:pPr>
              <w:rPr>
                <w:b/>
              </w:rPr>
            </w:pPr>
            <w:r w:rsidRPr="008854A9">
              <w:rPr>
                <w:b/>
              </w:rPr>
              <w:t>POSITION RESPONSIBLE FOR REVIEW:</w:t>
            </w:r>
          </w:p>
        </w:tc>
        <w:tc>
          <w:tcPr>
            <w:tcW w:w="2889" w:type="dxa"/>
            <w:vAlign w:val="bottom"/>
          </w:tcPr>
          <w:p w:rsidR="00AD7EF8" w:rsidRPr="004E2319" w:rsidRDefault="00AD7EF8" w:rsidP="006C3CB7">
            <w:r w:rsidRPr="004E2319">
              <w:t>Laboratory Manager or Designee</w:t>
            </w:r>
          </w:p>
        </w:tc>
      </w:tr>
    </w:tbl>
    <w:p w:rsidR="00B20DF3" w:rsidRDefault="00B20DF3" w:rsidP="00441959"/>
    <w:tbl>
      <w:tblPr>
        <w:tblStyle w:val="TableGrid"/>
        <w:tblW w:w="0" w:type="auto"/>
        <w:tblBorders>
          <w:top w:val="none" w:sz="0" w:space="0" w:color="auto"/>
          <w:left w:val="single" w:sz="2" w:space="0" w:color="FFFFFF" w:themeColor="background1"/>
          <w:bottom w:val="none" w:sz="0" w:space="0" w:color="auto"/>
          <w:right w:val="single" w:sz="2" w:space="0" w:color="FFFFFF" w:themeColor="background1"/>
          <w:insideH w:val="none" w:sz="0" w:space="0" w:color="auto"/>
          <w:insideV w:val="single" w:sz="2" w:space="0" w:color="FFFFFF" w:themeColor="background1"/>
        </w:tblBorders>
        <w:tblLook w:val="04A0" w:firstRow="1" w:lastRow="0" w:firstColumn="1" w:lastColumn="0" w:noHBand="0" w:noVBand="1"/>
      </w:tblPr>
      <w:tblGrid>
        <w:gridCol w:w="2549"/>
        <w:gridCol w:w="7891"/>
      </w:tblGrid>
      <w:tr w:rsidR="004E2319" w:rsidRPr="00D11B0D" w:rsidTr="001400A4">
        <w:trPr>
          <w:trHeight w:val="351"/>
        </w:trPr>
        <w:tc>
          <w:tcPr>
            <w:tcW w:w="1816" w:type="dxa"/>
          </w:tcPr>
          <w:p w:rsidR="004E2319" w:rsidRPr="00A206F0" w:rsidRDefault="004E2319" w:rsidP="001304D8">
            <w:pPr>
              <w:rPr>
                <w:b/>
                <w:sz w:val="22"/>
                <w:szCs w:val="22"/>
              </w:rPr>
            </w:pPr>
            <w:r w:rsidRPr="00A206F0">
              <w:rPr>
                <w:b/>
                <w:sz w:val="22"/>
                <w:szCs w:val="22"/>
              </w:rPr>
              <w:t>P</w:t>
            </w:r>
            <w:r w:rsidR="001304D8" w:rsidRPr="00A206F0">
              <w:rPr>
                <w:b/>
                <w:sz w:val="22"/>
                <w:szCs w:val="22"/>
              </w:rPr>
              <w:t>URPOSE</w:t>
            </w:r>
            <w:r w:rsidRPr="00A206F0">
              <w:rPr>
                <w:b/>
                <w:sz w:val="22"/>
                <w:szCs w:val="22"/>
              </w:rPr>
              <w:t>:</w:t>
            </w:r>
          </w:p>
        </w:tc>
        <w:tc>
          <w:tcPr>
            <w:tcW w:w="8371" w:type="dxa"/>
          </w:tcPr>
          <w:p w:rsidR="00765B26" w:rsidRPr="00A206F0" w:rsidRDefault="00C034F2" w:rsidP="00765B26">
            <w:pPr>
              <w:rPr>
                <w:sz w:val="22"/>
                <w:szCs w:val="22"/>
              </w:rPr>
            </w:pPr>
            <w:r w:rsidRPr="00A206F0">
              <w:rPr>
                <w:sz w:val="22"/>
                <w:szCs w:val="22"/>
              </w:rPr>
              <w:t>VIDAS</w:t>
            </w:r>
            <w:r w:rsidRPr="00A206F0">
              <w:rPr>
                <w:sz w:val="22"/>
                <w:szCs w:val="22"/>
                <w:vertAlign w:val="superscript"/>
              </w:rPr>
              <w:t>®</w:t>
            </w:r>
            <w:r w:rsidRPr="00A206F0">
              <w:rPr>
                <w:sz w:val="22"/>
                <w:szCs w:val="22"/>
              </w:rPr>
              <w:t xml:space="preserve"> B•R•A•H•M•S PCT</w:t>
            </w:r>
            <w:r w:rsidRPr="00A206F0">
              <w:rPr>
                <w:sz w:val="22"/>
                <w:szCs w:val="22"/>
                <w:vertAlign w:val="superscript"/>
              </w:rPr>
              <w:t>™</w:t>
            </w:r>
            <w:r w:rsidRPr="00A206F0">
              <w:rPr>
                <w:sz w:val="22"/>
                <w:szCs w:val="22"/>
              </w:rPr>
              <w:t xml:space="preserve"> (PCT) is an automated test for the determination of human procalcitonin in human serum</w:t>
            </w:r>
            <w:r w:rsidR="003157C2">
              <w:rPr>
                <w:sz w:val="22"/>
                <w:szCs w:val="22"/>
              </w:rPr>
              <w:t xml:space="preserve"> or plasma (Lithium heparinate) </w:t>
            </w:r>
            <w:r w:rsidRPr="00A206F0">
              <w:rPr>
                <w:sz w:val="22"/>
                <w:szCs w:val="22"/>
              </w:rPr>
              <w:t>using the ELFA (Enzyme-Linked Fluorescent Assay) technique. The VIDAS</w:t>
            </w:r>
            <w:r w:rsidRPr="00A206F0">
              <w:rPr>
                <w:sz w:val="22"/>
                <w:szCs w:val="22"/>
                <w:vertAlign w:val="superscript"/>
              </w:rPr>
              <w:t>®</w:t>
            </w:r>
            <w:r w:rsidRPr="00A206F0">
              <w:rPr>
                <w:sz w:val="22"/>
                <w:szCs w:val="22"/>
              </w:rPr>
              <w:t xml:space="preserve"> B•R•A•H•M•S PCT</w:t>
            </w:r>
            <w:r w:rsidRPr="00A206F0">
              <w:rPr>
                <w:sz w:val="22"/>
                <w:szCs w:val="22"/>
                <w:vertAlign w:val="superscript"/>
              </w:rPr>
              <w:t>™</w:t>
            </w:r>
            <w:r w:rsidRPr="00A206F0">
              <w:rPr>
                <w:sz w:val="22"/>
                <w:szCs w:val="22"/>
              </w:rPr>
              <w:t xml:space="preserve"> is intended for use in conjunction</w:t>
            </w:r>
            <w:r w:rsidR="00277128">
              <w:rPr>
                <w:sz w:val="22"/>
                <w:szCs w:val="22"/>
              </w:rPr>
              <w:t xml:space="preserve"> with other laboratory findings </w:t>
            </w:r>
            <w:r w:rsidRPr="00A206F0">
              <w:rPr>
                <w:sz w:val="22"/>
                <w:szCs w:val="22"/>
              </w:rPr>
              <w:t>an</w:t>
            </w:r>
            <w:r w:rsidR="00277128">
              <w:rPr>
                <w:sz w:val="22"/>
                <w:szCs w:val="22"/>
              </w:rPr>
              <w:t xml:space="preserve">d clinical assessments to aid in </w:t>
            </w:r>
            <w:r w:rsidRPr="00A206F0">
              <w:rPr>
                <w:sz w:val="22"/>
                <w:szCs w:val="22"/>
              </w:rPr>
              <w:t xml:space="preserve">the risk assessment of critically ill patients </w:t>
            </w:r>
            <w:r w:rsidR="00765B26" w:rsidRPr="00A206F0">
              <w:rPr>
                <w:sz w:val="22"/>
                <w:szCs w:val="22"/>
              </w:rPr>
              <w:t>for progression to</w:t>
            </w:r>
            <w:r w:rsidR="00E0580B">
              <w:rPr>
                <w:sz w:val="22"/>
                <w:szCs w:val="22"/>
              </w:rPr>
              <w:t xml:space="preserve"> severe sepsis and septic shock, decision making on antibiotic therapy for patients with suspected or confirmed </w:t>
            </w:r>
            <w:r w:rsidR="00277128">
              <w:rPr>
                <w:sz w:val="22"/>
                <w:szCs w:val="22"/>
              </w:rPr>
              <w:t>lower respiratory tract infections (LRTI), antibiotic discontinuation for patients with suspected or confirmed sepsis, and assessing the cumulative 28-day risk of all-cause mortality for patients diagnosed with severe sepsis or septic shock in the ICU.</w:t>
            </w:r>
          </w:p>
          <w:p w:rsidR="00765B26" w:rsidRPr="00A206F0" w:rsidRDefault="00765B26" w:rsidP="00765B26">
            <w:pPr>
              <w:rPr>
                <w:sz w:val="22"/>
                <w:szCs w:val="22"/>
              </w:rPr>
            </w:pPr>
          </w:p>
        </w:tc>
      </w:tr>
      <w:tr w:rsidR="00F81289" w:rsidRPr="00D11B0D" w:rsidTr="00663660">
        <w:trPr>
          <w:trHeight w:val="1889"/>
        </w:trPr>
        <w:tc>
          <w:tcPr>
            <w:tcW w:w="10187" w:type="dxa"/>
            <w:gridSpan w:val="2"/>
          </w:tcPr>
          <w:p w:rsidR="00F81289" w:rsidRPr="00A206F0" w:rsidRDefault="00765B26" w:rsidP="006C3CB7">
            <w:pPr>
              <w:rPr>
                <w:b/>
                <w:sz w:val="22"/>
                <w:szCs w:val="22"/>
              </w:rPr>
            </w:pPr>
            <w:r w:rsidRPr="00A206F0">
              <w:rPr>
                <w:b/>
                <w:sz w:val="22"/>
                <w:szCs w:val="22"/>
              </w:rPr>
              <w:t>REAGENTS AND MATERIALS</w:t>
            </w:r>
            <w:r w:rsidR="00F81289" w:rsidRPr="00A206F0">
              <w:rPr>
                <w:b/>
                <w:sz w:val="22"/>
                <w:szCs w:val="22"/>
              </w:rPr>
              <w:t>:</w:t>
            </w:r>
          </w:p>
          <w:p w:rsidR="00765B26" w:rsidRPr="00A206F0" w:rsidRDefault="00765B26" w:rsidP="006C3CB7">
            <w:pPr>
              <w:rPr>
                <w:b/>
                <w:sz w:val="22"/>
                <w:szCs w:val="22"/>
              </w:rPr>
            </w:pPr>
          </w:p>
          <w:p w:rsidR="00765B26" w:rsidRPr="00A206F0" w:rsidRDefault="00765B26" w:rsidP="004D4384">
            <w:pPr>
              <w:pStyle w:val="ListParagraph"/>
              <w:numPr>
                <w:ilvl w:val="0"/>
                <w:numId w:val="1"/>
              </w:numPr>
              <w:rPr>
                <w:sz w:val="22"/>
                <w:szCs w:val="22"/>
              </w:rPr>
            </w:pPr>
            <w:r w:rsidRPr="00A206F0">
              <w:rPr>
                <w:sz w:val="22"/>
                <w:szCs w:val="22"/>
              </w:rPr>
              <w:t>Reagents and Materials Provided</w:t>
            </w:r>
          </w:p>
          <w:p w:rsidR="00765B26" w:rsidRPr="00A206F0" w:rsidRDefault="00765B26" w:rsidP="00765B26">
            <w:pPr>
              <w:pStyle w:val="ListParagraph"/>
              <w:rPr>
                <w:sz w:val="22"/>
                <w:szCs w:val="22"/>
              </w:rPr>
            </w:pPr>
          </w:p>
          <w:p w:rsidR="00765B26" w:rsidRPr="00A206F0" w:rsidRDefault="00765B26" w:rsidP="00765B26">
            <w:pPr>
              <w:pStyle w:val="ListParagraph"/>
              <w:rPr>
                <w:sz w:val="22"/>
                <w:szCs w:val="22"/>
              </w:rPr>
            </w:pPr>
            <w:r w:rsidRPr="00A206F0">
              <w:rPr>
                <w:sz w:val="22"/>
                <w:szCs w:val="22"/>
              </w:rPr>
              <w:t>Refrigerate at 2-8</w:t>
            </w:r>
            <w:r w:rsidRPr="00A206F0">
              <w:rPr>
                <w:rFonts w:ascii="Calibri" w:hAnsi="Calibri" w:cs="Calibri"/>
                <w:sz w:val="22"/>
                <w:szCs w:val="22"/>
              </w:rPr>
              <w:t>°</w:t>
            </w:r>
            <w:r w:rsidRPr="00A206F0">
              <w:rPr>
                <w:sz w:val="22"/>
                <w:szCs w:val="22"/>
              </w:rPr>
              <w:t xml:space="preserve">C (Note: Do </w:t>
            </w:r>
            <w:r w:rsidRPr="00A206F0">
              <w:rPr>
                <w:b/>
                <w:sz w:val="22"/>
                <w:szCs w:val="22"/>
                <w:u w:val="single"/>
              </w:rPr>
              <w:t>NOT</w:t>
            </w:r>
            <w:r w:rsidRPr="00A206F0">
              <w:rPr>
                <w:sz w:val="22"/>
                <w:szCs w:val="22"/>
              </w:rPr>
              <w:t xml:space="preserve"> freeze the reagent kits)</w:t>
            </w:r>
          </w:p>
          <w:p w:rsidR="00765B26" w:rsidRPr="00A206F0" w:rsidRDefault="00765B26" w:rsidP="00765B26">
            <w:pPr>
              <w:pStyle w:val="ListParagraph"/>
              <w:rPr>
                <w:sz w:val="22"/>
                <w:szCs w:val="22"/>
              </w:rPr>
            </w:pPr>
          </w:p>
          <w:p w:rsidR="00765B26" w:rsidRPr="00A206F0" w:rsidRDefault="00765B26" w:rsidP="004D4384">
            <w:pPr>
              <w:pStyle w:val="ListParagraph"/>
              <w:numPr>
                <w:ilvl w:val="0"/>
                <w:numId w:val="2"/>
              </w:numPr>
              <w:rPr>
                <w:sz w:val="22"/>
                <w:szCs w:val="22"/>
              </w:rPr>
            </w:pPr>
            <w:r w:rsidRPr="00A206F0">
              <w:rPr>
                <w:sz w:val="22"/>
                <w:szCs w:val="22"/>
              </w:rPr>
              <w:t>PCT Reagent Strips</w:t>
            </w:r>
          </w:p>
          <w:p w:rsidR="00765B26" w:rsidRPr="00A206F0" w:rsidRDefault="00A206F0" w:rsidP="004D4384">
            <w:pPr>
              <w:pStyle w:val="ListParagraph"/>
              <w:numPr>
                <w:ilvl w:val="0"/>
                <w:numId w:val="2"/>
              </w:numPr>
              <w:rPr>
                <w:sz w:val="22"/>
                <w:szCs w:val="22"/>
              </w:rPr>
            </w:pPr>
            <w:r>
              <w:rPr>
                <w:sz w:val="22"/>
                <w:szCs w:val="22"/>
              </w:rPr>
              <w:t>PCT SPRs</w:t>
            </w:r>
          </w:p>
          <w:p w:rsidR="00765B26" w:rsidRPr="00A206F0" w:rsidRDefault="00765B26" w:rsidP="004D4384">
            <w:pPr>
              <w:pStyle w:val="ListParagraph"/>
              <w:numPr>
                <w:ilvl w:val="0"/>
                <w:numId w:val="2"/>
              </w:numPr>
              <w:rPr>
                <w:sz w:val="22"/>
                <w:szCs w:val="22"/>
              </w:rPr>
            </w:pPr>
            <w:r w:rsidRPr="00A206F0">
              <w:rPr>
                <w:sz w:val="22"/>
                <w:szCs w:val="22"/>
              </w:rPr>
              <w:t>PCT Calibrators (S1 &amp; S2)</w:t>
            </w:r>
          </w:p>
          <w:p w:rsidR="00765B26" w:rsidRPr="00A206F0" w:rsidRDefault="00765B26" w:rsidP="004D4384">
            <w:pPr>
              <w:pStyle w:val="ListParagraph"/>
              <w:numPr>
                <w:ilvl w:val="0"/>
                <w:numId w:val="2"/>
              </w:numPr>
              <w:rPr>
                <w:sz w:val="22"/>
                <w:szCs w:val="22"/>
              </w:rPr>
            </w:pPr>
            <w:r w:rsidRPr="00A206F0">
              <w:rPr>
                <w:sz w:val="22"/>
                <w:szCs w:val="22"/>
              </w:rPr>
              <w:t>PCT Kit Controls (C1 and C2)</w:t>
            </w:r>
          </w:p>
          <w:p w:rsidR="00765B26" w:rsidRPr="00A206F0" w:rsidRDefault="00765B26" w:rsidP="00765B26">
            <w:pPr>
              <w:pStyle w:val="ListParagraph"/>
              <w:ind w:left="1080"/>
              <w:rPr>
                <w:sz w:val="22"/>
                <w:szCs w:val="22"/>
              </w:rPr>
            </w:pPr>
          </w:p>
          <w:p w:rsidR="00765B26" w:rsidRPr="00A206F0" w:rsidRDefault="00765B26" w:rsidP="004D4384">
            <w:pPr>
              <w:pStyle w:val="ListParagraph"/>
              <w:numPr>
                <w:ilvl w:val="0"/>
                <w:numId w:val="1"/>
              </w:numPr>
              <w:rPr>
                <w:sz w:val="22"/>
                <w:szCs w:val="22"/>
              </w:rPr>
            </w:pPr>
            <w:r w:rsidRPr="00A206F0">
              <w:rPr>
                <w:sz w:val="22"/>
                <w:szCs w:val="22"/>
              </w:rPr>
              <w:t>Reagent Preparation and Storage</w:t>
            </w:r>
          </w:p>
          <w:p w:rsidR="00765B26" w:rsidRPr="00A206F0" w:rsidRDefault="00765B26" w:rsidP="00765B26">
            <w:pPr>
              <w:rPr>
                <w:sz w:val="22"/>
                <w:szCs w:val="22"/>
              </w:rPr>
            </w:pPr>
          </w:p>
          <w:p w:rsidR="00765B26" w:rsidRPr="00A206F0" w:rsidRDefault="00765B26" w:rsidP="004D4384">
            <w:pPr>
              <w:pStyle w:val="ListParagraph"/>
              <w:numPr>
                <w:ilvl w:val="0"/>
                <w:numId w:val="3"/>
              </w:numPr>
              <w:tabs>
                <w:tab w:val="left" w:pos="975"/>
                <w:tab w:val="left" w:pos="1230"/>
                <w:tab w:val="left" w:pos="1440"/>
              </w:tabs>
              <w:rPr>
                <w:sz w:val="22"/>
                <w:szCs w:val="22"/>
              </w:rPr>
            </w:pPr>
            <w:r w:rsidRPr="00A206F0">
              <w:rPr>
                <w:sz w:val="22"/>
                <w:szCs w:val="22"/>
              </w:rPr>
              <w:t xml:space="preserve"> PCT Calibrator </w:t>
            </w:r>
            <w:r w:rsidR="00172AFA" w:rsidRPr="00A206F0">
              <w:rPr>
                <w:sz w:val="22"/>
                <w:szCs w:val="22"/>
              </w:rPr>
              <w:t>–</w:t>
            </w:r>
            <w:r w:rsidRPr="00A206F0">
              <w:rPr>
                <w:sz w:val="22"/>
                <w:szCs w:val="22"/>
              </w:rPr>
              <w:t xml:space="preserve"> </w:t>
            </w:r>
            <w:r w:rsidR="00172AFA" w:rsidRPr="00A206F0">
              <w:rPr>
                <w:sz w:val="22"/>
                <w:szCs w:val="22"/>
              </w:rPr>
              <w:t>Reconstitute with 2 mL of distilled water. Wait 5-10 minutes before mixing with a vortex mixer. After reconstitution, the calibrator is stable for 8 hours at 2-8</w:t>
            </w:r>
            <w:r w:rsidR="00172AFA" w:rsidRPr="00A206F0">
              <w:rPr>
                <w:rFonts w:ascii="Calibri" w:hAnsi="Calibri" w:cs="Calibri"/>
                <w:sz w:val="22"/>
                <w:szCs w:val="22"/>
              </w:rPr>
              <w:t>°</w:t>
            </w:r>
            <w:r w:rsidR="00172AFA" w:rsidRPr="00A206F0">
              <w:rPr>
                <w:sz w:val="22"/>
                <w:szCs w:val="22"/>
              </w:rPr>
              <w:t>C or until the expiration date of the kit at -25 ± 6</w:t>
            </w:r>
            <w:r w:rsidR="00172AFA" w:rsidRPr="00A206F0">
              <w:rPr>
                <w:rFonts w:ascii="Calibri" w:hAnsi="Calibri" w:cs="Calibri"/>
                <w:sz w:val="22"/>
                <w:szCs w:val="22"/>
              </w:rPr>
              <w:t>°</w:t>
            </w:r>
            <w:r w:rsidR="003157C2">
              <w:rPr>
                <w:sz w:val="22"/>
                <w:szCs w:val="22"/>
              </w:rPr>
              <w:t xml:space="preserve">C. A total of five freeze/thaw </w:t>
            </w:r>
            <w:r w:rsidR="00172AFA" w:rsidRPr="00A206F0">
              <w:rPr>
                <w:sz w:val="22"/>
                <w:szCs w:val="22"/>
              </w:rPr>
              <w:t>cycles are possible for calibrator stability.</w:t>
            </w:r>
          </w:p>
          <w:p w:rsidR="00172AFA" w:rsidRPr="00A206F0" w:rsidRDefault="00172AFA" w:rsidP="00172AFA">
            <w:pPr>
              <w:tabs>
                <w:tab w:val="left" w:pos="975"/>
                <w:tab w:val="left" w:pos="1230"/>
                <w:tab w:val="left" w:pos="1440"/>
              </w:tabs>
              <w:rPr>
                <w:sz w:val="22"/>
                <w:szCs w:val="22"/>
              </w:rPr>
            </w:pPr>
          </w:p>
          <w:p w:rsidR="00441959" w:rsidRPr="00441959" w:rsidRDefault="00172AFA" w:rsidP="00441959">
            <w:pPr>
              <w:pStyle w:val="ListParagraph"/>
              <w:numPr>
                <w:ilvl w:val="0"/>
                <w:numId w:val="3"/>
              </w:numPr>
              <w:rPr>
                <w:sz w:val="22"/>
                <w:szCs w:val="22"/>
              </w:rPr>
            </w:pPr>
            <w:r w:rsidRPr="00441959">
              <w:rPr>
                <w:sz w:val="22"/>
                <w:szCs w:val="22"/>
              </w:rPr>
              <w:t xml:space="preserve"> PCT Controls – Reconstitute with 2 mL of distilled water. Wait 5-10 minutes before mixing with a vortex mixer. Afte</w:t>
            </w:r>
            <w:r w:rsidR="00C569C4" w:rsidRPr="00441959">
              <w:rPr>
                <w:sz w:val="22"/>
                <w:szCs w:val="22"/>
              </w:rPr>
              <w:t>r reconstitution, the control</w:t>
            </w:r>
            <w:r w:rsidRPr="00441959">
              <w:rPr>
                <w:sz w:val="22"/>
                <w:szCs w:val="22"/>
              </w:rPr>
              <w:t xml:space="preserve"> is stable for 8 hours at 2-8</w:t>
            </w:r>
            <w:r w:rsidRPr="00441959">
              <w:rPr>
                <w:rFonts w:ascii="Calibri" w:hAnsi="Calibri" w:cs="Calibri"/>
                <w:sz w:val="22"/>
                <w:szCs w:val="22"/>
              </w:rPr>
              <w:t>°</w:t>
            </w:r>
            <w:r w:rsidRPr="00441959">
              <w:rPr>
                <w:sz w:val="22"/>
                <w:szCs w:val="22"/>
              </w:rPr>
              <w:t>C or until the expiration date of the kit at -25 ± 6</w:t>
            </w:r>
            <w:r w:rsidRPr="00441959">
              <w:rPr>
                <w:rFonts w:ascii="Calibri" w:hAnsi="Calibri" w:cs="Calibri"/>
                <w:sz w:val="22"/>
                <w:szCs w:val="22"/>
              </w:rPr>
              <w:t>°</w:t>
            </w:r>
            <w:r w:rsidRPr="00441959">
              <w:rPr>
                <w:sz w:val="22"/>
                <w:szCs w:val="22"/>
              </w:rPr>
              <w:t>C. A total of five freeze/thaw cy</w:t>
            </w:r>
            <w:r w:rsidR="00C569C4" w:rsidRPr="00441959">
              <w:rPr>
                <w:sz w:val="22"/>
                <w:szCs w:val="22"/>
              </w:rPr>
              <w:t>cles are possible for control</w:t>
            </w:r>
            <w:r w:rsidRPr="00441959">
              <w:rPr>
                <w:sz w:val="22"/>
                <w:szCs w:val="22"/>
              </w:rPr>
              <w:t xml:space="preserve"> stability.</w:t>
            </w:r>
            <w:r w:rsidR="00441959">
              <w:t xml:space="preserve"> </w:t>
            </w:r>
            <w:r w:rsidR="00441959" w:rsidRPr="00441959">
              <w:rPr>
                <w:sz w:val="22"/>
                <w:szCs w:val="22"/>
              </w:rPr>
              <w:t>When reconstituting new vials of controls, they must be aliq</w:t>
            </w:r>
            <w:r w:rsidR="00536AFD">
              <w:rPr>
                <w:sz w:val="22"/>
                <w:szCs w:val="22"/>
              </w:rPr>
              <w:t>uoted into tubes containing 250</w:t>
            </w:r>
            <w:r w:rsidR="00441959" w:rsidRPr="00441959">
              <w:rPr>
                <w:sz w:val="22"/>
                <w:szCs w:val="22"/>
              </w:rPr>
              <w:t>µL of QC for stability.</w:t>
            </w:r>
          </w:p>
          <w:p w:rsidR="008F7FCF" w:rsidRPr="00A206F0" w:rsidRDefault="008F7FCF" w:rsidP="008F7FCF">
            <w:pPr>
              <w:tabs>
                <w:tab w:val="left" w:pos="975"/>
                <w:tab w:val="left" w:pos="1230"/>
                <w:tab w:val="left" w:pos="1440"/>
              </w:tabs>
              <w:rPr>
                <w:sz w:val="22"/>
                <w:szCs w:val="22"/>
              </w:rPr>
            </w:pPr>
          </w:p>
          <w:p w:rsidR="00172AFA" w:rsidRPr="00A206F0" w:rsidRDefault="008F7FCF" w:rsidP="004D4384">
            <w:pPr>
              <w:pStyle w:val="ListParagraph"/>
              <w:numPr>
                <w:ilvl w:val="0"/>
                <w:numId w:val="1"/>
              </w:numPr>
              <w:tabs>
                <w:tab w:val="left" w:pos="975"/>
                <w:tab w:val="left" w:pos="1230"/>
                <w:tab w:val="left" w:pos="1440"/>
              </w:tabs>
              <w:rPr>
                <w:sz w:val="22"/>
                <w:szCs w:val="22"/>
              </w:rPr>
            </w:pPr>
            <w:r w:rsidRPr="00A206F0">
              <w:rPr>
                <w:sz w:val="22"/>
                <w:szCs w:val="22"/>
              </w:rPr>
              <w:t>Additional Materials Required:</w:t>
            </w:r>
          </w:p>
          <w:p w:rsidR="008F7FCF" w:rsidRPr="00A206F0" w:rsidRDefault="008F7FCF" w:rsidP="008F7FCF">
            <w:pPr>
              <w:tabs>
                <w:tab w:val="left" w:pos="975"/>
                <w:tab w:val="left" w:pos="1230"/>
                <w:tab w:val="left" w:pos="1440"/>
              </w:tabs>
              <w:rPr>
                <w:sz w:val="22"/>
                <w:szCs w:val="22"/>
              </w:rPr>
            </w:pPr>
          </w:p>
          <w:p w:rsidR="008F7FCF" w:rsidRPr="00A206F0" w:rsidRDefault="008F7FCF" w:rsidP="004D4384">
            <w:pPr>
              <w:pStyle w:val="ListParagraph"/>
              <w:numPr>
                <w:ilvl w:val="0"/>
                <w:numId w:val="4"/>
              </w:numPr>
              <w:tabs>
                <w:tab w:val="left" w:pos="975"/>
                <w:tab w:val="left" w:pos="1125"/>
                <w:tab w:val="left" w:pos="1230"/>
                <w:tab w:val="left" w:pos="1440"/>
              </w:tabs>
              <w:rPr>
                <w:sz w:val="22"/>
                <w:szCs w:val="22"/>
              </w:rPr>
            </w:pPr>
            <w:r w:rsidRPr="00A206F0">
              <w:rPr>
                <w:sz w:val="22"/>
                <w:szCs w:val="22"/>
              </w:rPr>
              <w:t xml:space="preserve"> Calibrated pipette to dispense 2 mL and 200 </w:t>
            </w:r>
            <w:r w:rsidRPr="00A206F0">
              <w:rPr>
                <w:rFonts w:ascii="Calibri" w:hAnsi="Calibri" w:cs="Calibri"/>
                <w:sz w:val="22"/>
                <w:szCs w:val="22"/>
              </w:rPr>
              <w:t>µ</w:t>
            </w:r>
            <w:r w:rsidRPr="00A206F0">
              <w:rPr>
                <w:sz w:val="22"/>
                <w:szCs w:val="22"/>
              </w:rPr>
              <w:t xml:space="preserve">L </w:t>
            </w:r>
          </w:p>
          <w:p w:rsidR="008F7FCF" w:rsidRPr="00A206F0" w:rsidRDefault="008F7FCF" w:rsidP="004D4384">
            <w:pPr>
              <w:pStyle w:val="ListParagraph"/>
              <w:numPr>
                <w:ilvl w:val="0"/>
                <w:numId w:val="4"/>
              </w:numPr>
              <w:tabs>
                <w:tab w:val="left" w:pos="975"/>
                <w:tab w:val="left" w:pos="1125"/>
                <w:tab w:val="left" w:pos="1230"/>
                <w:tab w:val="left" w:pos="1440"/>
              </w:tabs>
              <w:rPr>
                <w:sz w:val="22"/>
                <w:szCs w:val="22"/>
              </w:rPr>
            </w:pPr>
            <w:r w:rsidRPr="00A206F0">
              <w:rPr>
                <w:sz w:val="22"/>
                <w:szCs w:val="22"/>
              </w:rPr>
              <w:t xml:space="preserve"> Disposable pipette tips for pipette</w:t>
            </w:r>
          </w:p>
          <w:p w:rsidR="008F7FCF" w:rsidRPr="00A206F0" w:rsidRDefault="008F7FCF" w:rsidP="004D4384">
            <w:pPr>
              <w:pStyle w:val="ListParagraph"/>
              <w:numPr>
                <w:ilvl w:val="0"/>
                <w:numId w:val="4"/>
              </w:numPr>
              <w:tabs>
                <w:tab w:val="left" w:pos="975"/>
                <w:tab w:val="left" w:pos="1125"/>
                <w:tab w:val="left" w:pos="1230"/>
                <w:tab w:val="left" w:pos="1440"/>
              </w:tabs>
              <w:rPr>
                <w:sz w:val="22"/>
                <w:szCs w:val="22"/>
              </w:rPr>
            </w:pPr>
            <w:r w:rsidRPr="00A206F0">
              <w:rPr>
                <w:sz w:val="22"/>
                <w:szCs w:val="22"/>
              </w:rPr>
              <w:t xml:space="preserve"> Appropriate personal protective equipment (PPE)</w:t>
            </w:r>
          </w:p>
          <w:p w:rsidR="008F7FCF" w:rsidRPr="00A206F0" w:rsidRDefault="008F7FCF" w:rsidP="008F7FCF">
            <w:pPr>
              <w:rPr>
                <w:b/>
                <w:sz w:val="22"/>
                <w:szCs w:val="22"/>
              </w:rPr>
            </w:pPr>
            <w:r w:rsidRPr="00A206F0">
              <w:rPr>
                <w:b/>
                <w:sz w:val="22"/>
                <w:szCs w:val="22"/>
              </w:rPr>
              <w:lastRenderedPageBreak/>
              <w:t>SPECIMEN COLLECTION, STORAGE AND PREPARATION</w:t>
            </w:r>
          </w:p>
          <w:p w:rsidR="008F7FCF" w:rsidRPr="00A206F0" w:rsidRDefault="008F7FCF" w:rsidP="008F7FCF">
            <w:pPr>
              <w:rPr>
                <w:b/>
                <w:sz w:val="22"/>
                <w:szCs w:val="22"/>
              </w:rPr>
            </w:pPr>
          </w:p>
          <w:p w:rsidR="008F7FCF" w:rsidRPr="00A206F0" w:rsidRDefault="00BB5072" w:rsidP="008F7FCF">
            <w:pPr>
              <w:rPr>
                <w:sz w:val="22"/>
                <w:szCs w:val="22"/>
              </w:rPr>
            </w:pPr>
            <w:r w:rsidRPr="00A206F0">
              <w:rPr>
                <w:sz w:val="22"/>
                <w:szCs w:val="22"/>
              </w:rPr>
              <w:t xml:space="preserve">Collect human serum or plasma with Lithium Heparinate additive. For a given patient, the PCT assay must be performed on the same type of sample tube. EDTA samples are strictly prohibited from use as they can cause a decrease in the values measured. Samples containing suspended fibrin particles or erythrocyte stroma should be centrifuged before testing. </w:t>
            </w:r>
          </w:p>
          <w:p w:rsidR="00BB5072" w:rsidRPr="00A206F0" w:rsidRDefault="00BB5072" w:rsidP="008F7FCF">
            <w:pPr>
              <w:rPr>
                <w:sz w:val="22"/>
                <w:szCs w:val="22"/>
              </w:rPr>
            </w:pPr>
          </w:p>
          <w:p w:rsidR="00BB5072" w:rsidRDefault="00BB5072" w:rsidP="008F7FCF">
            <w:pPr>
              <w:rPr>
                <w:sz w:val="22"/>
                <w:szCs w:val="22"/>
              </w:rPr>
            </w:pPr>
            <w:r w:rsidRPr="00A206F0">
              <w:rPr>
                <w:sz w:val="22"/>
                <w:szCs w:val="22"/>
              </w:rPr>
              <w:t>Patient serum or plasma can be stored at 2-8</w:t>
            </w:r>
            <w:r w:rsidRPr="00A206F0">
              <w:rPr>
                <w:rFonts w:ascii="Calibri" w:hAnsi="Calibri" w:cs="Calibri"/>
                <w:sz w:val="22"/>
                <w:szCs w:val="22"/>
              </w:rPr>
              <w:t>°</w:t>
            </w:r>
            <w:r w:rsidRPr="00A206F0">
              <w:rPr>
                <w:sz w:val="22"/>
                <w:szCs w:val="22"/>
              </w:rPr>
              <w:t xml:space="preserve">C for up to 48 hours; if longer storage is required, freeze at </w:t>
            </w:r>
            <w:r w:rsidRPr="00A206F0">
              <w:rPr>
                <w:rFonts w:ascii="Calibri" w:hAnsi="Calibri" w:cs="Calibri"/>
                <w:sz w:val="22"/>
                <w:szCs w:val="22"/>
              </w:rPr>
              <w:t>-</w:t>
            </w:r>
            <w:r w:rsidRPr="00A206F0">
              <w:rPr>
                <w:sz w:val="22"/>
                <w:szCs w:val="22"/>
              </w:rPr>
              <w:t>25 ± 6</w:t>
            </w:r>
            <w:r w:rsidRPr="00A206F0">
              <w:rPr>
                <w:rFonts w:ascii="Calibri" w:hAnsi="Calibri" w:cs="Calibri"/>
                <w:sz w:val="22"/>
                <w:szCs w:val="22"/>
              </w:rPr>
              <w:t>°</w:t>
            </w:r>
            <w:r w:rsidRPr="00A206F0">
              <w:rPr>
                <w:sz w:val="22"/>
                <w:szCs w:val="22"/>
              </w:rPr>
              <w:t>C</w:t>
            </w:r>
            <w:r w:rsidR="00A820CF" w:rsidRPr="00A206F0">
              <w:rPr>
                <w:sz w:val="22"/>
                <w:szCs w:val="22"/>
              </w:rPr>
              <w:t xml:space="preserve"> for up to six months.</w:t>
            </w:r>
          </w:p>
          <w:p w:rsidR="0080198B" w:rsidRDefault="0080198B" w:rsidP="008F7FCF">
            <w:pPr>
              <w:rPr>
                <w:sz w:val="22"/>
                <w:szCs w:val="22"/>
              </w:rPr>
            </w:pPr>
          </w:p>
          <w:p w:rsidR="0080198B" w:rsidRDefault="0080198B" w:rsidP="008F7FCF">
            <w:pPr>
              <w:rPr>
                <w:b/>
                <w:sz w:val="22"/>
                <w:szCs w:val="22"/>
              </w:rPr>
            </w:pPr>
            <w:r w:rsidRPr="0080198B">
              <w:rPr>
                <w:b/>
                <w:sz w:val="22"/>
                <w:szCs w:val="22"/>
              </w:rPr>
              <w:t>MASTER LOT</w:t>
            </w:r>
            <w:r>
              <w:rPr>
                <w:b/>
                <w:sz w:val="22"/>
                <w:szCs w:val="22"/>
              </w:rPr>
              <w:t xml:space="preserve"> </w:t>
            </w:r>
            <w:r w:rsidRPr="0080198B">
              <w:rPr>
                <w:b/>
                <w:sz w:val="22"/>
                <w:szCs w:val="22"/>
              </w:rPr>
              <w:t>ENTRY</w:t>
            </w:r>
            <w:r>
              <w:rPr>
                <w:b/>
                <w:sz w:val="22"/>
                <w:szCs w:val="22"/>
              </w:rPr>
              <w:t xml:space="preserve"> (MLE)</w:t>
            </w:r>
          </w:p>
          <w:p w:rsidR="0080198B" w:rsidRDefault="0080198B" w:rsidP="008F7FCF">
            <w:pPr>
              <w:rPr>
                <w:b/>
                <w:sz w:val="22"/>
                <w:szCs w:val="22"/>
              </w:rPr>
            </w:pPr>
          </w:p>
          <w:p w:rsidR="0080198B" w:rsidRPr="0080198B" w:rsidRDefault="0080198B" w:rsidP="008F7FCF">
            <w:pPr>
              <w:rPr>
                <w:sz w:val="22"/>
                <w:szCs w:val="22"/>
              </w:rPr>
            </w:pPr>
            <w:r>
              <w:rPr>
                <w:sz w:val="22"/>
                <w:szCs w:val="22"/>
              </w:rPr>
              <w:t>When using a new lot of the procalcitonin</w:t>
            </w:r>
            <w:r w:rsidR="001A6BE8">
              <w:rPr>
                <w:sz w:val="22"/>
                <w:szCs w:val="22"/>
              </w:rPr>
              <w:t xml:space="preserve"> </w:t>
            </w:r>
            <w:r>
              <w:rPr>
                <w:sz w:val="22"/>
                <w:szCs w:val="22"/>
              </w:rPr>
              <w:t>a</w:t>
            </w:r>
            <w:r w:rsidR="001A6BE8">
              <w:rPr>
                <w:sz w:val="22"/>
                <w:szCs w:val="22"/>
              </w:rPr>
              <w:t xml:space="preserve">ssay </w:t>
            </w:r>
            <w:r>
              <w:rPr>
                <w:sz w:val="22"/>
                <w:szCs w:val="22"/>
              </w:rPr>
              <w:t xml:space="preserve">and </w:t>
            </w:r>
            <w:r w:rsidR="001A6BE8">
              <w:rPr>
                <w:sz w:val="22"/>
                <w:szCs w:val="22"/>
              </w:rPr>
              <w:t>before running calibrators, controls</w:t>
            </w:r>
            <w:r>
              <w:rPr>
                <w:sz w:val="22"/>
                <w:szCs w:val="22"/>
              </w:rPr>
              <w:t>,</w:t>
            </w:r>
            <w:r w:rsidR="001A6BE8">
              <w:rPr>
                <w:sz w:val="22"/>
                <w:szCs w:val="22"/>
              </w:rPr>
              <w:t xml:space="preserve"> or samples,</w:t>
            </w:r>
            <w:r>
              <w:rPr>
                <w:sz w:val="22"/>
                <w:szCs w:val="22"/>
              </w:rPr>
              <w:t xml:space="preserve"> scan the kit barcode using the instrument barcode reader. This reading will allow the VIDAS</w:t>
            </w:r>
            <w:r w:rsidRPr="0080198B">
              <w:rPr>
                <w:sz w:val="22"/>
                <w:szCs w:val="22"/>
                <w:vertAlign w:val="superscript"/>
              </w:rPr>
              <w:t>®</w:t>
            </w:r>
            <w:r>
              <w:rPr>
                <w:sz w:val="22"/>
                <w:szCs w:val="22"/>
              </w:rPr>
              <w:t xml:space="preserve"> PTC protocol data to be transferred to the instrumen</w:t>
            </w:r>
            <w:r w:rsidR="00B66579">
              <w:rPr>
                <w:sz w:val="22"/>
                <w:szCs w:val="22"/>
              </w:rPr>
              <w:t xml:space="preserve">t </w:t>
            </w:r>
            <w:r w:rsidR="001A6BE8">
              <w:rPr>
                <w:sz w:val="22"/>
                <w:szCs w:val="22"/>
              </w:rPr>
              <w:t>software for its update.</w:t>
            </w:r>
            <w:r w:rsidR="007313B3">
              <w:rPr>
                <w:sz w:val="22"/>
                <w:szCs w:val="22"/>
              </w:rPr>
              <w:t xml:space="preserve"> Calibrator and control results reference ranges will</w:t>
            </w:r>
            <w:r w:rsidR="001A6BE8">
              <w:rPr>
                <w:sz w:val="22"/>
                <w:szCs w:val="22"/>
              </w:rPr>
              <w:t xml:space="preserve"> This</w:t>
            </w:r>
            <w:r>
              <w:rPr>
                <w:sz w:val="22"/>
                <w:szCs w:val="22"/>
              </w:rPr>
              <w:t xml:space="preserve"> data shoul</w:t>
            </w:r>
            <w:r w:rsidR="00B66579">
              <w:rPr>
                <w:sz w:val="22"/>
                <w:szCs w:val="22"/>
              </w:rPr>
              <w:t>d only be scanned once at the start of a new lot.</w:t>
            </w:r>
            <w:r w:rsidR="007313B3">
              <w:rPr>
                <w:sz w:val="22"/>
                <w:szCs w:val="22"/>
              </w:rPr>
              <w:t xml:space="preserve"> </w:t>
            </w:r>
          </w:p>
          <w:p w:rsidR="00F81289" w:rsidRPr="00A206F0" w:rsidRDefault="00F81289" w:rsidP="000A7451">
            <w:pPr>
              <w:rPr>
                <w:b/>
                <w:sz w:val="22"/>
                <w:szCs w:val="22"/>
              </w:rPr>
            </w:pPr>
          </w:p>
          <w:p w:rsidR="00F81289" w:rsidRPr="00A206F0" w:rsidRDefault="00A820CF" w:rsidP="003B53CE">
            <w:pPr>
              <w:rPr>
                <w:b/>
                <w:sz w:val="22"/>
                <w:szCs w:val="22"/>
              </w:rPr>
            </w:pPr>
            <w:r w:rsidRPr="00A206F0">
              <w:rPr>
                <w:b/>
                <w:sz w:val="22"/>
                <w:szCs w:val="22"/>
              </w:rPr>
              <w:t>C</w:t>
            </w:r>
            <w:r w:rsidR="003B53CE" w:rsidRPr="00A206F0">
              <w:rPr>
                <w:b/>
                <w:sz w:val="22"/>
                <w:szCs w:val="22"/>
              </w:rPr>
              <w:t>ALIBRATION</w:t>
            </w:r>
          </w:p>
          <w:p w:rsidR="003B53CE" w:rsidRPr="00A206F0" w:rsidRDefault="003B53CE" w:rsidP="003B53CE">
            <w:pPr>
              <w:rPr>
                <w:b/>
                <w:sz w:val="22"/>
                <w:szCs w:val="22"/>
              </w:rPr>
            </w:pPr>
          </w:p>
          <w:p w:rsidR="003B53CE" w:rsidRDefault="00441959" w:rsidP="003B53CE">
            <w:pPr>
              <w:rPr>
                <w:sz w:val="22"/>
                <w:szCs w:val="22"/>
              </w:rPr>
            </w:pPr>
            <w:r w:rsidRPr="00441959">
              <w:rPr>
                <w:sz w:val="22"/>
                <w:szCs w:val="22"/>
              </w:rPr>
              <w:t>Calibration must be performed every 28 days or when a new lot of reagent is opened. The calibrators (S1 and S2) must be tested in duplicate in the same run to create an average RFV (“Relative Fluorescence Value”). The calibration values must be within the set RFV</w:t>
            </w:r>
            <w:r w:rsidR="00E0580B">
              <w:rPr>
                <w:sz w:val="22"/>
                <w:szCs w:val="22"/>
              </w:rPr>
              <w:t xml:space="preserve"> range of the current MLE lot</w:t>
            </w:r>
            <w:r w:rsidRPr="00441959">
              <w:rPr>
                <w:sz w:val="22"/>
                <w:szCs w:val="22"/>
              </w:rPr>
              <w:t xml:space="preserve"> before further testing can begin. The instrument will only be able to check the calibration values if they are identified as S1 and S2 in the status screen menu. Both standard values must be within range for the standard curve to be acceptable.</w:t>
            </w:r>
          </w:p>
          <w:p w:rsidR="00441959" w:rsidRPr="00A206F0" w:rsidRDefault="00441959" w:rsidP="003B53CE">
            <w:pPr>
              <w:rPr>
                <w:sz w:val="22"/>
                <w:szCs w:val="22"/>
              </w:rPr>
            </w:pPr>
          </w:p>
          <w:p w:rsidR="003B53CE" w:rsidRPr="003157C2" w:rsidRDefault="003B53CE" w:rsidP="003B53CE">
            <w:pPr>
              <w:rPr>
                <w:b/>
                <w:sz w:val="22"/>
                <w:szCs w:val="22"/>
              </w:rPr>
            </w:pPr>
            <w:r w:rsidRPr="003157C2">
              <w:rPr>
                <w:b/>
                <w:sz w:val="22"/>
                <w:szCs w:val="22"/>
              </w:rPr>
              <w:t>QUALITY CONTROL</w:t>
            </w:r>
          </w:p>
          <w:p w:rsidR="003B53CE" w:rsidRPr="003157C2" w:rsidRDefault="003B53CE" w:rsidP="003B53CE">
            <w:pPr>
              <w:rPr>
                <w:b/>
                <w:sz w:val="22"/>
                <w:szCs w:val="22"/>
              </w:rPr>
            </w:pPr>
          </w:p>
          <w:p w:rsidR="003B53CE" w:rsidRDefault="00441959" w:rsidP="003B53CE">
            <w:pPr>
              <w:rPr>
                <w:sz w:val="22"/>
                <w:szCs w:val="22"/>
              </w:rPr>
            </w:pPr>
            <w:r w:rsidRPr="00441959">
              <w:rPr>
                <w:sz w:val="22"/>
                <w:szCs w:val="22"/>
              </w:rPr>
              <w:t>Controls must be performed daily or when opening a new kit to ensure that reagent performance has not been altered. Each calibration must also be checked using these controls.</w:t>
            </w:r>
            <w:r w:rsidR="00E0580B">
              <w:rPr>
                <w:sz w:val="22"/>
                <w:szCs w:val="22"/>
              </w:rPr>
              <w:t xml:space="preserve"> The control values must be within the set RFV range of the current MLE lot before further testing can begin.</w:t>
            </w:r>
            <w:r w:rsidRPr="00441959">
              <w:rPr>
                <w:sz w:val="22"/>
                <w:szCs w:val="22"/>
              </w:rPr>
              <w:t xml:space="preserve"> The instrument will only be able to check the control values if they are identified as C1 and C2 in the status screen menu. Results cannot be validated if the controls deviate from the expected values. Samples tested in the same run must be retested.</w:t>
            </w:r>
          </w:p>
          <w:p w:rsidR="00441959" w:rsidRPr="00441959" w:rsidRDefault="00441959" w:rsidP="003B53CE">
            <w:pPr>
              <w:rPr>
                <w:sz w:val="22"/>
                <w:szCs w:val="22"/>
              </w:rPr>
            </w:pPr>
          </w:p>
          <w:p w:rsidR="003B53CE" w:rsidRPr="00A206F0" w:rsidRDefault="003B53CE" w:rsidP="003B53CE">
            <w:pPr>
              <w:rPr>
                <w:b/>
                <w:sz w:val="22"/>
                <w:szCs w:val="22"/>
              </w:rPr>
            </w:pPr>
            <w:r w:rsidRPr="00A206F0">
              <w:rPr>
                <w:b/>
                <w:sz w:val="22"/>
                <w:szCs w:val="22"/>
              </w:rPr>
              <w:t>PROCEDURE</w:t>
            </w:r>
          </w:p>
          <w:p w:rsidR="003B53CE" w:rsidRPr="00A206F0" w:rsidRDefault="003B53CE" w:rsidP="003B53CE">
            <w:pPr>
              <w:rPr>
                <w:sz w:val="22"/>
                <w:szCs w:val="22"/>
              </w:rPr>
            </w:pPr>
          </w:p>
          <w:p w:rsidR="007F2B6F" w:rsidRPr="00A206F0" w:rsidRDefault="007F2B6F" w:rsidP="004D4384">
            <w:pPr>
              <w:pStyle w:val="ListParagraph"/>
              <w:numPr>
                <w:ilvl w:val="0"/>
                <w:numId w:val="5"/>
              </w:numPr>
              <w:rPr>
                <w:sz w:val="22"/>
                <w:szCs w:val="22"/>
              </w:rPr>
            </w:pPr>
            <w:r w:rsidRPr="00A206F0">
              <w:rPr>
                <w:sz w:val="22"/>
                <w:szCs w:val="22"/>
              </w:rPr>
              <w:t>Remove the required reagents from the refrigerator and allow</w:t>
            </w:r>
            <w:r w:rsidR="003B53CE" w:rsidRPr="00A206F0">
              <w:rPr>
                <w:sz w:val="22"/>
                <w:szCs w:val="22"/>
              </w:rPr>
              <w:t xml:space="preserve"> them</w:t>
            </w:r>
            <w:r w:rsidRPr="00A206F0">
              <w:rPr>
                <w:sz w:val="22"/>
                <w:szCs w:val="22"/>
              </w:rPr>
              <w:t xml:space="preserve"> to sit at room temperature for 30 minutes before using.</w:t>
            </w:r>
          </w:p>
          <w:p w:rsidR="007F2B6F" w:rsidRPr="00A206F0" w:rsidRDefault="007F2B6F" w:rsidP="004D4384">
            <w:pPr>
              <w:pStyle w:val="ListParagraph"/>
              <w:numPr>
                <w:ilvl w:val="0"/>
                <w:numId w:val="5"/>
              </w:numPr>
              <w:rPr>
                <w:sz w:val="22"/>
                <w:szCs w:val="22"/>
              </w:rPr>
            </w:pPr>
            <w:r w:rsidRPr="00A206F0">
              <w:rPr>
                <w:sz w:val="22"/>
                <w:szCs w:val="22"/>
              </w:rPr>
              <w:t>Use one “PCT” strip and one “PCT” SPR for each sa</w:t>
            </w:r>
            <w:r w:rsidR="003B53CE" w:rsidRPr="00A206F0">
              <w:rPr>
                <w:sz w:val="22"/>
                <w:szCs w:val="22"/>
              </w:rPr>
              <w:t>mple</w:t>
            </w:r>
            <w:r w:rsidRPr="00A206F0">
              <w:rPr>
                <w:sz w:val="22"/>
                <w:szCs w:val="22"/>
              </w:rPr>
              <w:t>, control, or calibrator to be tested.</w:t>
            </w:r>
          </w:p>
          <w:p w:rsidR="007F2B6F" w:rsidRPr="00A206F0" w:rsidRDefault="007F2B6F" w:rsidP="004D4384">
            <w:pPr>
              <w:pStyle w:val="ListParagraph"/>
              <w:numPr>
                <w:ilvl w:val="0"/>
                <w:numId w:val="5"/>
              </w:numPr>
              <w:rPr>
                <w:sz w:val="22"/>
                <w:szCs w:val="22"/>
              </w:rPr>
            </w:pPr>
            <w:r w:rsidRPr="00A206F0">
              <w:rPr>
                <w:sz w:val="22"/>
                <w:szCs w:val="22"/>
              </w:rPr>
              <w:t>The assay is identified by</w:t>
            </w:r>
            <w:r w:rsidR="001A6BE8">
              <w:rPr>
                <w:sz w:val="22"/>
                <w:szCs w:val="22"/>
              </w:rPr>
              <w:t xml:space="preserve"> reading</w:t>
            </w:r>
            <w:r w:rsidRPr="00A206F0">
              <w:rPr>
                <w:sz w:val="22"/>
                <w:szCs w:val="22"/>
              </w:rPr>
              <w:t xml:space="preserve"> </w:t>
            </w:r>
            <w:r w:rsidR="001A6BE8">
              <w:rPr>
                <w:sz w:val="22"/>
                <w:szCs w:val="22"/>
              </w:rPr>
              <w:t>the “PCT” code on the reagent strip</w:t>
            </w:r>
            <w:r w:rsidRPr="00A206F0">
              <w:rPr>
                <w:sz w:val="22"/>
                <w:szCs w:val="22"/>
              </w:rPr>
              <w:t>. The calibrators must be identified by “S1” and by “S2”, and tested in duplicate. If the controls need to be tested, they should be identified</w:t>
            </w:r>
            <w:r w:rsidR="001A6BE8">
              <w:rPr>
                <w:sz w:val="22"/>
                <w:szCs w:val="22"/>
              </w:rPr>
              <w:t xml:space="preserve"> by C1 and C2 and tested singly. </w:t>
            </w:r>
            <w:r w:rsidR="00B66579">
              <w:rPr>
                <w:sz w:val="22"/>
                <w:szCs w:val="22"/>
              </w:rPr>
              <w:t>Patients</w:t>
            </w:r>
            <w:r w:rsidR="001A6BE8">
              <w:rPr>
                <w:sz w:val="22"/>
                <w:szCs w:val="22"/>
              </w:rPr>
              <w:t xml:space="preserve"> (or controls/standards as needed) must be programed in the status menu screen prior to loading “PCT” strips and “</w:t>
            </w:r>
            <w:r w:rsidR="00B66579">
              <w:rPr>
                <w:sz w:val="22"/>
                <w:szCs w:val="22"/>
              </w:rPr>
              <w:t xml:space="preserve">PCT” </w:t>
            </w:r>
            <w:r w:rsidR="001A6BE8">
              <w:rPr>
                <w:sz w:val="22"/>
                <w:szCs w:val="22"/>
              </w:rPr>
              <w:t>SPRs</w:t>
            </w:r>
            <w:r w:rsidR="00B66579">
              <w:rPr>
                <w:sz w:val="22"/>
                <w:szCs w:val="22"/>
              </w:rPr>
              <w:t>.</w:t>
            </w:r>
          </w:p>
          <w:p w:rsidR="007F2B6F" w:rsidRPr="00A206F0" w:rsidRDefault="007F2B6F" w:rsidP="004D4384">
            <w:pPr>
              <w:pStyle w:val="ListParagraph"/>
              <w:numPr>
                <w:ilvl w:val="0"/>
                <w:numId w:val="5"/>
              </w:numPr>
              <w:rPr>
                <w:sz w:val="22"/>
                <w:szCs w:val="22"/>
              </w:rPr>
            </w:pPr>
            <w:r w:rsidRPr="00A206F0">
              <w:rPr>
                <w:sz w:val="22"/>
                <w:szCs w:val="22"/>
              </w:rPr>
              <w:t>Mix the calibrators and/or controls using a vortex-type mixer.</w:t>
            </w:r>
          </w:p>
          <w:p w:rsidR="007F2B6F" w:rsidRPr="00A206F0" w:rsidRDefault="00704404" w:rsidP="004D4384">
            <w:pPr>
              <w:pStyle w:val="ListParagraph"/>
              <w:numPr>
                <w:ilvl w:val="0"/>
                <w:numId w:val="5"/>
              </w:numPr>
              <w:rPr>
                <w:sz w:val="22"/>
                <w:szCs w:val="22"/>
              </w:rPr>
            </w:pPr>
            <w:r w:rsidRPr="00A206F0">
              <w:rPr>
                <w:sz w:val="22"/>
                <w:szCs w:val="22"/>
              </w:rPr>
              <w:t xml:space="preserve">Pipette 200 </w:t>
            </w:r>
            <w:r w:rsidRPr="00A206F0">
              <w:rPr>
                <w:rFonts w:ascii="Calibri" w:hAnsi="Calibri" w:cs="Calibri"/>
                <w:sz w:val="22"/>
                <w:szCs w:val="22"/>
              </w:rPr>
              <w:t>µ</w:t>
            </w:r>
            <w:r w:rsidRPr="00A206F0">
              <w:rPr>
                <w:sz w:val="22"/>
                <w:szCs w:val="22"/>
              </w:rPr>
              <w:t>L of calibrator, control, or sample into the first well of the “PCT” strip. Visually inspect well for bubbles.</w:t>
            </w:r>
          </w:p>
          <w:p w:rsidR="00704404" w:rsidRPr="00A206F0" w:rsidRDefault="00704404" w:rsidP="004D4384">
            <w:pPr>
              <w:pStyle w:val="ListParagraph"/>
              <w:numPr>
                <w:ilvl w:val="0"/>
                <w:numId w:val="5"/>
              </w:numPr>
              <w:rPr>
                <w:sz w:val="22"/>
                <w:szCs w:val="22"/>
              </w:rPr>
            </w:pPr>
            <w:r w:rsidRPr="00A206F0">
              <w:rPr>
                <w:sz w:val="22"/>
                <w:szCs w:val="22"/>
              </w:rPr>
              <w:t>Insert equal number of “PCT” SPRs and “PCT” strips into their appropriate assigned position on the instrument.</w:t>
            </w:r>
          </w:p>
          <w:p w:rsidR="00704404" w:rsidRPr="00A206F0" w:rsidRDefault="00704404" w:rsidP="004D4384">
            <w:pPr>
              <w:pStyle w:val="ListParagraph"/>
              <w:numPr>
                <w:ilvl w:val="0"/>
                <w:numId w:val="5"/>
              </w:numPr>
              <w:rPr>
                <w:sz w:val="22"/>
                <w:szCs w:val="22"/>
              </w:rPr>
            </w:pPr>
            <w:r w:rsidRPr="00A206F0">
              <w:rPr>
                <w:sz w:val="22"/>
                <w:szCs w:val="22"/>
              </w:rPr>
              <w:t>Initiate the assay immediately. All the assay steps are performed automatically by the instrument.</w:t>
            </w:r>
          </w:p>
          <w:p w:rsidR="00976FD1" w:rsidRPr="00A206F0" w:rsidRDefault="00704404" w:rsidP="004D4384">
            <w:pPr>
              <w:pStyle w:val="ListParagraph"/>
              <w:numPr>
                <w:ilvl w:val="0"/>
                <w:numId w:val="5"/>
              </w:numPr>
              <w:rPr>
                <w:sz w:val="22"/>
                <w:szCs w:val="22"/>
              </w:rPr>
            </w:pPr>
            <w:r w:rsidRPr="00A206F0">
              <w:rPr>
                <w:sz w:val="22"/>
                <w:szCs w:val="22"/>
              </w:rPr>
              <w:t>The assay will be completed within approximately 20 minutes of initiation. After the assay is completed, remove and discard of “PCT” SPRs and “PCT”</w:t>
            </w:r>
            <w:r w:rsidR="00976FD1" w:rsidRPr="00A206F0">
              <w:rPr>
                <w:sz w:val="22"/>
                <w:szCs w:val="22"/>
              </w:rPr>
              <w:t xml:space="preserve"> strips in</w:t>
            </w:r>
            <w:r w:rsidR="00B66579">
              <w:rPr>
                <w:sz w:val="22"/>
                <w:szCs w:val="22"/>
              </w:rPr>
              <w:t xml:space="preserve">to a </w:t>
            </w:r>
            <w:r w:rsidR="00976FD1" w:rsidRPr="00A206F0">
              <w:rPr>
                <w:sz w:val="22"/>
                <w:szCs w:val="22"/>
              </w:rPr>
              <w:t>hazardous</w:t>
            </w:r>
            <w:r w:rsidRPr="00A206F0">
              <w:rPr>
                <w:sz w:val="22"/>
                <w:szCs w:val="22"/>
              </w:rPr>
              <w:t xml:space="preserve"> waste </w:t>
            </w:r>
            <w:r w:rsidR="00976FD1" w:rsidRPr="00A206F0">
              <w:rPr>
                <w:sz w:val="22"/>
                <w:szCs w:val="22"/>
              </w:rPr>
              <w:t>receptacle.</w:t>
            </w:r>
          </w:p>
          <w:p w:rsidR="00277128" w:rsidRDefault="00277128" w:rsidP="00976FD1">
            <w:pPr>
              <w:rPr>
                <w:b/>
                <w:sz w:val="22"/>
                <w:szCs w:val="22"/>
              </w:rPr>
            </w:pPr>
          </w:p>
          <w:p w:rsidR="00704404" w:rsidRPr="00A206F0" w:rsidRDefault="00976FD1" w:rsidP="00976FD1">
            <w:pPr>
              <w:rPr>
                <w:b/>
                <w:sz w:val="22"/>
                <w:szCs w:val="22"/>
              </w:rPr>
            </w:pPr>
            <w:r w:rsidRPr="00A206F0">
              <w:rPr>
                <w:b/>
                <w:sz w:val="22"/>
                <w:szCs w:val="22"/>
              </w:rPr>
              <w:lastRenderedPageBreak/>
              <w:t xml:space="preserve">RESULTS </w:t>
            </w:r>
            <w:r w:rsidR="00704404" w:rsidRPr="00A206F0">
              <w:rPr>
                <w:b/>
                <w:sz w:val="22"/>
                <w:szCs w:val="22"/>
              </w:rPr>
              <w:t xml:space="preserve"> </w:t>
            </w:r>
          </w:p>
          <w:p w:rsidR="00A820CF" w:rsidRPr="00A206F0" w:rsidRDefault="00A820CF" w:rsidP="00962340">
            <w:pPr>
              <w:rPr>
                <w:sz w:val="22"/>
                <w:szCs w:val="22"/>
              </w:rPr>
            </w:pPr>
          </w:p>
          <w:p w:rsidR="00976FD1" w:rsidRPr="00A206F0" w:rsidRDefault="00976FD1" w:rsidP="00962340">
            <w:pPr>
              <w:rPr>
                <w:sz w:val="22"/>
                <w:szCs w:val="22"/>
              </w:rPr>
            </w:pPr>
            <w:r w:rsidRPr="00A206F0">
              <w:rPr>
                <w:sz w:val="22"/>
                <w:szCs w:val="22"/>
              </w:rPr>
              <w:t xml:space="preserve">Results are analyzed automatically by the computer using two calibration curves which are stored by the instrument; the concentrations are expressed in </w:t>
            </w:r>
            <w:r w:rsidRPr="00A206F0">
              <w:rPr>
                <w:b/>
                <w:sz w:val="22"/>
                <w:szCs w:val="22"/>
                <w:u w:val="single"/>
              </w:rPr>
              <w:t>ng/mL</w:t>
            </w:r>
            <w:r w:rsidRPr="00A206F0">
              <w:rPr>
                <w:sz w:val="22"/>
                <w:szCs w:val="22"/>
              </w:rPr>
              <w:t>. With VIDAS PC, if a result which is &lt;0.05 ng/mL is obtained, the printed report will include the alarm “J2 &gt; J4 &amp; J2 – J0 &lt; RFV threshold” and will be indicated for the RFV. This alarm, which is linked with the reading mode of the VIDAS</w:t>
            </w:r>
            <w:r w:rsidRPr="00A206F0">
              <w:rPr>
                <w:sz w:val="22"/>
                <w:szCs w:val="22"/>
                <w:vertAlign w:val="superscript"/>
              </w:rPr>
              <w:t>®</w:t>
            </w:r>
            <w:r w:rsidRPr="00A206F0">
              <w:rPr>
                <w:sz w:val="22"/>
                <w:szCs w:val="22"/>
              </w:rPr>
              <w:t xml:space="preserve"> B•R•A•H•M•S PCT</w:t>
            </w:r>
            <w:r w:rsidRPr="00A206F0">
              <w:rPr>
                <w:sz w:val="22"/>
                <w:szCs w:val="22"/>
                <w:vertAlign w:val="superscript"/>
              </w:rPr>
              <w:t>™</w:t>
            </w:r>
            <w:r w:rsidRPr="00A206F0">
              <w:rPr>
                <w:sz w:val="22"/>
                <w:szCs w:val="22"/>
              </w:rPr>
              <w:t xml:space="preserve"> (PCT) technique (dual reading), does not call into question the concentration measured.</w:t>
            </w:r>
          </w:p>
          <w:p w:rsidR="00976FD1" w:rsidRPr="00A206F0" w:rsidRDefault="00976FD1" w:rsidP="00962340">
            <w:pPr>
              <w:rPr>
                <w:sz w:val="22"/>
                <w:szCs w:val="22"/>
              </w:rPr>
            </w:pPr>
          </w:p>
          <w:p w:rsidR="00A820CF" w:rsidRPr="00A206F0" w:rsidRDefault="00976FD1" w:rsidP="00962340">
            <w:pPr>
              <w:rPr>
                <w:sz w:val="22"/>
                <w:szCs w:val="22"/>
              </w:rPr>
            </w:pPr>
            <w:r w:rsidRPr="00A206F0">
              <w:rPr>
                <w:sz w:val="22"/>
                <w:szCs w:val="22"/>
              </w:rPr>
              <w:t>As not international standard is available, VIDAS</w:t>
            </w:r>
            <w:r w:rsidRPr="00A206F0">
              <w:rPr>
                <w:sz w:val="22"/>
                <w:szCs w:val="22"/>
                <w:vertAlign w:val="superscript"/>
              </w:rPr>
              <w:t>®</w:t>
            </w:r>
            <w:r w:rsidRPr="00A206F0">
              <w:rPr>
                <w:sz w:val="22"/>
                <w:szCs w:val="22"/>
              </w:rPr>
              <w:t xml:space="preserve"> B•R•A•H•M•S PCT</w:t>
            </w:r>
            <w:r w:rsidRPr="00A206F0">
              <w:rPr>
                <w:sz w:val="22"/>
                <w:szCs w:val="22"/>
                <w:vertAlign w:val="superscript"/>
              </w:rPr>
              <w:t>™</w:t>
            </w:r>
            <w:r w:rsidRPr="00A206F0">
              <w:rPr>
                <w:sz w:val="22"/>
                <w:szCs w:val="22"/>
              </w:rPr>
              <w:t xml:space="preserve"> is calibrated against an internal panel of human sera with known procalcitonin concentrations. In case of patient follow-up, it is recommended to use the same PCT assay technique.</w:t>
            </w:r>
          </w:p>
          <w:p w:rsidR="00976FD1" w:rsidRPr="00A206F0" w:rsidRDefault="00976FD1" w:rsidP="00962340">
            <w:pPr>
              <w:rPr>
                <w:sz w:val="22"/>
                <w:szCs w:val="22"/>
              </w:rPr>
            </w:pPr>
          </w:p>
          <w:p w:rsidR="00277128" w:rsidRDefault="00976FD1" w:rsidP="00962340">
            <w:pPr>
              <w:rPr>
                <w:sz w:val="22"/>
                <w:szCs w:val="22"/>
              </w:rPr>
            </w:pPr>
            <w:r w:rsidRPr="00A206F0">
              <w:rPr>
                <w:sz w:val="22"/>
                <w:szCs w:val="22"/>
              </w:rPr>
              <w:t>Samples with procalcitonin concentrations greater than 200 ng/mL should be retested after dilution by 1/10</w:t>
            </w:r>
            <w:r w:rsidR="007A1361" w:rsidRPr="00A206F0">
              <w:rPr>
                <w:sz w:val="22"/>
                <w:szCs w:val="22"/>
              </w:rPr>
              <w:t xml:space="preserve"> </w:t>
            </w:r>
            <w:r w:rsidR="00277128">
              <w:rPr>
                <w:sz w:val="22"/>
                <w:szCs w:val="22"/>
              </w:rPr>
              <w:t xml:space="preserve">           (1 </w:t>
            </w:r>
            <w:r w:rsidR="007A1361" w:rsidRPr="00A206F0">
              <w:rPr>
                <w:sz w:val="22"/>
                <w:szCs w:val="22"/>
              </w:rPr>
              <w:t>volume of patient sample + 9 volumes of PCT negative sample).</w:t>
            </w:r>
          </w:p>
          <w:p w:rsidR="00980008" w:rsidRDefault="00980008" w:rsidP="00962340">
            <w:pPr>
              <w:rPr>
                <w:sz w:val="22"/>
                <w:szCs w:val="22"/>
              </w:rPr>
            </w:pPr>
          </w:p>
          <w:p w:rsidR="00980008" w:rsidRDefault="007313B3" w:rsidP="00962340">
            <w:pPr>
              <w:rPr>
                <w:sz w:val="22"/>
                <w:szCs w:val="22"/>
              </w:rPr>
            </w:pPr>
            <w:r>
              <w:rPr>
                <w:sz w:val="22"/>
                <w:szCs w:val="22"/>
              </w:rPr>
              <w:t xml:space="preserve">All procalcitonin concentrations </w:t>
            </w:r>
            <w:r w:rsidRPr="007313B3">
              <w:rPr>
                <w:b/>
                <w:sz w:val="22"/>
                <w:szCs w:val="22"/>
                <w:u w:val="single"/>
              </w:rPr>
              <w:t>greater than</w:t>
            </w:r>
            <w:r w:rsidRPr="007313B3">
              <w:rPr>
                <w:sz w:val="22"/>
                <w:szCs w:val="22"/>
                <w:u w:val="single"/>
              </w:rPr>
              <w:t xml:space="preserve"> </w:t>
            </w:r>
            <w:r w:rsidRPr="007313B3">
              <w:rPr>
                <w:b/>
                <w:sz w:val="22"/>
                <w:szCs w:val="22"/>
                <w:u w:val="single"/>
              </w:rPr>
              <w:t>2 ng/mL</w:t>
            </w:r>
            <w:r>
              <w:rPr>
                <w:sz w:val="22"/>
                <w:szCs w:val="22"/>
              </w:rPr>
              <w:t xml:space="preserve"> must be called to the appropriate personal and documented in the computer system.</w:t>
            </w:r>
          </w:p>
          <w:p w:rsidR="00932438" w:rsidRDefault="00932438" w:rsidP="00962340">
            <w:pPr>
              <w:rPr>
                <w:sz w:val="22"/>
                <w:szCs w:val="22"/>
              </w:rPr>
            </w:pPr>
          </w:p>
          <w:p w:rsidR="00932438" w:rsidRPr="00932438" w:rsidRDefault="00932438" w:rsidP="00962340">
            <w:pPr>
              <w:rPr>
                <w:b/>
                <w:sz w:val="22"/>
                <w:szCs w:val="22"/>
              </w:rPr>
            </w:pPr>
            <w:r w:rsidRPr="00932438">
              <w:rPr>
                <w:b/>
                <w:sz w:val="22"/>
                <w:szCs w:val="22"/>
              </w:rPr>
              <w:t>INTERPREATATION OF PROCALCITONIN REFERNCE RANGES</w:t>
            </w:r>
          </w:p>
          <w:p w:rsidR="008A6776" w:rsidRDefault="008A6776" w:rsidP="00962340">
            <w:pPr>
              <w:rPr>
                <w:sz w:val="22"/>
                <w:szCs w:val="22"/>
              </w:rPr>
            </w:pPr>
          </w:p>
          <w:tbl>
            <w:tblPr>
              <w:tblStyle w:val="TableGrid"/>
              <w:tblW w:w="0" w:type="auto"/>
              <w:tblLook w:val="04A0" w:firstRow="1" w:lastRow="0" w:firstColumn="1" w:lastColumn="0" w:noHBand="0" w:noVBand="1"/>
            </w:tblPr>
            <w:tblGrid>
              <w:gridCol w:w="5104"/>
              <w:gridCol w:w="5105"/>
            </w:tblGrid>
            <w:tr w:rsidR="00932438" w:rsidTr="00932438">
              <w:tc>
                <w:tcPr>
                  <w:tcW w:w="5104" w:type="dxa"/>
                </w:tcPr>
                <w:p w:rsidR="00932438" w:rsidRPr="00932438" w:rsidRDefault="00932438" w:rsidP="00932438">
                  <w:pPr>
                    <w:jc w:val="center"/>
                    <w:rPr>
                      <w:b/>
                      <w:sz w:val="22"/>
                      <w:szCs w:val="22"/>
                    </w:rPr>
                  </w:pPr>
                  <w:r w:rsidRPr="00932438">
                    <w:rPr>
                      <w:b/>
                      <w:sz w:val="22"/>
                      <w:szCs w:val="22"/>
                    </w:rPr>
                    <w:t>PCT Concentration (ng/mL)</w:t>
                  </w:r>
                </w:p>
              </w:tc>
              <w:tc>
                <w:tcPr>
                  <w:tcW w:w="5105" w:type="dxa"/>
                </w:tcPr>
                <w:p w:rsidR="00932438" w:rsidRPr="00932438" w:rsidRDefault="00932438" w:rsidP="00932438">
                  <w:pPr>
                    <w:jc w:val="center"/>
                    <w:rPr>
                      <w:b/>
                      <w:sz w:val="22"/>
                      <w:szCs w:val="22"/>
                    </w:rPr>
                  </w:pPr>
                  <w:r w:rsidRPr="00932438">
                    <w:rPr>
                      <w:b/>
                      <w:sz w:val="22"/>
                      <w:szCs w:val="22"/>
                    </w:rPr>
                    <w:t>Interpretations</w:t>
                  </w:r>
                </w:p>
              </w:tc>
            </w:tr>
            <w:tr w:rsidR="00932438" w:rsidTr="00932438">
              <w:tc>
                <w:tcPr>
                  <w:tcW w:w="5104" w:type="dxa"/>
                  <w:vAlign w:val="center"/>
                </w:tcPr>
                <w:p w:rsidR="00932438" w:rsidRDefault="00932438" w:rsidP="00932438">
                  <w:pPr>
                    <w:jc w:val="center"/>
                    <w:rPr>
                      <w:sz w:val="22"/>
                      <w:szCs w:val="22"/>
                    </w:rPr>
                  </w:pPr>
                  <w:r>
                    <w:rPr>
                      <w:sz w:val="22"/>
                      <w:szCs w:val="22"/>
                    </w:rPr>
                    <w:t>PCT ≤ 0.5 ng/mL</w:t>
                  </w:r>
                </w:p>
              </w:tc>
              <w:tc>
                <w:tcPr>
                  <w:tcW w:w="5105" w:type="dxa"/>
                </w:tcPr>
                <w:p w:rsidR="00932438" w:rsidRDefault="00932438" w:rsidP="00932438">
                  <w:pPr>
                    <w:jc w:val="center"/>
                    <w:rPr>
                      <w:sz w:val="22"/>
                      <w:szCs w:val="22"/>
                    </w:rPr>
                  </w:pPr>
                  <w:r>
                    <w:rPr>
                      <w:sz w:val="22"/>
                      <w:szCs w:val="22"/>
                    </w:rPr>
                    <w:t>Systemic infection (sepsis) is not likely. Local bacterial infection is possible</w:t>
                  </w:r>
                </w:p>
              </w:tc>
            </w:tr>
            <w:tr w:rsidR="00932438" w:rsidTr="00E0580B">
              <w:tc>
                <w:tcPr>
                  <w:tcW w:w="5104" w:type="dxa"/>
                  <w:vAlign w:val="center"/>
                </w:tcPr>
                <w:p w:rsidR="00932438" w:rsidRDefault="00932438" w:rsidP="00932438">
                  <w:pPr>
                    <w:jc w:val="center"/>
                    <w:rPr>
                      <w:sz w:val="22"/>
                      <w:szCs w:val="22"/>
                    </w:rPr>
                  </w:pPr>
                  <w:r>
                    <w:rPr>
                      <w:sz w:val="22"/>
                      <w:szCs w:val="22"/>
                    </w:rPr>
                    <w:t>PCT &gt; 0.5 and ≤ 2</w:t>
                  </w:r>
                  <w:r w:rsidR="00E0580B">
                    <w:rPr>
                      <w:sz w:val="22"/>
                      <w:szCs w:val="22"/>
                    </w:rPr>
                    <w:t xml:space="preserve"> ng/mL</w:t>
                  </w:r>
                </w:p>
              </w:tc>
              <w:tc>
                <w:tcPr>
                  <w:tcW w:w="5105" w:type="dxa"/>
                </w:tcPr>
                <w:p w:rsidR="00932438" w:rsidRDefault="00E0580B" w:rsidP="00932438">
                  <w:pPr>
                    <w:jc w:val="center"/>
                    <w:rPr>
                      <w:sz w:val="22"/>
                      <w:szCs w:val="22"/>
                    </w:rPr>
                  </w:pPr>
                  <w:r>
                    <w:rPr>
                      <w:sz w:val="22"/>
                      <w:szCs w:val="22"/>
                    </w:rPr>
                    <w:t>Systemic infection (sepsis) is possible, but other conditions are known to elevate PCT as well</w:t>
                  </w:r>
                </w:p>
              </w:tc>
            </w:tr>
            <w:tr w:rsidR="00932438" w:rsidTr="00E0580B">
              <w:tc>
                <w:tcPr>
                  <w:tcW w:w="5104" w:type="dxa"/>
                  <w:vAlign w:val="center"/>
                </w:tcPr>
                <w:p w:rsidR="00932438" w:rsidRDefault="00E0580B" w:rsidP="00932438">
                  <w:pPr>
                    <w:jc w:val="center"/>
                    <w:rPr>
                      <w:sz w:val="22"/>
                      <w:szCs w:val="22"/>
                    </w:rPr>
                  </w:pPr>
                  <w:r>
                    <w:rPr>
                      <w:sz w:val="22"/>
                      <w:szCs w:val="22"/>
                    </w:rPr>
                    <w:t>PCT &gt; 2 ng/mL</w:t>
                  </w:r>
                </w:p>
              </w:tc>
              <w:tc>
                <w:tcPr>
                  <w:tcW w:w="5105" w:type="dxa"/>
                </w:tcPr>
                <w:p w:rsidR="00932438" w:rsidRDefault="00E0580B" w:rsidP="00932438">
                  <w:pPr>
                    <w:jc w:val="center"/>
                    <w:rPr>
                      <w:sz w:val="22"/>
                      <w:szCs w:val="22"/>
                    </w:rPr>
                  </w:pPr>
                  <w:r>
                    <w:rPr>
                      <w:sz w:val="22"/>
                      <w:szCs w:val="22"/>
                    </w:rPr>
                    <w:t>Systemic infection (sepsis) is likely, unless other causes are known</w:t>
                  </w:r>
                </w:p>
              </w:tc>
            </w:tr>
            <w:tr w:rsidR="00932438" w:rsidTr="00E0580B">
              <w:tc>
                <w:tcPr>
                  <w:tcW w:w="5104" w:type="dxa"/>
                  <w:vAlign w:val="center"/>
                </w:tcPr>
                <w:p w:rsidR="00932438" w:rsidRDefault="00E0580B" w:rsidP="00932438">
                  <w:pPr>
                    <w:jc w:val="center"/>
                    <w:rPr>
                      <w:sz w:val="22"/>
                      <w:szCs w:val="22"/>
                    </w:rPr>
                  </w:pPr>
                  <w:r>
                    <w:rPr>
                      <w:sz w:val="22"/>
                      <w:szCs w:val="22"/>
                    </w:rPr>
                    <w:t>PCT ≥ 10 ng/mL</w:t>
                  </w:r>
                </w:p>
              </w:tc>
              <w:tc>
                <w:tcPr>
                  <w:tcW w:w="5105" w:type="dxa"/>
                </w:tcPr>
                <w:p w:rsidR="00932438" w:rsidRDefault="00E0580B" w:rsidP="00932438">
                  <w:pPr>
                    <w:jc w:val="center"/>
                    <w:rPr>
                      <w:sz w:val="22"/>
                      <w:szCs w:val="22"/>
                    </w:rPr>
                  </w:pPr>
                  <w:r>
                    <w:rPr>
                      <w:sz w:val="22"/>
                      <w:szCs w:val="22"/>
                    </w:rPr>
                    <w:t>Important systemic inflammatory response, almost exclusively due to severe bacterial sepsis or septic shock</w:t>
                  </w:r>
                </w:p>
              </w:tc>
            </w:tr>
          </w:tbl>
          <w:p w:rsidR="008A6776" w:rsidRPr="00A206F0" w:rsidRDefault="008A6776" w:rsidP="00962340">
            <w:pPr>
              <w:rPr>
                <w:sz w:val="22"/>
                <w:szCs w:val="22"/>
              </w:rPr>
            </w:pPr>
          </w:p>
          <w:p w:rsidR="007A1361" w:rsidRDefault="00932438" w:rsidP="00962340">
            <w:pPr>
              <w:rPr>
                <w:b/>
                <w:sz w:val="22"/>
                <w:szCs w:val="22"/>
              </w:rPr>
            </w:pPr>
            <w:r w:rsidRPr="00932438">
              <w:rPr>
                <w:b/>
                <w:sz w:val="22"/>
                <w:szCs w:val="22"/>
              </w:rPr>
              <w:t>LINEARITY LIMIT OF PROCALCITONIN</w:t>
            </w:r>
          </w:p>
          <w:p w:rsidR="00932438" w:rsidRDefault="00932438" w:rsidP="00962340">
            <w:pPr>
              <w:rPr>
                <w:b/>
                <w:sz w:val="22"/>
                <w:szCs w:val="22"/>
              </w:rPr>
            </w:pPr>
          </w:p>
          <w:tbl>
            <w:tblPr>
              <w:tblStyle w:val="TableGrid"/>
              <w:tblW w:w="0" w:type="auto"/>
              <w:tblLook w:val="04A0" w:firstRow="1" w:lastRow="0" w:firstColumn="1" w:lastColumn="0" w:noHBand="0" w:noVBand="1"/>
            </w:tblPr>
            <w:tblGrid>
              <w:gridCol w:w="5104"/>
              <w:gridCol w:w="5105"/>
            </w:tblGrid>
            <w:tr w:rsidR="00932438" w:rsidTr="00932438">
              <w:tc>
                <w:tcPr>
                  <w:tcW w:w="5104" w:type="dxa"/>
                </w:tcPr>
                <w:p w:rsidR="00932438" w:rsidRDefault="00932438" w:rsidP="00932438">
                  <w:pPr>
                    <w:jc w:val="center"/>
                    <w:rPr>
                      <w:b/>
                      <w:sz w:val="22"/>
                      <w:szCs w:val="22"/>
                    </w:rPr>
                  </w:pPr>
                  <w:r>
                    <w:rPr>
                      <w:b/>
                      <w:sz w:val="22"/>
                      <w:szCs w:val="22"/>
                    </w:rPr>
                    <w:t>Analyzer</w:t>
                  </w:r>
                </w:p>
              </w:tc>
              <w:tc>
                <w:tcPr>
                  <w:tcW w:w="5105" w:type="dxa"/>
                </w:tcPr>
                <w:p w:rsidR="00932438" w:rsidRDefault="00932438" w:rsidP="00932438">
                  <w:pPr>
                    <w:jc w:val="center"/>
                    <w:rPr>
                      <w:b/>
                      <w:sz w:val="22"/>
                      <w:szCs w:val="22"/>
                    </w:rPr>
                  </w:pPr>
                  <w:r>
                    <w:rPr>
                      <w:b/>
                      <w:sz w:val="22"/>
                      <w:szCs w:val="22"/>
                    </w:rPr>
                    <w:t>Linearity</w:t>
                  </w:r>
                </w:p>
              </w:tc>
            </w:tr>
            <w:tr w:rsidR="00932438" w:rsidTr="00932438">
              <w:tc>
                <w:tcPr>
                  <w:tcW w:w="5104" w:type="dxa"/>
                </w:tcPr>
                <w:p w:rsidR="00932438" w:rsidRPr="00932438" w:rsidRDefault="00932438" w:rsidP="00932438">
                  <w:pPr>
                    <w:jc w:val="center"/>
                    <w:rPr>
                      <w:sz w:val="22"/>
                      <w:szCs w:val="22"/>
                    </w:rPr>
                  </w:pPr>
                  <w:r w:rsidRPr="00932438">
                    <w:rPr>
                      <w:sz w:val="22"/>
                      <w:szCs w:val="22"/>
                    </w:rPr>
                    <w:t>MiniVidas</w:t>
                  </w:r>
                </w:p>
              </w:tc>
              <w:tc>
                <w:tcPr>
                  <w:tcW w:w="5105" w:type="dxa"/>
                </w:tcPr>
                <w:p w:rsidR="00932438" w:rsidRPr="00932438" w:rsidRDefault="00932438" w:rsidP="00932438">
                  <w:pPr>
                    <w:jc w:val="center"/>
                    <w:rPr>
                      <w:sz w:val="22"/>
                      <w:szCs w:val="22"/>
                    </w:rPr>
                  </w:pPr>
                  <w:r w:rsidRPr="00932438">
                    <w:rPr>
                      <w:sz w:val="22"/>
                      <w:szCs w:val="22"/>
                    </w:rPr>
                    <w:t>0.065-166 ng/mL</w:t>
                  </w:r>
                </w:p>
              </w:tc>
            </w:tr>
          </w:tbl>
          <w:p w:rsidR="007A1361" w:rsidRPr="00A206F0" w:rsidRDefault="007A1361" w:rsidP="00962340">
            <w:pPr>
              <w:rPr>
                <w:sz w:val="22"/>
                <w:szCs w:val="22"/>
              </w:rPr>
            </w:pPr>
          </w:p>
          <w:p w:rsidR="007A1361" w:rsidRPr="00A206F0" w:rsidRDefault="007A1361" w:rsidP="00962340">
            <w:pPr>
              <w:rPr>
                <w:b/>
                <w:sz w:val="22"/>
                <w:szCs w:val="22"/>
              </w:rPr>
            </w:pPr>
            <w:r w:rsidRPr="00A206F0">
              <w:rPr>
                <w:b/>
                <w:sz w:val="22"/>
                <w:szCs w:val="22"/>
              </w:rPr>
              <w:t>LIMITATIONS OF ASSAY</w:t>
            </w:r>
          </w:p>
          <w:p w:rsidR="00A820CF" w:rsidRPr="00A206F0" w:rsidRDefault="00A820CF" w:rsidP="00962340">
            <w:pPr>
              <w:rPr>
                <w:sz w:val="22"/>
                <w:szCs w:val="22"/>
              </w:rPr>
            </w:pPr>
          </w:p>
          <w:p w:rsidR="00E0580B" w:rsidRDefault="007A1361" w:rsidP="00962340">
            <w:pPr>
              <w:rPr>
                <w:sz w:val="22"/>
                <w:szCs w:val="22"/>
              </w:rPr>
            </w:pPr>
            <w:r w:rsidRPr="00A206F0">
              <w:rPr>
                <w:sz w:val="22"/>
                <w:szCs w:val="22"/>
              </w:rPr>
              <w:t xml:space="preserve">Interference may be encountered with certain samples containing antibodies directed against reagent components. For this reason, assay results should be interpreted taking into consideration the patient’s </w:t>
            </w:r>
            <w:r w:rsidR="00277128" w:rsidRPr="00A206F0">
              <w:rPr>
                <w:sz w:val="22"/>
                <w:szCs w:val="22"/>
              </w:rPr>
              <w:t>history</w:t>
            </w:r>
            <w:r w:rsidRPr="00A206F0">
              <w:rPr>
                <w:sz w:val="22"/>
                <w:szCs w:val="22"/>
              </w:rPr>
              <w:t xml:space="preserve"> and the results of any additional tests performed.</w:t>
            </w:r>
          </w:p>
          <w:p w:rsidR="007313B3" w:rsidRDefault="007313B3" w:rsidP="00962340">
            <w:pPr>
              <w:rPr>
                <w:sz w:val="22"/>
                <w:szCs w:val="22"/>
              </w:rPr>
            </w:pPr>
          </w:p>
          <w:p w:rsidR="007313B3" w:rsidRDefault="007313B3" w:rsidP="00962340">
            <w:pPr>
              <w:rPr>
                <w:sz w:val="22"/>
                <w:szCs w:val="22"/>
              </w:rPr>
            </w:pPr>
          </w:p>
          <w:p w:rsidR="007313B3" w:rsidRDefault="007313B3" w:rsidP="00962340">
            <w:pPr>
              <w:rPr>
                <w:sz w:val="22"/>
                <w:szCs w:val="22"/>
              </w:rPr>
            </w:pPr>
          </w:p>
          <w:p w:rsidR="007313B3" w:rsidRDefault="007313B3" w:rsidP="00962340">
            <w:pPr>
              <w:rPr>
                <w:sz w:val="22"/>
                <w:szCs w:val="22"/>
              </w:rPr>
            </w:pPr>
          </w:p>
          <w:p w:rsidR="007313B3" w:rsidRDefault="007313B3" w:rsidP="00962340">
            <w:pPr>
              <w:rPr>
                <w:sz w:val="22"/>
                <w:szCs w:val="22"/>
              </w:rPr>
            </w:pPr>
          </w:p>
          <w:p w:rsidR="007313B3" w:rsidRDefault="007313B3" w:rsidP="00962340">
            <w:pPr>
              <w:rPr>
                <w:sz w:val="22"/>
                <w:szCs w:val="22"/>
              </w:rPr>
            </w:pPr>
          </w:p>
          <w:p w:rsidR="007313B3" w:rsidRDefault="007313B3" w:rsidP="00962340">
            <w:pPr>
              <w:rPr>
                <w:sz w:val="22"/>
                <w:szCs w:val="22"/>
              </w:rPr>
            </w:pPr>
          </w:p>
          <w:p w:rsidR="007313B3" w:rsidRDefault="007313B3" w:rsidP="00962340">
            <w:pPr>
              <w:rPr>
                <w:sz w:val="22"/>
                <w:szCs w:val="22"/>
              </w:rPr>
            </w:pPr>
          </w:p>
          <w:p w:rsidR="007A1361" w:rsidRDefault="007A1361" w:rsidP="00962340">
            <w:pPr>
              <w:rPr>
                <w:sz w:val="22"/>
                <w:szCs w:val="22"/>
              </w:rPr>
            </w:pPr>
          </w:p>
          <w:p w:rsidR="00D34383" w:rsidRPr="00A206F0" w:rsidRDefault="00D34383" w:rsidP="00962340">
            <w:pPr>
              <w:rPr>
                <w:sz w:val="22"/>
                <w:szCs w:val="22"/>
              </w:rPr>
            </w:pPr>
          </w:p>
          <w:p w:rsidR="007A1361" w:rsidRPr="00A206F0" w:rsidRDefault="007A1361" w:rsidP="00962340">
            <w:pPr>
              <w:rPr>
                <w:b/>
                <w:sz w:val="22"/>
                <w:szCs w:val="22"/>
              </w:rPr>
            </w:pPr>
            <w:r w:rsidRPr="00A206F0">
              <w:rPr>
                <w:b/>
                <w:sz w:val="22"/>
                <w:szCs w:val="22"/>
              </w:rPr>
              <w:lastRenderedPageBreak/>
              <w:t>INTERFERENCES</w:t>
            </w:r>
          </w:p>
          <w:p w:rsidR="00A820CF" w:rsidRPr="00A206F0" w:rsidRDefault="00A820CF" w:rsidP="00962340">
            <w:pPr>
              <w:rPr>
                <w:sz w:val="22"/>
                <w:szCs w:val="22"/>
              </w:rPr>
            </w:pPr>
          </w:p>
          <w:p w:rsidR="007A1361" w:rsidRPr="00A206F0" w:rsidRDefault="007A1361" w:rsidP="00962340">
            <w:pPr>
              <w:rPr>
                <w:sz w:val="22"/>
                <w:szCs w:val="22"/>
              </w:rPr>
            </w:pPr>
            <w:r w:rsidRPr="00A206F0">
              <w:rPr>
                <w:sz w:val="22"/>
                <w:szCs w:val="22"/>
              </w:rPr>
              <w:t>None of the following factors have been found to significantly influence this assay:</w:t>
            </w:r>
          </w:p>
          <w:p w:rsidR="007A1361" w:rsidRPr="00A206F0" w:rsidRDefault="007A1361" w:rsidP="00962340">
            <w:pPr>
              <w:rPr>
                <w:sz w:val="22"/>
                <w:szCs w:val="22"/>
              </w:rPr>
            </w:pPr>
          </w:p>
          <w:p w:rsidR="00A820CF" w:rsidRPr="00A206F0" w:rsidRDefault="007A1361" w:rsidP="004D4384">
            <w:pPr>
              <w:pStyle w:val="ListParagraph"/>
              <w:numPr>
                <w:ilvl w:val="0"/>
                <w:numId w:val="6"/>
              </w:numPr>
              <w:rPr>
                <w:sz w:val="22"/>
                <w:szCs w:val="22"/>
              </w:rPr>
            </w:pPr>
            <w:r w:rsidRPr="00A206F0">
              <w:rPr>
                <w:sz w:val="22"/>
                <w:szCs w:val="22"/>
              </w:rPr>
              <w:t>Hemolysis</w:t>
            </w:r>
          </w:p>
          <w:p w:rsidR="007A1361" w:rsidRPr="00A206F0" w:rsidRDefault="007A1361" w:rsidP="004D4384">
            <w:pPr>
              <w:pStyle w:val="ListParagraph"/>
              <w:numPr>
                <w:ilvl w:val="0"/>
                <w:numId w:val="6"/>
              </w:numPr>
              <w:rPr>
                <w:sz w:val="22"/>
                <w:szCs w:val="22"/>
              </w:rPr>
            </w:pPr>
            <w:r w:rsidRPr="00A206F0">
              <w:rPr>
                <w:sz w:val="22"/>
                <w:szCs w:val="22"/>
              </w:rPr>
              <w:t>Lipemia</w:t>
            </w:r>
          </w:p>
          <w:p w:rsidR="007A1361" w:rsidRPr="00A206F0" w:rsidRDefault="007A1361" w:rsidP="004D4384">
            <w:pPr>
              <w:pStyle w:val="ListParagraph"/>
              <w:numPr>
                <w:ilvl w:val="0"/>
                <w:numId w:val="6"/>
              </w:numPr>
              <w:rPr>
                <w:sz w:val="22"/>
                <w:szCs w:val="22"/>
              </w:rPr>
            </w:pPr>
            <w:r w:rsidRPr="00A206F0">
              <w:rPr>
                <w:sz w:val="22"/>
                <w:szCs w:val="22"/>
              </w:rPr>
              <w:t>Bilirubinemia</w:t>
            </w:r>
          </w:p>
          <w:p w:rsidR="007A1361" w:rsidRPr="00A206F0" w:rsidRDefault="007A1361" w:rsidP="007A1361">
            <w:pPr>
              <w:rPr>
                <w:sz w:val="22"/>
                <w:szCs w:val="22"/>
              </w:rPr>
            </w:pPr>
          </w:p>
          <w:p w:rsidR="007A1361" w:rsidRPr="00A206F0" w:rsidRDefault="007A1361" w:rsidP="007A1361">
            <w:pPr>
              <w:rPr>
                <w:sz w:val="22"/>
                <w:szCs w:val="22"/>
              </w:rPr>
            </w:pPr>
            <w:r w:rsidRPr="00A206F0">
              <w:rPr>
                <w:sz w:val="22"/>
                <w:szCs w:val="22"/>
              </w:rPr>
              <w:t>However, it is recommended not to use samples which appear to be grossly hemolyzed, lipemic, or icteric and, if possible, to collect a new sample.</w:t>
            </w:r>
          </w:p>
          <w:p w:rsidR="00A206F0" w:rsidRPr="00A206F0" w:rsidRDefault="00A206F0" w:rsidP="007A1361">
            <w:pPr>
              <w:rPr>
                <w:sz w:val="22"/>
                <w:szCs w:val="22"/>
              </w:rPr>
            </w:pPr>
          </w:p>
          <w:p w:rsidR="00277128" w:rsidRDefault="00277128" w:rsidP="007A1361">
            <w:pPr>
              <w:rPr>
                <w:b/>
                <w:sz w:val="22"/>
                <w:szCs w:val="22"/>
              </w:rPr>
            </w:pPr>
          </w:p>
          <w:p w:rsidR="00A206F0" w:rsidRPr="00A206F0" w:rsidRDefault="00A206F0" w:rsidP="007A1361">
            <w:pPr>
              <w:rPr>
                <w:b/>
                <w:sz w:val="22"/>
                <w:szCs w:val="22"/>
              </w:rPr>
            </w:pPr>
            <w:r w:rsidRPr="00A206F0">
              <w:rPr>
                <w:b/>
                <w:sz w:val="22"/>
                <w:szCs w:val="22"/>
              </w:rPr>
              <w:t>REFERENCE</w:t>
            </w:r>
          </w:p>
          <w:p w:rsidR="00A206F0" w:rsidRPr="00A206F0" w:rsidRDefault="00A206F0" w:rsidP="007A1361">
            <w:pPr>
              <w:rPr>
                <w:b/>
                <w:sz w:val="22"/>
                <w:szCs w:val="22"/>
              </w:rPr>
            </w:pPr>
          </w:p>
          <w:p w:rsidR="00A206F0" w:rsidRPr="00A206F0" w:rsidRDefault="00A206F0" w:rsidP="007A1361">
            <w:pPr>
              <w:rPr>
                <w:b/>
                <w:sz w:val="22"/>
                <w:szCs w:val="22"/>
              </w:rPr>
            </w:pPr>
            <w:r w:rsidRPr="00A206F0">
              <w:rPr>
                <w:sz w:val="22"/>
                <w:szCs w:val="22"/>
              </w:rPr>
              <w:t>VIDAS</w:t>
            </w:r>
            <w:r w:rsidRPr="00A206F0">
              <w:rPr>
                <w:sz w:val="22"/>
                <w:szCs w:val="22"/>
                <w:vertAlign w:val="superscript"/>
              </w:rPr>
              <w:t>®</w:t>
            </w:r>
            <w:r w:rsidRPr="00A206F0">
              <w:rPr>
                <w:sz w:val="22"/>
                <w:szCs w:val="22"/>
              </w:rPr>
              <w:t xml:space="preserve"> B•R•A•H•M•S PCT</w:t>
            </w:r>
            <w:r w:rsidRPr="00A206F0">
              <w:rPr>
                <w:sz w:val="22"/>
                <w:szCs w:val="22"/>
                <w:vertAlign w:val="superscript"/>
              </w:rPr>
              <w:t>™</w:t>
            </w:r>
            <w:r>
              <w:rPr>
                <w:sz w:val="22"/>
                <w:szCs w:val="22"/>
              </w:rPr>
              <w:t xml:space="preserve"> (PCT) package insert. Refer to the insert for further details of the procedure, references, and performance of the product.</w:t>
            </w:r>
          </w:p>
          <w:p w:rsidR="00A820CF" w:rsidRPr="00A206F0" w:rsidRDefault="00A820CF" w:rsidP="00962340">
            <w:pPr>
              <w:rPr>
                <w:sz w:val="22"/>
                <w:szCs w:val="22"/>
              </w:rPr>
            </w:pPr>
          </w:p>
          <w:p w:rsidR="00A820CF" w:rsidRPr="00A206F0" w:rsidRDefault="00A820CF" w:rsidP="00962340">
            <w:pPr>
              <w:rPr>
                <w:sz w:val="22"/>
                <w:szCs w:val="22"/>
              </w:rPr>
            </w:pPr>
          </w:p>
          <w:p w:rsidR="00A820CF" w:rsidRPr="00A206F0" w:rsidRDefault="00A820CF" w:rsidP="00962340">
            <w:pPr>
              <w:rPr>
                <w:sz w:val="22"/>
                <w:szCs w:val="22"/>
              </w:rPr>
            </w:pPr>
          </w:p>
          <w:p w:rsidR="00A820CF" w:rsidRPr="00A206F0" w:rsidRDefault="00A820CF" w:rsidP="00962340">
            <w:pPr>
              <w:rPr>
                <w:sz w:val="22"/>
                <w:szCs w:val="22"/>
              </w:rPr>
            </w:pPr>
          </w:p>
          <w:p w:rsidR="00A820CF" w:rsidRPr="00A206F0" w:rsidRDefault="00A820CF" w:rsidP="00962340">
            <w:pPr>
              <w:rPr>
                <w:sz w:val="22"/>
                <w:szCs w:val="22"/>
              </w:rPr>
            </w:pPr>
          </w:p>
          <w:p w:rsidR="00A820CF" w:rsidRPr="00A206F0" w:rsidRDefault="00A820CF" w:rsidP="00962340">
            <w:pPr>
              <w:rPr>
                <w:sz w:val="22"/>
                <w:szCs w:val="22"/>
              </w:rPr>
            </w:pPr>
          </w:p>
          <w:p w:rsidR="001647EE" w:rsidRDefault="001647EE" w:rsidP="007A1361">
            <w:pPr>
              <w:rPr>
                <w:sz w:val="22"/>
                <w:szCs w:val="22"/>
              </w:rPr>
            </w:pPr>
          </w:p>
          <w:p w:rsidR="00277128" w:rsidRDefault="00277128" w:rsidP="007A1361">
            <w:pPr>
              <w:rPr>
                <w:sz w:val="22"/>
                <w:szCs w:val="22"/>
              </w:rPr>
            </w:pPr>
          </w:p>
          <w:p w:rsidR="00277128" w:rsidRDefault="00277128" w:rsidP="007A1361">
            <w:pPr>
              <w:rPr>
                <w:sz w:val="22"/>
                <w:szCs w:val="22"/>
              </w:rPr>
            </w:pPr>
          </w:p>
          <w:p w:rsidR="00277128" w:rsidRDefault="00277128" w:rsidP="007A1361">
            <w:pPr>
              <w:rPr>
                <w:sz w:val="22"/>
                <w:szCs w:val="22"/>
              </w:rPr>
            </w:pPr>
          </w:p>
          <w:p w:rsidR="00277128" w:rsidRDefault="00277128" w:rsidP="007A1361">
            <w:pPr>
              <w:rPr>
                <w:sz w:val="22"/>
                <w:szCs w:val="22"/>
              </w:rPr>
            </w:pPr>
          </w:p>
          <w:p w:rsidR="00277128" w:rsidRDefault="00277128" w:rsidP="007A1361">
            <w:pPr>
              <w:rPr>
                <w:sz w:val="22"/>
                <w:szCs w:val="22"/>
              </w:rPr>
            </w:pPr>
          </w:p>
          <w:p w:rsidR="00277128" w:rsidRDefault="00277128" w:rsidP="007A1361">
            <w:pPr>
              <w:rPr>
                <w:sz w:val="22"/>
                <w:szCs w:val="22"/>
              </w:rPr>
            </w:pPr>
          </w:p>
          <w:p w:rsidR="00277128" w:rsidRDefault="00277128" w:rsidP="007A1361">
            <w:pPr>
              <w:rPr>
                <w:sz w:val="22"/>
                <w:szCs w:val="22"/>
              </w:rPr>
            </w:pPr>
          </w:p>
          <w:p w:rsidR="00277128" w:rsidRDefault="00277128" w:rsidP="007A1361">
            <w:pPr>
              <w:rPr>
                <w:sz w:val="22"/>
                <w:szCs w:val="22"/>
              </w:rPr>
            </w:pPr>
          </w:p>
          <w:p w:rsidR="00277128" w:rsidRDefault="00277128" w:rsidP="007A1361">
            <w:pPr>
              <w:rPr>
                <w:sz w:val="22"/>
                <w:szCs w:val="22"/>
              </w:rPr>
            </w:pPr>
          </w:p>
          <w:p w:rsidR="00277128" w:rsidRDefault="00277128" w:rsidP="007A1361">
            <w:pPr>
              <w:rPr>
                <w:sz w:val="22"/>
                <w:szCs w:val="22"/>
              </w:rPr>
            </w:pPr>
          </w:p>
          <w:p w:rsidR="00277128" w:rsidRDefault="00277128" w:rsidP="007A1361">
            <w:pPr>
              <w:rPr>
                <w:sz w:val="22"/>
                <w:szCs w:val="22"/>
              </w:rPr>
            </w:pPr>
          </w:p>
          <w:p w:rsidR="00277128" w:rsidRDefault="00277128" w:rsidP="007A1361">
            <w:pPr>
              <w:rPr>
                <w:sz w:val="22"/>
                <w:szCs w:val="22"/>
              </w:rPr>
            </w:pPr>
          </w:p>
          <w:p w:rsidR="00277128" w:rsidRDefault="00277128" w:rsidP="007A1361">
            <w:pPr>
              <w:rPr>
                <w:sz w:val="22"/>
                <w:szCs w:val="22"/>
              </w:rPr>
            </w:pPr>
          </w:p>
          <w:p w:rsidR="00277128" w:rsidRDefault="00277128" w:rsidP="007A1361">
            <w:pPr>
              <w:rPr>
                <w:sz w:val="22"/>
                <w:szCs w:val="22"/>
              </w:rPr>
            </w:pPr>
          </w:p>
          <w:p w:rsidR="00277128" w:rsidRDefault="00277128" w:rsidP="007A1361">
            <w:pPr>
              <w:rPr>
                <w:sz w:val="22"/>
                <w:szCs w:val="22"/>
              </w:rPr>
            </w:pPr>
          </w:p>
          <w:p w:rsidR="007313B3" w:rsidRDefault="007313B3" w:rsidP="007A1361">
            <w:pPr>
              <w:rPr>
                <w:sz w:val="22"/>
                <w:szCs w:val="22"/>
              </w:rPr>
            </w:pPr>
          </w:p>
          <w:p w:rsidR="007313B3" w:rsidRDefault="007313B3" w:rsidP="007A1361">
            <w:pPr>
              <w:rPr>
                <w:sz w:val="22"/>
                <w:szCs w:val="22"/>
              </w:rPr>
            </w:pPr>
          </w:p>
          <w:p w:rsidR="007313B3" w:rsidRDefault="007313B3" w:rsidP="007A1361">
            <w:pPr>
              <w:rPr>
                <w:sz w:val="22"/>
                <w:szCs w:val="22"/>
              </w:rPr>
            </w:pPr>
          </w:p>
          <w:p w:rsidR="007313B3" w:rsidRDefault="007313B3" w:rsidP="007A1361">
            <w:pPr>
              <w:rPr>
                <w:sz w:val="22"/>
                <w:szCs w:val="22"/>
              </w:rPr>
            </w:pPr>
          </w:p>
          <w:p w:rsidR="007313B3" w:rsidRDefault="007313B3" w:rsidP="007A1361">
            <w:pPr>
              <w:rPr>
                <w:sz w:val="22"/>
                <w:szCs w:val="22"/>
              </w:rPr>
            </w:pPr>
          </w:p>
          <w:p w:rsidR="00277128" w:rsidRDefault="00277128" w:rsidP="007A1361">
            <w:pPr>
              <w:rPr>
                <w:sz w:val="22"/>
                <w:szCs w:val="22"/>
              </w:rPr>
            </w:pPr>
          </w:p>
          <w:p w:rsidR="007313B3" w:rsidRPr="00A206F0" w:rsidRDefault="007313B3" w:rsidP="007A1361">
            <w:pPr>
              <w:rPr>
                <w:sz w:val="22"/>
                <w:szCs w:val="22"/>
              </w:rPr>
            </w:pPr>
          </w:p>
        </w:tc>
      </w:tr>
      <w:tr w:rsidR="00765B26" w:rsidRPr="00D11B0D" w:rsidTr="00663660">
        <w:trPr>
          <w:trHeight w:val="1889"/>
        </w:trPr>
        <w:tc>
          <w:tcPr>
            <w:tcW w:w="10187" w:type="dxa"/>
            <w:gridSpan w:val="2"/>
          </w:tcPr>
          <w:tbl>
            <w:tblPr>
              <w:tblpPr w:leftFromText="180" w:rightFromText="180" w:vertAnchor="text" w:horzAnchor="margin" w:tblpXSpec="center" w:tblpY="1735"/>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888"/>
              <w:gridCol w:w="3780"/>
            </w:tblGrid>
            <w:tr w:rsidR="00A206F0" w:rsidTr="00A206F0">
              <w:tc>
                <w:tcPr>
                  <w:tcW w:w="3888" w:type="dxa"/>
                  <w:tcBorders>
                    <w:top w:val="single" w:sz="12" w:space="0" w:color="auto"/>
                    <w:bottom w:val="single" w:sz="6" w:space="0" w:color="auto"/>
                  </w:tcBorders>
                </w:tcPr>
                <w:p w:rsidR="00A206F0" w:rsidRDefault="00A206F0" w:rsidP="00A206F0">
                  <w:r>
                    <w:lastRenderedPageBreak/>
                    <w:t xml:space="preserve">Revised:  </w:t>
                  </w:r>
                </w:p>
                <w:p w:rsidR="00A206F0" w:rsidRDefault="00A206F0" w:rsidP="00A206F0"/>
              </w:tc>
              <w:tc>
                <w:tcPr>
                  <w:tcW w:w="3780" w:type="dxa"/>
                </w:tcPr>
                <w:p w:rsidR="00A206F0" w:rsidRDefault="00A206F0" w:rsidP="00A206F0">
                  <w:r>
                    <w:t xml:space="preserve">Reviewed: </w:t>
                  </w:r>
                </w:p>
                <w:p w:rsidR="00A206F0" w:rsidRDefault="00A206F0" w:rsidP="00A206F0">
                  <w:pPr>
                    <w:ind w:left="720"/>
                  </w:pPr>
                </w:p>
              </w:tc>
            </w:tr>
            <w:tr w:rsidR="00A206F0" w:rsidTr="00A206F0">
              <w:tc>
                <w:tcPr>
                  <w:tcW w:w="3888" w:type="dxa"/>
                  <w:tcBorders>
                    <w:top w:val="single" w:sz="6" w:space="0" w:color="auto"/>
                    <w:bottom w:val="single" w:sz="6" w:space="0" w:color="auto"/>
                  </w:tcBorders>
                </w:tcPr>
                <w:p w:rsidR="00A206F0" w:rsidRDefault="00A206F0" w:rsidP="00A206F0">
                  <w:r>
                    <w:t xml:space="preserve">Revised:  </w:t>
                  </w:r>
                </w:p>
                <w:p w:rsidR="00A206F0" w:rsidRDefault="00A206F0" w:rsidP="00A206F0"/>
              </w:tc>
              <w:tc>
                <w:tcPr>
                  <w:tcW w:w="3780" w:type="dxa"/>
                </w:tcPr>
                <w:p w:rsidR="00A206F0" w:rsidRDefault="00A206F0" w:rsidP="00A206F0">
                  <w:r>
                    <w:t xml:space="preserve">Reviewed: </w:t>
                  </w:r>
                </w:p>
                <w:p w:rsidR="00A206F0" w:rsidRDefault="00A206F0" w:rsidP="00A206F0">
                  <w:pPr>
                    <w:ind w:left="720"/>
                  </w:pPr>
                </w:p>
              </w:tc>
            </w:tr>
            <w:tr w:rsidR="00A206F0" w:rsidTr="00A206F0">
              <w:tc>
                <w:tcPr>
                  <w:tcW w:w="3888" w:type="dxa"/>
                  <w:tcBorders>
                    <w:top w:val="single" w:sz="6" w:space="0" w:color="auto"/>
                    <w:bottom w:val="single" w:sz="6" w:space="0" w:color="auto"/>
                  </w:tcBorders>
                </w:tcPr>
                <w:p w:rsidR="00A206F0" w:rsidRDefault="00A206F0" w:rsidP="00A206F0">
                  <w:r>
                    <w:t xml:space="preserve">Revised:  </w:t>
                  </w:r>
                </w:p>
                <w:p w:rsidR="00A206F0" w:rsidRDefault="00A206F0" w:rsidP="00A206F0"/>
              </w:tc>
              <w:tc>
                <w:tcPr>
                  <w:tcW w:w="3780" w:type="dxa"/>
                </w:tcPr>
                <w:p w:rsidR="00A206F0" w:rsidRDefault="00A206F0" w:rsidP="00A206F0">
                  <w:r>
                    <w:t xml:space="preserve">Reviewed: </w:t>
                  </w:r>
                </w:p>
              </w:tc>
            </w:tr>
            <w:tr w:rsidR="00A206F0" w:rsidTr="00A206F0">
              <w:tc>
                <w:tcPr>
                  <w:tcW w:w="3888" w:type="dxa"/>
                  <w:tcBorders>
                    <w:top w:val="single" w:sz="6" w:space="0" w:color="auto"/>
                    <w:bottom w:val="single" w:sz="6" w:space="0" w:color="auto"/>
                  </w:tcBorders>
                </w:tcPr>
                <w:p w:rsidR="00A206F0" w:rsidRDefault="00A206F0" w:rsidP="00A206F0">
                  <w:r>
                    <w:t xml:space="preserve">Revised:  </w:t>
                  </w:r>
                </w:p>
                <w:p w:rsidR="00A206F0" w:rsidRDefault="00A206F0" w:rsidP="00A206F0"/>
              </w:tc>
              <w:tc>
                <w:tcPr>
                  <w:tcW w:w="3780" w:type="dxa"/>
                </w:tcPr>
                <w:p w:rsidR="00A206F0" w:rsidRDefault="00A206F0" w:rsidP="00A206F0">
                  <w:r>
                    <w:t>Reviewed:</w:t>
                  </w:r>
                </w:p>
              </w:tc>
            </w:tr>
            <w:tr w:rsidR="00A206F0" w:rsidTr="00A206F0">
              <w:tc>
                <w:tcPr>
                  <w:tcW w:w="3888" w:type="dxa"/>
                  <w:tcBorders>
                    <w:top w:val="single" w:sz="6" w:space="0" w:color="auto"/>
                    <w:bottom w:val="single" w:sz="6" w:space="0" w:color="auto"/>
                  </w:tcBorders>
                </w:tcPr>
                <w:p w:rsidR="00A206F0" w:rsidRDefault="00A206F0" w:rsidP="00A206F0">
                  <w:r>
                    <w:t xml:space="preserve">Revised:  </w:t>
                  </w:r>
                </w:p>
                <w:p w:rsidR="00A206F0" w:rsidRDefault="00A206F0" w:rsidP="00A206F0"/>
              </w:tc>
              <w:tc>
                <w:tcPr>
                  <w:tcW w:w="3780" w:type="dxa"/>
                </w:tcPr>
                <w:p w:rsidR="00A206F0" w:rsidRDefault="00A206F0" w:rsidP="00A206F0">
                  <w:r>
                    <w:t>Reviewed:</w:t>
                  </w:r>
                </w:p>
              </w:tc>
            </w:tr>
            <w:tr w:rsidR="00A206F0" w:rsidTr="00A206F0">
              <w:tc>
                <w:tcPr>
                  <w:tcW w:w="3888" w:type="dxa"/>
                  <w:tcBorders>
                    <w:top w:val="single" w:sz="6" w:space="0" w:color="auto"/>
                    <w:bottom w:val="single" w:sz="6" w:space="0" w:color="auto"/>
                  </w:tcBorders>
                </w:tcPr>
                <w:p w:rsidR="00A206F0" w:rsidRDefault="00A206F0" w:rsidP="00A206F0">
                  <w:r>
                    <w:t>Revised:</w:t>
                  </w:r>
                </w:p>
                <w:p w:rsidR="00A206F0" w:rsidRDefault="00A206F0" w:rsidP="00A206F0"/>
              </w:tc>
              <w:tc>
                <w:tcPr>
                  <w:tcW w:w="3780" w:type="dxa"/>
                </w:tcPr>
                <w:p w:rsidR="00A206F0" w:rsidRDefault="00A206F0" w:rsidP="00A206F0">
                  <w:r>
                    <w:t>Reviewed:</w:t>
                  </w:r>
                </w:p>
              </w:tc>
            </w:tr>
            <w:tr w:rsidR="00A206F0" w:rsidTr="00A206F0">
              <w:tc>
                <w:tcPr>
                  <w:tcW w:w="3888" w:type="dxa"/>
                  <w:tcBorders>
                    <w:top w:val="single" w:sz="6" w:space="0" w:color="auto"/>
                    <w:bottom w:val="single" w:sz="6" w:space="0" w:color="auto"/>
                  </w:tcBorders>
                </w:tcPr>
                <w:p w:rsidR="00A206F0" w:rsidRDefault="00A206F0" w:rsidP="00A206F0">
                  <w:r>
                    <w:t xml:space="preserve">Reviewed:  </w:t>
                  </w:r>
                </w:p>
                <w:p w:rsidR="00A206F0" w:rsidRDefault="00A206F0" w:rsidP="00A206F0"/>
              </w:tc>
              <w:tc>
                <w:tcPr>
                  <w:tcW w:w="3780" w:type="dxa"/>
                </w:tcPr>
                <w:p w:rsidR="00A206F0" w:rsidRDefault="00A206F0" w:rsidP="00A206F0">
                  <w:r>
                    <w:t>Reviewed:</w:t>
                  </w:r>
                </w:p>
              </w:tc>
            </w:tr>
            <w:tr w:rsidR="00A206F0" w:rsidTr="00A206F0">
              <w:tc>
                <w:tcPr>
                  <w:tcW w:w="3888" w:type="dxa"/>
                  <w:tcBorders>
                    <w:top w:val="single" w:sz="6" w:space="0" w:color="auto"/>
                    <w:bottom w:val="single" w:sz="6" w:space="0" w:color="auto"/>
                  </w:tcBorders>
                </w:tcPr>
                <w:p w:rsidR="00A206F0" w:rsidRDefault="00A206F0" w:rsidP="00A206F0">
                  <w:r>
                    <w:t xml:space="preserve">Reviewed:  </w:t>
                  </w:r>
                </w:p>
                <w:p w:rsidR="00A206F0" w:rsidRDefault="00A206F0" w:rsidP="00A206F0"/>
              </w:tc>
              <w:tc>
                <w:tcPr>
                  <w:tcW w:w="3780" w:type="dxa"/>
                </w:tcPr>
                <w:p w:rsidR="00A206F0" w:rsidRDefault="00A206F0" w:rsidP="00A206F0">
                  <w:r>
                    <w:t>Reviewed:</w:t>
                  </w:r>
                </w:p>
              </w:tc>
            </w:tr>
            <w:tr w:rsidR="00A206F0" w:rsidTr="00A206F0">
              <w:tc>
                <w:tcPr>
                  <w:tcW w:w="3888" w:type="dxa"/>
                  <w:tcBorders>
                    <w:top w:val="single" w:sz="6" w:space="0" w:color="auto"/>
                    <w:bottom w:val="single" w:sz="6" w:space="0" w:color="auto"/>
                  </w:tcBorders>
                </w:tcPr>
                <w:p w:rsidR="00A206F0" w:rsidRDefault="00A206F0" w:rsidP="00A206F0">
                  <w:r>
                    <w:t>Reviewed:</w:t>
                  </w:r>
                </w:p>
                <w:p w:rsidR="00A206F0" w:rsidRDefault="00A206F0" w:rsidP="00A206F0"/>
              </w:tc>
              <w:tc>
                <w:tcPr>
                  <w:tcW w:w="3780" w:type="dxa"/>
                </w:tcPr>
                <w:p w:rsidR="00A206F0" w:rsidRDefault="00A206F0" w:rsidP="00A206F0">
                  <w:r>
                    <w:t>Reviewed:</w:t>
                  </w:r>
                </w:p>
              </w:tc>
            </w:tr>
            <w:tr w:rsidR="00A206F0" w:rsidTr="00A206F0">
              <w:tc>
                <w:tcPr>
                  <w:tcW w:w="3888" w:type="dxa"/>
                  <w:tcBorders>
                    <w:top w:val="single" w:sz="6" w:space="0" w:color="auto"/>
                    <w:bottom w:val="single" w:sz="6" w:space="0" w:color="auto"/>
                  </w:tcBorders>
                </w:tcPr>
                <w:p w:rsidR="00A206F0" w:rsidRDefault="00A206F0" w:rsidP="00A206F0">
                  <w:r>
                    <w:t>Reviewed:</w:t>
                  </w:r>
                </w:p>
                <w:p w:rsidR="00A206F0" w:rsidRDefault="00A206F0" w:rsidP="00A206F0"/>
              </w:tc>
              <w:tc>
                <w:tcPr>
                  <w:tcW w:w="3780" w:type="dxa"/>
                </w:tcPr>
                <w:p w:rsidR="00A206F0" w:rsidRDefault="00A206F0" w:rsidP="00A206F0">
                  <w:r>
                    <w:t>Reviewed:</w:t>
                  </w:r>
                </w:p>
              </w:tc>
            </w:tr>
            <w:tr w:rsidR="00A206F0" w:rsidTr="00A206F0">
              <w:tc>
                <w:tcPr>
                  <w:tcW w:w="3888" w:type="dxa"/>
                  <w:tcBorders>
                    <w:top w:val="single" w:sz="6" w:space="0" w:color="auto"/>
                    <w:bottom w:val="single" w:sz="6" w:space="0" w:color="auto"/>
                  </w:tcBorders>
                </w:tcPr>
                <w:p w:rsidR="00A206F0" w:rsidRDefault="00A206F0" w:rsidP="00A206F0">
                  <w:r>
                    <w:t>Reviewed:</w:t>
                  </w:r>
                </w:p>
                <w:p w:rsidR="00A206F0" w:rsidRDefault="00A206F0" w:rsidP="00A206F0"/>
              </w:tc>
              <w:tc>
                <w:tcPr>
                  <w:tcW w:w="3780" w:type="dxa"/>
                </w:tcPr>
                <w:p w:rsidR="00A206F0" w:rsidRDefault="00A206F0" w:rsidP="00A206F0">
                  <w:r>
                    <w:t>Reviewed:</w:t>
                  </w:r>
                </w:p>
              </w:tc>
            </w:tr>
            <w:tr w:rsidR="00A206F0" w:rsidTr="00A206F0">
              <w:tc>
                <w:tcPr>
                  <w:tcW w:w="3888" w:type="dxa"/>
                  <w:tcBorders>
                    <w:top w:val="single" w:sz="6" w:space="0" w:color="auto"/>
                    <w:bottom w:val="single" w:sz="6" w:space="0" w:color="auto"/>
                  </w:tcBorders>
                </w:tcPr>
                <w:p w:rsidR="00A206F0" w:rsidRDefault="00A206F0" w:rsidP="00A206F0">
                  <w:r>
                    <w:t>Reviewed:</w:t>
                  </w:r>
                </w:p>
                <w:p w:rsidR="00A206F0" w:rsidRDefault="00A206F0" w:rsidP="00A206F0"/>
              </w:tc>
              <w:tc>
                <w:tcPr>
                  <w:tcW w:w="3780" w:type="dxa"/>
                </w:tcPr>
                <w:p w:rsidR="00A206F0" w:rsidRDefault="00A206F0" w:rsidP="00A206F0">
                  <w:r>
                    <w:t>Reviewed:</w:t>
                  </w:r>
                </w:p>
                <w:p w:rsidR="00A206F0" w:rsidRDefault="00A206F0" w:rsidP="00A206F0"/>
              </w:tc>
            </w:tr>
            <w:tr w:rsidR="00A206F0" w:rsidTr="00A206F0">
              <w:tc>
                <w:tcPr>
                  <w:tcW w:w="3888" w:type="dxa"/>
                  <w:tcBorders>
                    <w:top w:val="single" w:sz="6" w:space="0" w:color="auto"/>
                    <w:bottom w:val="single" w:sz="6" w:space="0" w:color="auto"/>
                  </w:tcBorders>
                </w:tcPr>
                <w:p w:rsidR="00A206F0" w:rsidRDefault="00A206F0" w:rsidP="00A206F0">
                  <w:r>
                    <w:t>Reviewed:</w:t>
                  </w:r>
                </w:p>
                <w:p w:rsidR="00A206F0" w:rsidRDefault="00A206F0" w:rsidP="00A206F0"/>
              </w:tc>
              <w:tc>
                <w:tcPr>
                  <w:tcW w:w="3780" w:type="dxa"/>
                </w:tcPr>
                <w:p w:rsidR="00A206F0" w:rsidRDefault="00A206F0" w:rsidP="00A206F0">
                  <w:r>
                    <w:t>Reviewed:</w:t>
                  </w:r>
                </w:p>
                <w:p w:rsidR="00A206F0" w:rsidRDefault="00A206F0" w:rsidP="00A206F0"/>
              </w:tc>
            </w:tr>
            <w:tr w:rsidR="00A206F0" w:rsidTr="00A206F0">
              <w:tc>
                <w:tcPr>
                  <w:tcW w:w="3888" w:type="dxa"/>
                  <w:tcBorders>
                    <w:top w:val="single" w:sz="6" w:space="0" w:color="auto"/>
                    <w:bottom w:val="single" w:sz="6" w:space="0" w:color="auto"/>
                  </w:tcBorders>
                </w:tcPr>
                <w:p w:rsidR="00A206F0" w:rsidRDefault="00A206F0" w:rsidP="00A206F0">
                  <w:r>
                    <w:t>Reviewed:</w:t>
                  </w:r>
                </w:p>
                <w:p w:rsidR="00A206F0" w:rsidRDefault="00A206F0" w:rsidP="00A206F0"/>
              </w:tc>
              <w:tc>
                <w:tcPr>
                  <w:tcW w:w="3780" w:type="dxa"/>
                </w:tcPr>
                <w:p w:rsidR="00A206F0" w:rsidRDefault="00A206F0" w:rsidP="00A206F0">
                  <w:r>
                    <w:t>Reviewed:</w:t>
                  </w:r>
                </w:p>
                <w:p w:rsidR="00A206F0" w:rsidRDefault="00A206F0" w:rsidP="00A206F0"/>
              </w:tc>
            </w:tr>
            <w:tr w:rsidR="00A206F0" w:rsidTr="00A206F0">
              <w:tc>
                <w:tcPr>
                  <w:tcW w:w="3888" w:type="dxa"/>
                  <w:tcBorders>
                    <w:top w:val="single" w:sz="6" w:space="0" w:color="auto"/>
                    <w:bottom w:val="single" w:sz="6" w:space="0" w:color="auto"/>
                  </w:tcBorders>
                </w:tcPr>
                <w:p w:rsidR="00A206F0" w:rsidRDefault="00A206F0" w:rsidP="00A206F0">
                  <w:r>
                    <w:t>Reviewed:</w:t>
                  </w:r>
                </w:p>
                <w:p w:rsidR="00A206F0" w:rsidRDefault="00A206F0" w:rsidP="00A206F0"/>
              </w:tc>
              <w:tc>
                <w:tcPr>
                  <w:tcW w:w="3780" w:type="dxa"/>
                </w:tcPr>
                <w:p w:rsidR="00A206F0" w:rsidRDefault="00A206F0" w:rsidP="00A206F0">
                  <w:r>
                    <w:t>Reviewed:</w:t>
                  </w:r>
                </w:p>
                <w:p w:rsidR="00A206F0" w:rsidRDefault="00A206F0" w:rsidP="00A206F0"/>
              </w:tc>
            </w:tr>
            <w:tr w:rsidR="00A206F0" w:rsidTr="00A206F0">
              <w:tc>
                <w:tcPr>
                  <w:tcW w:w="3888" w:type="dxa"/>
                  <w:tcBorders>
                    <w:top w:val="single" w:sz="6" w:space="0" w:color="auto"/>
                    <w:bottom w:val="single" w:sz="6" w:space="0" w:color="auto"/>
                  </w:tcBorders>
                </w:tcPr>
                <w:p w:rsidR="00A206F0" w:rsidRDefault="00A206F0" w:rsidP="00A206F0">
                  <w:r>
                    <w:t>Reviewed:</w:t>
                  </w:r>
                </w:p>
                <w:p w:rsidR="00A206F0" w:rsidRDefault="00A206F0" w:rsidP="00A206F0"/>
              </w:tc>
              <w:tc>
                <w:tcPr>
                  <w:tcW w:w="3780" w:type="dxa"/>
                </w:tcPr>
                <w:p w:rsidR="00A206F0" w:rsidRDefault="00A206F0" w:rsidP="00A206F0">
                  <w:r>
                    <w:t>Reviewed:</w:t>
                  </w:r>
                </w:p>
                <w:p w:rsidR="00A206F0" w:rsidRDefault="00A206F0" w:rsidP="00A206F0"/>
              </w:tc>
            </w:tr>
            <w:tr w:rsidR="00A206F0" w:rsidTr="00A206F0">
              <w:tc>
                <w:tcPr>
                  <w:tcW w:w="3888" w:type="dxa"/>
                  <w:tcBorders>
                    <w:top w:val="single" w:sz="6" w:space="0" w:color="auto"/>
                    <w:bottom w:val="single" w:sz="6" w:space="0" w:color="auto"/>
                  </w:tcBorders>
                </w:tcPr>
                <w:p w:rsidR="00A206F0" w:rsidRDefault="00A206F0" w:rsidP="00A206F0">
                  <w:r>
                    <w:t>Reviewed:</w:t>
                  </w:r>
                </w:p>
                <w:p w:rsidR="00A206F0" w:rsidRDefault="00A206F0" w:rsidP="00A206F0"/>
              </w:tc>
              <w:tc>
                <w:tcPr>
                  <w:tcW w:w="3780" w:type="dxa"/>
                </w:tcPr>
                <w:p w:rsidR="00A206F0" w:rsidRDefault="00A206F0" w:rsidP="00A206F0">
                  <w:r>
                    <w:t>Reviewed:</w:t>
                  </w:r>
                </w:p>
              </w:tc>
            </w:tr>
            <w:tr w:rsidR="00A206F0" w:rsidTr="00A206F0">
              <w:tc>
                <w:tcPr>
                  <w:tcW w:w="3888" w:type="dxa"/>
                  <w:tcBorders>
                    <w:top w:val="single" w:sz="6" w:space="0" w:color="auto"/>
                    <w:bottom w:val="single" w:sz="6" w:space="0" w:color="auto"/>
                  </w:tcBorders>
                </w:tcPr>
                <w:p w:rsidR="00A206F0" w:rsidRDefault="00A206F0" w:rsidP="00A206F0">
                  <w:r>
                    <w:t>Reviewed:</w:t>
                  </w:r>
                </w:p>
                <w:p w:rsidR="00A206F0" w:rsidRDefault="00A206F0" w:rsidP="00A206F0"/>
              </w:tc>
              <w:tc>
                <w:tcPr>
                  <w:tcW w:w="3780" w:type="dxa"/>
                </w:tcPr>
                <w:p w:rsidR="00A206F0" w:rsidRDefault="00A206F0" w:rsidP="00A206F0">
                  <w:r>
                    <w:t>Reviewed:</w:t>
                  </w:r>
                </w:p>
              </w:tc>
            </w:tr>
            <w:tr w:rsidR="00A206F0" w:rsidTr="00A206F0">
              <w:tc>
                <w:tcPr>
                  <w:tcW w:w="3888" w:type="dxa"/>
                  <w:tcBorders>
                    <w:top w:val="single" w:sz="6" w:space="0" w:color="auto"/>
                    <w:bottom w:val="single" w:sz="6" w:space="0" w:color="auto"/>
                  </w:tcBorders>
                </w:tcPr>
                <w:p w:rsidR="00A206F0" w:rsidRDefault="00A206F0" w:rsidP="00A206F0">
                  <w:r>
                    <w:t>Reviewed:</w:t>
                  </w:r>
                </w:p>
                <w:p w:rsidR="00A206F0" w:rsidRDefault="00A206F0" w:rsidP="00A206F0"/>
              </w:tc>
              <w:tc>
                <w:tcPr>
                  <w:tcW w:w="3780" w:type="dxa"/>
                </w:tcPr>
                <w:p w:rsidR="00A206F0" w:rsidRDefault="00A206F0" w:rsidP="00A206F0">
                  <w:r>
                    <w:t>Reviewed:</w:t>
                  </w:r>
                </w:p>
              </w:tc>
            </w:tr>
            <w:tr w:rsidR="00A206F0" w:rsidTr="00A206F0">
              <w:tc>
                <w:tcPr>
                  <w:tcW w:w="3888" w:type="dxa"/>
                  <w:tcBorders>
                    <w:top w:val="single" w:sz="6" w:space="0" w:color="auto"/>
                    <w:bottom w:val="single" w:sz="6" w:space="0" w:color="auto"/>
                  </w:tcBorders>
                </w:tcPr>
                <w:p w:rsidR="00A206F0" w:rsidRDefault="00A206F0" w:rsidP="00A206F0">
                  <w:r>
                    <w:t>Reviewed:</w:t>
                  </w:r>
                </w:p>
                <w:p w:rsidR="00A206F0" w:rsidRDefault="00A206F0" w:rsidP="00A206F0"/>
              </w:tc>
              <w:tc>
                <w:tcPr>
                  <w:tcW w:w="3780" w:type="dxa"/>
                </w:tcPr>
                <w:p w:rsidR="00A206F0" w:rsidRDefault="00A206F0" w:rsidP="00A206F0">
                  <w:r>
                    <w:t>Reviewed:</w:t>
                  </w:r>
                </w:p>
              </w:tc>
            </w:tr>
            <w:tr w:rsidR="00A206F0" w:rsidTr="00A206F0">
              <w:tc>
                <w:tcPr>
                  <w:tcW w:w="3888" w:type="dxa"/>
                  <w:tcBorders>
                    <w:top w:val="single" w:sz="6" w:space="0" w:color="auto"/>
                    <w:bottom w:val="single" w:sz="6" w:space="0" w:color="auto"/>
                  </w:tcBorders>
                </w:tcPr>
                <w:p w:rsidR="00A206F0" w:rsidRDefault="00A206F0" w:rsidP="00A206F0">
                  <w:r>
                    <w:t>Reviewed:</w:t>
                  </w:r>
                </w:p>
                <w:p w:rsidR="00A206F0" w:rsidRDefault="00A206F0" w:rsidP="00A206F0"/>
              </w:tc>
              <w:tc>
                <w:tcPr>
                  <w:tcW w:w="3780" w:type="dxa"/>
                </w:tcPr>
                <w:p w:rsidR="00A206F0" w:rsidRDefault="00A206F0" w:rsidP="00A206F0">
                  <w:r>
                    <w:t>Reviewed:</w:t>
                  </w:r>
                </w:p>
              </w:tc>
            </w:tr>
            <w:tr w:rsidR="00A206F0" w:rsidTr="00A206F0">
              <w:tc>
                <w:tcPr>
                  <w:tcW w:w="3888" w:type="dxa"/>
                  <w:tcBorders>
                    <w:top w:val="single" w:sz="6" w:space="0" w:color="auto"/>
                    <w:bottom w:val="single" w:sz="6" w:space="0" w:color="auto"/>
                  </w:tcBorders>
                </w:tcPr>
                <w:p w:rsidR="00A206F0" w:rsidRDefault="00A206F0" w:rsidP="00A206F0">
                  <w:r>
                    <w:t>Reviewed:</w:t>
                  </w:r>
                </w:p>
                <w:p w:rsidR="00A206F0" w:rsidRDefault="00A206F0" w:rsidP="00A206F0"/>
              </w:tc>
              <w:tc>
                <w:tcPr>
                  <w:tcW w:w="3780" w:type="dxa"/>
                </w:tcPr>
                <w:p w:rsidR="00A206F0" w:rsidRDefault="00A206F0" w:rsidP="00A206F0">
                  <w:r>
                    <w:t>Reviewed:</w:t>
                  </w:r>
                </w:p>
              </w:tc>
            </w:tr>
            <w:tr w:rsidR="00A206F0" w:rsidTr="00A206F0">
              <w:tc>
                <w:tcPr>
                  <w:tcW w:w="3888" w:type="dxa"/>
                  <w:tcBorders>
                    <w:top w:val="single" w:sz="6" w:space="0" w:color="auto"/>
                    <w:bottom w:val="single" w:sz="12" w:space="0" w:color="auto"/>
                  </w:tcBorders>
                </w:tcPr>
                <w:p w:rsidR="00A206F0" w:rsidRDefault="00A206F0" w:rsidP="00A206F0">
                  <w:r>
                    <w:t>Reviewed:</w:t>
                  </w:r>
                </w:p>
                <w:p w:rsidR="00A206F0" w:rsidRDefault="00A206F0" w:rsidP="00A206F0"/>
              </w:tc>
              <w:tc>
                <w:tcPr>
                  <w:tcW w:w="3780" w:type="dxa"/>
                </w:tcPr>
                <w:p w:rsidR="00A206F0" w:rsidRDefault="00A206F0" w:rsidP="00A206F0">
                  <w:r>
                    <w:t>Reviewed:</w:t>
                  </w:r>
                </w:p>
              </w:tc>
            </w:tr>
          </w:tbl>
          <w:tbl>
            <w:tblPr>
              <w:tblStyle w:val="TableGrid"/>
              <w:tblpPr w:leftFromText="180" w:rightFromText="180" w:vertAnchor="text" w:horzAnchor="margin" w:tblpY="-51"/>
              <w:tblW w:w="10335" w:type="dxa"/>
              <w:tblBorders>
                <w:top w:val="single" w:sz="12"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3711"/>
              <w:gridCol w:w="1115"/>
              <w:gridCol w:w="4052"/>
            </w:tblGrid>
            <w:tr w:rsidR="00A206F0" w:rsidRPr="00FE4BFC" w:rsidTr="00A206F0">
              <w:trPr>
                <w:trHeight w:val="911"/>
              </w:trPr>
              <w:tc>
                <w:tcPr>
                  <w:tcW w:w="1457" w:type="dxa"/>
                  <w:vAlign w:val="center"/>
                </w:tcPr>
                <w:p w:rsidR="00A206F0" w:rsidRPr="00FE4BFC" w:rsidRDefault="00A206F0" w:rsidP="00A206F0">
                  <w:pPr>
                    <w:pStyle w:val="TableParagraph"/>
                    <w:kinsoku w:val="0"/>
                    <w:overflowPunct w:val="0"/>
                    <w:ind w:right="135"/>
                  </w:pPr>
                  <w:r>
                    <w:t xml:space="preserve">SUBJECT:  </w:t>
                  </w:r>
                </w:p>
              </w:tc>
              <w:tc>
                <w:tcPr>
                  <w:tcW w:w="3711" w:type="dxa"/>
                  <w:vAlign w:val="center"/>
                </w:tcPr>
                <w:p w:rsidR="00A206F0" w:rsidRPr="00FE4BFC" w:rsidRDefault="00A206F0" w:rsidP="00A206F0">
                  <w:pPr>
                    <w:pStyle w:val="TableParagraph"/>
                    <w:kinsoku w:val="0"/>
                    <w:overflowPunct w:val="0"/>
                    <w:ind w:right="135"/>
                  </w:pPr>
                  <w:r>
                    <w:t>VIDAS</w:t>
                  </w:r>
                  <w:r w:rsidRPr="00C034F2">
                    <w:rPr>
                      <w:vertAlign w:val="superscript"/>
                    </w:rPr>
                    <w:t>®</w:t>
                  </w:r>
                  <w:r>
                    <w:t xml:space="preserve"> B•R•A•H•M•S PCT</w:t>
                  </w:r>
                  <w:r w:rsidRPr="00C034F2">
                    <w:rPr>
                      <w:vertAlign w:val="superscript"/>
                    </w:rPr>
                    <w:t>™</w:t>
                  </w:r>
                </w:p>
              </w:tc>
              <w:tc>
                <w:tcPr>
                  <w:tcW w:w="1115" w:type="dxa"/>
                  <w:vAlign w:val="center"/>
                </w:tcPr>
                <w:p w:rsidR="00A206F0" w:rsidRDefault="00A206F0" w:rsidP="00A206F0">
                  <w:pPr>
                    <w:pStyle w:val="TableParagraph"/>
                    <w:kinsoku w:val="0"/>
                    <w:overflowPunct w:val="0"/>
                    <w:ind w:right="135"/>
                    <w:jc w:val="center"/>
                  </w:pPr>
                  <w:r>
                    <w:t xml:space="preserve">TITLE:  </w:t>
                  </w:r>
                </w:p>
              </w:tc>
              <w:tc>
                <w:tcPr>
                  <w:tcW w:w="4052" w:type="dxa"/>
                  <w:vAlign w:val="center"/>
                </w:tcPr>
                <w:p w:rsidR="00A206F0" w:rsidRPr="001304D8" w:rsidRDefault="00A206F0" w:rsidP="00A206F0">
                  <w:pPr>
                    <w:rPr>
                      <w:sz w:val="24"/>
                      <w:szCs w:val="24"/>
                    </w:rPr>
                  </w:pPr>
                  <w:r w:rsidRPr="00A206F0">
                    <w:rPr>
                      <w:sz w:val="24"/>
                      <w:szCs w:val="24"/>
                    </w:rPr>
                    <w:t>Principle and procedure for performing procalcitonin with MiniVidas</w:t>
                  </w:r>
                </w:p>
              </w:tc>
            </w:tr>
          </w:tbl>
          <w:p w:rsidR="00765B26" w:rsidRPr="007A1361" w:rsidRDefault="00765B26" w:rsidP="007A1361">
            <w:pPr>
              <w:rPr>
                <w:b/>
                <w:sz w:val="22"/>
                <w:szCs w:val="22"/>
              </w:rPr>
            </w:pPr>
          </w:p>
        </w:tc>
      </w:tr>
    </w:tbl>
    <w:p w:rsidR="00CA7CA8" w:rsidRPr="00A206F0" w:rsidRDefault="00A206F0" w:rsidP="00A206F0">
      <w:pPr>
        <w:rPr>
          <w:b/>
        </w:rPr>
      </w:pPr>
      <w:r>
        <w:rPr>
          <w:noProof/>
        </w:rPr>
        <mc:AlternateContent>
          <mc:Choice Requires="wps">
            <w:drawing>
              <wp:anchor distT="0" distB="0" distL="114300" distR="114300" simplePos="0" relativeHeight="251657728" behindDoc="0" locked="0" layoutInCell="1" allowOverlap="1">
                <wp:simplePos x="0" y="0"/>
                <wp:positionH relativeFrom="column">
                  <wp:posOffset>701675</wp:posOffset>
                </wp:positionH>
                <wp:positionV relativeFrom="paragraph">
                  <wp:posOffset>2185670</wp:posOffset>
                </wp:positionV>
                <wp:extent cx="4548505" cy="4163060"/>
                <wp:effectExtent l="0" t="0" r="4445" b="889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8505" cy="4163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4003" w:rsidRDefault="00A540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5.25pt;margin-top:172.1pt;width:358.15pt;height:327.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" stroked="f">
                <v:textbox>
                  <w:txbxContent>
                    <w:p w:rsidR="00A54003" w:rsidRDefault="00A54003"/>
                  </w:txbxContent>
                </v:textbox>
              </v:shape>
            </w:pict>
          </mc:Fallback>
        </mc:AlternateContent>
      </w:r>
    </w:p>
    <w:sectPr w:rsidR="00CA7CA8" w:rsidRPr="00A206F0" w:rsidSect="004C6E0F">
      <w:headerReference w:type="default" r:id="rId8"/>
      <w:footerReference w:type="default" r:id="rId9"/>
      <w:pgSz w:w="12240" w:h="15840"/>
      <w:pgMar w:top="864" w:right="1008" w:bottom="540" w:left="100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4A47" w:rsidRDefault="00364A47" w:rsidP="000F3522">
      <w:r>
        <w:separator/>
      </w:r>
    </w:p>
  </w:endnote>
  <w:endnote w:type="continuationSeparator" w:id="0">
    <w:p w:rsidR="00364A47" w:rsidRDefault="00364A47" w:rsidP="000F3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84688"/>
      <w:docPartObj>
        <w:docPartGallery w:val="Page Numbers (Bottom of Page)"/>
        <w:docPartUnique/>
      </w:docPartObj>
    </w:sdtPr>
    <w:sdtEndPr/>
    <w:sdtContent>
      <w:sdt>
        <w:sdtPr>
          <w:id w:val="98381352"/>
          <w:docPartObj>
            <w:docPartGallery w:val="Page Numbers (Top of Page)"/>
            <w:docPartUnique/>
          </w:docPartObj>
        </w:sdtPr>
        <w:sdtEndPr/>
        <w:sdtContent>
          <w:p w:rsidR="00A54003" w:rsidRDefault="00A54003" w:rsidP="00C55044">
            <w:pPr>
              <w:pStyle w:val="Footer"/>
              <w:jc w:val="right"/>
            </w:pPr>
            <w:r>
              <w:t xml:space="preserve">Page </w:t>
            </w:r>
            <w:r w:rsidR="006E48F2">
              <w:rPr>
                <w:b/>
                <w:sz w:val="24"/>
                <w:szCs w:val="24"/>
              </w:rPr>
              <w:fldChar w:fldCharType="begin"/>
            </w:r>
            <w:r>
              <w:rPr>
                <w:b/>
              </w:rPr>
              <w:instrText xml:space="preserve"> PAGE </w:instrText>
            </w:r>
            <w:r w:rsidR="006E48F2">
              <w:rPr>
                <w:b/>
                <w:sz w:val="24"/>
                <w:szCs w:val="24"/>
              </w:rPr>
              <w:fldChar w:fldCharType="separate"/>
            </w:r>
            <w:r w:rsidR="00EF4E08">
              <w:rPr>
                <w:b/>
                <w:noProof/>
              </w:rPr>
              <w:t>1</w:t>
            </w:r>
            <w:r w:rsidR="006E48F2">
              <w:rPr>
                <w:b/>
                <w:sz w:val="24"/>
                <w:szCs w:val="24"/>
              </w:rPr>
              <w:fldChar w:fldCharType="end"/>
            </w:r>
            <w:r>
              <w:t xml:space="preserve"> of </w:t>
            </w:r>
            <w:r w:rsidR="006E48F2">
              <w:rPr>
                <w:b/>
                <w:sz w:val="24"/>
                <w:szCs w:val="24"/>
              </w:rPr>
              <w:fldChar w:fldCharType="begin"/>
            </w:r>
            <w:r>
              <w:rPr>
                <w:b/>
              </w:rPr>
              <w:instrText xml:space="preserve"> NUMPAGES  </w:instrText>
            </w:r>
            <w:r w:rsidR="006E48F2">
              <w:rPr>
                <w:b/>
                <w:sz w:val="24"/>
                <w:szCs w:val="24"/>
              </w:rPr>
              <w:fldChar w:fldCharType="separate"/>
            </w:r>
            <w:r w:rsidR="00EF4E08">
              <w:rPr>
                <w:b/>
                <w:noProof/>
              </w:rPr>
              <w:t>5</w:t>
            </w:r>
            <w:r w:rsidR="006E48F2">
              <w:rPr>
                <w:b/>
                <w:sz w:val="24"/>
                <w:szCs w:val="24"/>
              </w:rPr>
              <w:fldChar w:fldCharType="end"/>
            </w:r>
          </w:p>
        </w:sdtContent>
      </w:sdt>
    </w:sdtContent>
  </w:sdt>
  <w:p w:rsidR="00A54003" w:rsidRDefault="00A540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4A47" w:rsidRDefault="00364A47" w:rsidP="000F3522">
      <w:r>
        <w:separator/>
      </w:r>
    </w:p>
  </w:footnote>
  <w:footnote w:type="continuationSeparator" w:id="0">
    <w:p w:rsidR="00364A47" w:rsidRDefault="00364A47" w:rsidP="000F35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003" w:rsidRDefault="00A54003">
    <w:pPr>
      <w:pStyle w:val="Header"/>
      <w:jc w:val="center"/>
    </w:pPr>
  </w:p>
  <w:p w:rsidR="00A54003" w:rsidRDefault="00A54003">
    <w:pPr>
      <w:pStyle w:val="Header"/>
      <w:jc w:val="center"/>
    </w:pPr>
  </w:p>
  <w:p w:rsidR="00A54003" w:rsidRDefault="00A820CF" w:rsidP="00414EA2">
    <w:pPr>
      <w:pStyle w:val="Header"/>
      <w:jc w:val="center"/>
    </w:pPr>
    <w:r w:rsidRPr="00A820CF">
      <w:rPr>
        <w:noProof/>
      </w:rPr>
      <w:drawing>
        <wp:inline distT="0" distB="0" distL="0" distR="0" wp14:anchorId="097D33BC" wp14:editId="23367131">
          <wp:extent cx="2616028" cy="680228"/>
          <wp:effectExtent l="0" t="0" r="0" b="0"/>
          <wp:docPr id="4" name="Picture 4" descr="C:\Users\Albert\Desktop\Jersey Shore University Medical Center\Laboratory\Hackensack Meridian Health Logo\Hackensack Meridian Healt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bert\Desktop\Jersey Shore University Medical Center\Laboratory\Hackensack Meridian Health Logo\Hackensack Meridian Health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1316" cy="686803"/>
                  </a:xfrm>
                  <a:prstGeom prst="rect">
                    <a:avLst/>
                  </a:prstGeom>
                  <a:noFill/>
                  <a:ln>
                    <a:noFill/>
                  </a:ln>
                </pic:spPr>
              </pic:pic>
            </a:graphicData>
          </a:graphic>
        </wp:inline>
      </w:drawing>
    </w:r>
  </w:p>
  <w:p w:rsidR="00A54003" w:rsidRDefault="00A54003" w:rsidP="00414EA2">
    <w:pPr>
      <w:pStyle w:val="Header"/>
      <w:jc w:val="center"/>
    </w:pPr>
    <w:r>
      <w:t>Jersey Shore University Medical Center</w:t>
    </w:r>
  </w:p>
  <w:p w:rsidR="00A54003" w:rsidRDefault="00A820CF">
    <w:pPr>
      <w:pStyle w:val="Header"/>
      <w:jc w:val="center"/>
    </w:pPr>
    <w:r>
      <w:t>Neptune, NJ, 07754</w:t>
    </w:r>
  </w:p>
  <w:p w:rsidR="00A54003" w:rsidRDefault="00A54003">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24A2A"/>
    <w:multiLevelType w:val="hybridMultilevel"/>
    <w:tmpl w:val="E3024F20"/>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 w15:restartNumberingAfterBreak="0">
    <w:nsid w:val="1DA506DB"/>
    <w:multiLevelType w:val="hybridMultilevel"/>
    <w:tmpl w:val="B0646A5A"/>
    <w:lvl w:ilvl="0" w:tplc="92BEEA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6BF0495"/>
    <w:multiLevelType w:val="hybridMultilevel"/>
    <w:tmpl w:val="61A092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884627"/>
    <w:multiLevelType w:val="hybridMultilevel"/>
    <w:tmpl w:val="351AB42C"/>
    <w:lvl w:ilvl="0" w:tplc="8216F8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3F1248E"/>
    <w:multiLevelType w:val="hybridMultilevel"/>
    <w:tmpl w:val="A7A6330C"/>
    <w:lvl w:ilvl="0" w:tplc="C80268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9A03718"/>
    <w:multiLevelType w:val="hybridMultilevel"/>
    <w:tmpl w:val="F23A50AC"/>
    <w:lvl w:ilvl="0" w:tplc="8216F8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5"/>
  </w:num>
  <w:num w:numId="5">
    <w:abstractNumId w:val="4"/>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660"/>
    <w:rsid w:val="0003644F"/>
    <w:rsid w:val="00085024"/>
    <w:rsid w:val="000A7451"/>
    <w:rsid w:val="000D664E"/>
    <w:rsid w:val="000E4B79"/>
    <w:rsid w:val="000F06B5"/>
    <w:rsid w:val="000F3522"/>
    <w:rsid w:val="001304D8"/>
    <w:rsid w:val="001400A4"/>
    <w:rsid w:val="001457FF"/>
    <w:rsid w:val="00163E7C"/>
    <w:rsid w:val="001647EE"/>
    <w:rsid w:val="00166937"/>
    <w:rsid w:val="00172AFA"/>
    <w:rsid w:val="00191C8D"/>
    <w:rsid w:val="001A1176"/>
    <w:rsid w:val="001A6BE8"/>
    <w:rsid w:val="001C12C7"/>
    <w:rsid w:val="001D11E6"/>
    <w:rsid w:val="001D47E1"/>
    <w:rsid w:val="001D5EAA"/>
    <w:rsid w:val="002033D8"/>
    <w:rsid w:val="00277128"/>
    <w:rsid w:val="00285173"/>
    <w:rsid w:val="002B0B33"/>
    <w:rsid w:val="002C5A8D"/>
    <w:rsid w:val="002D5350"/>
    <w:rsid w:val="00307C50"/>
    <w:rsid w:val="003157C2"/>
    <w:rsid w:val="00343699"/>
    <w:rsid w:val="00364A47"/>
    <w:rsid w:val="003B53CE"/>
    <w:rsid w:val="003C58B9"/>
    <w:rsid w:val="0040392F"/>
    <w:rsid w:val="00414EA2"/>
    <w:rsid w:val="004372D1"/>
    <w:rsid w:val="00441959"/>
    <w:rsid w:val="00465DF5"/>
    <w:rsid w:val="004735DE"/>
    <w:rsid w:val="00475352"/>
    <w:rsid w:val="00481FD9"/>
    <w:rsid w:val="0049758E"/>
    <w:rsid w:val="004C6E0F"/>
    <w:rsid w:val="004D2F22"/>
    <w:rsid w:val="004D4384"/>
    <w:rsid w:val="004E2319"/>
    <w:rsid w:val="004F6B12"/>
    <w:rsid w:val="0053307F"/>
    <w:rsid w:val="00536AFD"/>
    <w:rsid w:val="005A0EFC"/>
    <w:rsid w:val="005D0718"/>
    <w:rsid w:val="005D224A"/>
    <w:rsid w:val="005F68CE"/>
    <w:rsid w:val="00611F64"/>
    <w:rsid w:val="00666AB2"/>
    <w:rsid w:val="006719D5"/>
    <w:rsid w:val="006A108A"/>
    <w:rsid w:val="006C2D62"/>
    <w:rsid w:val="006C5061"/>
    <w:rsid w:val="006E48F2"/>
    <w:rsid w:val="00704404"/>
    <w:rsid w:val="007313B3"/>
    <w:rsid w:val="007539AA"/>
    <w:rsid w:val="00765B26"/>
    <w:rsid w:val="00774133"/>
    <w:rsid w:val="0078457F"/>
    <w:rsid w:val="00793CD6"/>
    <w:rsid w:val="0079509E"/>
    <w:rsid w:val="007A1361"/>
    <w:rsid w:val="007C3BCD"/>
    <w:rsid w:val="007D53C1"/>
    <w:rsid w:val="007E1B67"/>
    <w:rsid w:val="007E2C9F"/>
    <w:rsid w:val="007F2B6F"/>
    <w:rsid w:val="0080198B"/>
    <w:rsid w:val="0082388F"/>
    <w:rsid w:val="00826C11"/>
    <w:rsid w:val="00843CC1"/>
    <w:rsid w:val="00845930"/>
    <w:rsid w:val="008916E9"/>
    <w:rsid w:val="008A33DB"/>
    <w:rsid w:val="008A6776"/>
    <w:rsid w:val="008F7FCF"/>
    <w:rsid w:val="00932438"/>
    <w:rsid w:val="00932EA8"/>
    <w:rsid w:val="009369F0"/>
    <w:rsid w:val="00943B3C"/>
    <w:rsid w:val="00962340"/>
    <w:rsid w:val="00976FD1"/>
    <w:rsid w:val="00980008"/>
    <w:rsid w:val="00A206F0"/>
    <w:rsid w:val="00A43AA6"/>
    <w:rsid w:val="00A54003"/>
    <w:rsid w:val="00A820CF"/>
    <w:rsid w:val="00A86102"/>
    <w:rsid w:val="00A97E1C"/>
    <w:rsid w:val="00AD7EF8"/>
    <w:rsid w:val="00AE1C75"/>
    <w:rsid w:val="00B00849"/>
    <w:rsid w:val="00B0167E"/>
    <w:rsid w:val="00B17756"/>
    <w:rsid w:val="00B20DF3"/>
    <w:rsid w:val="00B26F07"/>
    <w:rsid w:val="00B66579"/>
    <w:rsid w:val="00B67073"/>
    <w:rsid w:val="00B941AC"/>
    <w:rsid w:val="00BA6107"/>
    <w:rsid w:val="00BB47BE"/>
    <w:rsid w:val="00BB5072"/>
    <w:rsid w:val="00BD479B"/>
    <w:rsid w:val="00BE0922"/>
    <w:rsid w:val="00C034F2"/>
    <w:rsid w:val="00C11DF2"/>
    <w:rsid w:val="00C1349C"/>
    <w:rsid w:val="00C536EA"/>
    <w:rsid w:val="00C55044"/>
    <w:rsid w:val="00C569C4"/>
    <w:rsid w:val="00CA7CA8"/>
    <w:rsid w:val="00CB2A43"/>
    <w:rsid w:val="00CC2C56"/>
    <w:rsid w:val="00CC4A79"/>
    <w:rsid w:val="00CD137D"/>
    <w:rsid w:val="00D21E67"/>
    <w:rsid w:val="00D34383"/>
    <w:rsid w:val="00D51E6C"/>
    <w:rsid w:val="00D8427F"/>
    <w:rsid w:val="00DB4F8D"/>
    <w:rsid w:val="00DD7660"/>
    <w:rsid w:val="00DF61C2"/>
    <w:rsid w:val="00E0580B"/>
    <w:rsid w:val="00E43F72"/>
    <w:rsid w:val="00E77E2A"/>
    <w:rsid w:val="00E92001"/>
    <w:rsid w:val="00EA6CE0"/>
    <w:rsid w:val="00EC23B2"/>
    <w:rsid w:val="00EF44C4"/>
    <w:rsid w:val="00EF4BF3"/>
    <w:rsid w:val="00EF4E08"/>
    <w:rsid w:val="00F144D7"/>
    <w:rsid w:val="00F15F5F"/>
    <w:rsid w:val="00F81289"/>
    <w:rsid w:val="00FC5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72347A0-5716-4F79-934A-0F290DCEC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E0F"/>
  </w:style>
  <w:style w:type="paragraph" w:styleId="Heading1">
    <w:name w:val="heading 1"/>
    <w:basedOn w:val="Normal"/>
    <w:next w:val="Normal"/>
    <w:link w:val="Heading1Char"/>
    <w:uiPriority w:val="9"/>
    <w:qFormat/>
    <w:rsid w:val="0053307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4C6E0F"/>
    <w:pPr>
      <w:keepNext/>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C6E0F"/>
    <w:pPr>
      <w:tabs>
        <w:tab w:val="center" w:pos="4320"/>
        <w:tab w:val="right" w:pos="8640"/>
      </w:tabs>
    </w:pPr>
  </w:style>
  <w:style w:type="paragraph" w:styleId="Footer">
    <w:name w:val="footer"/>
    <w:basedOn w:val="Normal"/>
    <w:link w:val="FooterChar"/>
    <w:uiPriority w:val="99"/>
    <w:rsid w:val="004C6E0F"/>
    <w:pPr>
      <w:tabs>
        <w:tab w:val="center" w:pos="4320"/>
        <w:tab w:val="right" w:pos="8640"/>
      </w:tabs>
    </w:pPr>
  </w:style>
  <w:style w:type="paragraph" w:styleId="BalloonText">
    <w:name w:val="Balloon Text"/>
    <w:basedOn w:val="Normal"/>
    <w:semiHidden/>
    <w:rsid w:val="00DD7660"/>
    <w:rPr>
      <w:rFonts w:ascii="Tahoma" w:hAnsi="Tahoma" w:cs="Tahoma"/>
      <w:sz w:val="16"/>
      <w:szCs w:val="16"/>
    </w:rPr>
  </w:style>
  <w:style w:type="paragraph" w:styleId="ListParagraph">
    <w:name w:val="List Paragraph"/>
    <w:basedOn w:val="Normal"/>
    <w:uiPriority w:val="34"/>
    <w:qFormat/>
    <w:rsid w:val="00465DF5"/>
    <w:pPr>
      <w:ind w:left="720"/>
      <w:contextualSpacing/>
    </w:pPr>
  </w:style>
  <w:style w:type="character" w:customStyle="1" w:styleId="FooterChar">
    <w:name w:val="Footer Char"/>
    <w:basedOn w:val="DefaultParagraphFont"/>
    <w:link w:val="Footer"/>
    <w:uiPriority w:val="99"/>
    <w:rsid w:val="005A0EFC"/>
  </w:style>
  <w:style w:type="table" w:styleId="TableGrid">
    <w:name w:val="Table Grid"/>
    <w:basedOn w:val="TableNormal"/>
    <w:uiPriority w:val="59"/>
    <w:rsid w:val="00CD1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0E4B79"/>
  </w:style>
  <w:style w:type="paragraph" w:customStyle="1" w:styleId="TableParagraph">
    <w:name w:val="Table Paragraph"/>
    <w:basedOn w:val="Normal"/>
    <w:uiPriority w:val="1"/>
    <w:qFormat/>
    <w:rsid w:val="00166937"/>
    <w:pPr>
      <w:widowControl w:val="0"/>
      <w:autoSpaceDE w:val="0"/>
      <w:autoSpaceDN w:val="0"/>
      <w:adjustRightInd w:val="0"/>
    </w:pPr>
    <w:rPr>
      <w:rFonts w:eastAsiaTheme="minorEastAsia"/>
      <w:sz w:val="24"/>
      <w:szCs w:val="24"/>
    </w:rPr>
  </w:style>
  <w:style w:type="paragraph" w:styleId="BodyText">
    <w:name w:val="Body Text"/>
    <w:basedOn w:val="Normal"/>
    <w:link w:val="BodyTextChar"/>
    <w:uiPriority w:val="1"/>
    <w:qFormat/>
    <w:rsid w:val="00166937"/>
    <w:pPr>
      <w:widowControl w:val="0"/>
      <w:autoSpaceDE w:val="0"/>
      <w:autoSpaceDN w:val="0"/>
      <w:adjustRightInd w:val="0"/>
      <w:ind w:left="1010"/>
    </w:pPr>
    <w:rPr>
      <w:rFonts w:eastAsiaTheme="minorEastAsia"/>
    </w:rPr>
  </w:style>
  <w:style w:type="character" w:customStyle="1" w:styleId="BodyTextChar">
    <w:name w:val="Body Text Char"/>
    <w:basedOn w:val="DefaultParagraphFont"/>
    <w:link w:val="BodyText"/>
    <w:uiPriority w:val="99"/>
    <w:rsid w:val="00166937"/>
    <w:rPr>
      <w:rFonts w:eastAsiaTheme="minorEastAsia"/>
    </w:rPr>
  </w:style>
  <w:style w:type="character" w:customStyle="1" w:styleId="Heading1Char">
    <w:name w:val="Heading 1 Char"/>
    <w:basedOn w:val="DefaultParagraphFont"/>
    <w:link w:val="Heading1"/>
    <w:uiPriority w:val="9"/>
    <w:rsid w:val="0053307F"/>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80198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CF784-2513-40C1-AB11-BA6042CD8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1268</Words>
  <Characters>7233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SUBJECT:</vt:lpstr>
    </vt:vector>
  </TitlesOfParts>
  <Company>MHS</Company>
  <LinksUpToDate>false</LinksUpToDate>
  <CharactersWithSpaces>8485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dc:title>
  <dc:creator>MDobson</dc:creator>
  <cp:lastModifiedBy>Al Ramirez</cp:lastModifiedBy>
  <cp:revision>2</cp:revision>
  <cp:lastPrinted>2017-12-08T19:25:00Z</cp:lastPrinted>
  <dcterms:created xsi:type="dcterms:W3CDTF">2017-12-14T21:15:00Z</dcterms:created>
  <dcterms:modified xsi:type="dcterms:W3CDTF">2017-12-14T21:15:00Z</dcterms:modified>
</cp:coreProperties>
</file>