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AA" w:rsidRDefault="001676AA">
      <w:pPr>
        <w:pStyle w:val="EndnoteText"/>
        <w:rPr>
          <w:vanish/>
          <w:spacing w:val="-3"/>
        </w:rPr>
      </w:pPr>
    </w:p>
    <w:p w:rsidR="001676AA" w:rsidRDefault="00741348">
      <w:pPr>
        <w:framePr w:w="4980" w:h="1061" w:hSpace="240" w:vSpace="240" w:wrap="auto" w:vAnchor="text" w:hAnchor="margin" w:x="31" w:y="381"/>
        <w:tabs>
          <w:tab w:val="left" w:pos="-720"/>
        </w:tabs>
        <w:suppressAutoHyphens/>
        <w:jc w:val="both"/>
        <w:rPr>
          <w:spacing w:val="-3"/>
          <w:sz w:val="2"/>
        </w:rPr>
      </w:pPr>
      <w:r>
        <w:rPr>
          <w:noProof/>
          <w:spacing w:val="-3"/>
          <w:sz w:val="20"/>
        </w:rPr>
        <w:drawing>
          <wp:inline distT="0" distB="0" distL="0" distR="0">
            <wp:extent cx="317182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562" t="-23199" r="-22563" b="-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AA" w:rsidRDefault="007849C9">
      <w:pPr>
        <w:pStyle w:val="Caption"/>
        <w:framePr w:w="4980" w:h="1061" w:hSpace="240" w:vSpace="240" w:wrap="auto" w:vAnchor="text" w:hAnchor="margin" w:x="31" w:y="381"/>
        <w:tabs>
          <w:tab w:val="left" w:pos="-720"/>
        </w:tabs>
        <w:suppressAutoHyphens/>
        <w:spacing w:line="1" w:lineRule="exact"/>
        <w:jc w:val="both"/>
        <w:rPr>
          <w:vanish/>
          <w:spacing w:val="-3"/>
        </w:rPr>
      </w:pPr>
      <w:r>
        <w:rPr>
          <w:vanish/>
          <w:spacing w:val="-3"/>
        </w:rPr>
        <w:fldChar w:fldCharType="begin"/>
      </w:r>
      <w:r w:rsidR="001676AA">
        <w:rPr>
          <w:vanish/>
          <w:spacing w:val="-3"/>
        </w:rPr>
        <w:instrText>seq Figure  \* Arabic</w:instrText>
      </w:r>
      <w:r>
        <w:rPr>
          <w:vanish/>
          <w:spacing w:val="-3"/>
        </w:rPr>
        <w:fldChar w:fldCharType="separate"/>
      </w:r>
      <w:r w:rsidR="005E2E03">
        <w:rPr>
          <w:noProof/>
          <w:vanish/>
          <w:spacing w:val="-3"/>
        </w:rPr>
        <w:t>1</w:t>
      </w:r>
      <w:r>
        <w:rPr>
          <w:vanish/>
          <w:spacing w:val="-3"/>
        </w:rPr>
        <w:fldChar w:fldCharType="end"/>
      </w:r>
    </w:p>
    <w:p w:rsidR="001676AA" w:rsidRDefault="001676AA">
      <w:pPr>
        <w:suppressAutoHyphens/>
        <w:jc w:val="both"/>
        <w:rPr>
          <w:spacing w:val="-3"/>
        </w:rPr>
      </w:pPr>
    </w:p>
    <w:p w:rsidR="001676AA" w:rsidRDefault="001676AA">
      <w:pPr>
        <w:suppressAutoHyphens/>
        <w:rPr>
          <w:b/>
          <w:spacing w:val="-3"/>
          <w:sz w:val="29"/>
        </w:rPr>
      </w:pPr>
    </w:p>
    <w:p w:rsidR="001676AA" w:rsidRDefault="00730031">
      <w:pPr>
        <w:suppressAutoHyphens/>
        <w:rPr>
          <w:spacing w:val="-3"/>
          <w:sz w:val="32"/>
        </w:rPr>
      </w:pPr>
      <w:r>
        <w:rPr>
          <w:b/>
          <w:spacing w:val="-3"/>
          <w:sz w:val="32"/>
        </w:rPr>
        <w:t>LAMC LABORATORY</w:t>
      </w:r>
      <w:r w:rsidR="001676AA">
        <w:rPr>
          <w:b/>
          <w:spacing w:val="-3"/>
          <w:sz w:val="32"/>
        </w:rPr>
        <w:t xml:space="preserve"> </w:t>
      </w:r>
      <w:r w:rsidR="007849C9">
        <w:rPr>
          <w:spacing w:val="-3"/>
          <w:sz w:val="32"/>
        </w:rPr>
        <w:fldChar w:fldCharType="begin"/>
      </w:r>
      <w:r w:rsidR="001676AA">
        <w:rPr>
          <w:spacing w:val="-3"/>
          <w:sz w:val="32"/>
        </w:rPr>
        <w:instrText xml:space="preserve">PRIVATE </w:instrText>
      </w:r>
      <w:r w:rsidR="007849C9">
        <w:rPr>
          <w:spacing w:val="-3"/>
          <w:sz w:val="32"/>
        </w:rPr>
        <w:fldChar w:fldCharType="end"/>
      </w:r>
    </w:p>
    <w:p w:rsidR="001676AA" w:rsidRDefault="001676AA">
      <w:pPr>
        <w:suppressAutoHyphens/>
        <w:jc w:val="both"/>
        <w:rPr>
          <w:spacing w:val="-3"/>
          <w:sz w:val="3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1260"/>
        <w:gridCol w:w="2538"/>
      </w:tblGrid>
      <w:tr w:rsidR="001676AA">
        <w:tc>
          <w:tcPr>
            <w:tcW w:w="9576" w:type="dxa"/>
            <w:gridSpan w:val="4"/>
          </w:tcPr>
          <w:p w:rsidR="001676AA" w:rsidRDefault="001676AA">
            <w:pPr>
              <w:suppressAutoHyphens/>
              <w:jc w:val="both"/>
              <w:rPr>
                <w:spacing w:val="-3"/>
                <w:sz w:val="36"/>
              </w:rPr>
            </w:pPr>
            <w:r>
              <w:rPr>
                <w:b/>
                <w:i/>
                <w:spacing w:val="-3"/>
                <w:sz w:val="36"/>
              </w:rPr>
              <w:t>Inter-Office Memorandum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 w:rsidP="00940B89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To:</w:t>
            </w:r>
            <w:r w:rsidR="00940B89">
              <w:rPr>
                <w:b/>
                <w:spacing w:val="-3"/>
              </w:rPr>
              <w:t xml:space="preserve"> </w:t>
            </w:r>
          </w:p>
        </w:tc>
        <w:tc>
          <w:tcPr>
            <w:tcW w:w="4590" w:type="dxa"/>
          </w:tcPr>
          <w:p w:rsidR="001676AA" w:rsidRDefault="00940B89" w:rsidP="00271D8A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ALL </w:t>
            </w:r>
            <w:r w:rsidR="00331E54">
              <w:rPr>
                <w:spacing w:val="-3"/>
              </w:rPr>
              <w:t xml:space="preserve">CHEMISTRY </w:t>
            </w:r>
            <w:bookmarkStart w:id="0" w:name="_GoBack"/>
            <w:bookmarkEnd w:id="0"/>
            <w:r>
              <w:rPr>
                <w:spacing w:val="-3"/>
              </w:rPr>
              <w:t>CLS</w:t>
            </w:r>
            <w:r w:rsidR="00331E54">
              <w:rPr>
                <w:spacing w:val="-3"/>
              </w:rPr>
              <w:t>, ALL SHIFTS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Date:</w:t>
            </w:r>
          </w:p>
        </w:tc>
        <w:tc>
          <w:tcPr>
            <w:tcW w:w="2538" w:type="dxa"/>
          </w:tcPr>
          <w:p w:rsidR="001676AA" w:rsidRDefault="00940B89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2/25/2013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From:</w:t>
            </w:r>
            <w:r w:rsidR="00940B89">
              <w:rPr>
                <w:b/>
                <w:spacing w:val="-3"/>
              </w:rPr>
              <w:t xml:space="preserve"> 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940B89" w:rsidP="00271D8A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AIDA LEGASPI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Subject:</w:t>
            </w:r>
          </w:p>
        </w:tc>
        <w:tc>
          <w:tcPr>
            <w:tcW w:w="4590" w:type="dxa"/>
          </w:tcPr>
          <w:p w:rsidR="001676AA" w:rsidRDefault="00940B89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ALBUMIN BROMCRESOL GREEN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Location:</w:t>
            </w:r>
          </w:p>
        </w:tc>
        <w:tc>
          <w:tcPr>
            <w:tcW w:w="2538" w:type="dxa"/>
          </w:tcPr>
          <w:p w:rsidR="001676AA" w:rsidRDefault="00730031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LAMC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Ext.:</w:t>
            </w: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CC:</w:t>
            </w:r>
          </w:p>
        </w:tc>
        <w:tc>
          <w:tcPr>
            <w:tcW w:w="4590" w:type="dxa"/>
          </w:tcPr>
          <w:p w:rsidR="00507006" w:rsidRDefault="00507006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</w:tbl>
    <w:p w:rsidR="001676AA" w:rsidRDefault="001676AA">
      <w:pPr>
        <w:suppressAutoHyphens/>
        <w:jc w:val="both"/>
        <w:rPr>
          <w:spacing w:val="-3"/>
        </w:rPr>
      </w:pPr>
    </w:p>
    <w:p w:rsidR="00271D8A" w:rsidRDefault="00940B89">
      <w:pPr>
        <w:suppressAutoHyphens/>
        <w:jc w:val="both"/>
        <w:rPr>
          <w:spacing w:val="-3"/>
        </w:rPr>
      </w:pPr>
      <w:r>
        <w:rPr>
          <w:b/>
          <w:spacing w:val="-3"/>
        </w:rPr>
        <w:t xml:space="preserve">REAGENT: </w:t>
      </w:r>
      <w:r>
        <w:rPr>
          <w:spacing w:val="-3"/>
        </w:rPr>
        <w:t>ALBUMIN BCG METHOD (ALBG)</w:t>
      </w:r>
    </w:p>
    <w:p w:rsidR="00940B89" w:rsidRDefault="00940B89" w:rsidP="00940B89">
      <w:pPr>
        <w:suppressAutoHyphens/>
        <w:ind w:left="1290"/>
        <w:jc w:val="both"/>
        <w:rPr>
          <w:spacing w:val="-3"/>
        </w:rPr>
      </w:pPr>
      <w:r>
        <w:rPr>
          <w:spacing w:val="-3"/>
        </w:rPr>
        <w:t>Product of Thermo Scientific. Load reagent on a user defined reagent cartridge</w:t>
      </w:r>
      <w:r>
        <w:rPr>
          <w:spacing w:val="-3"/>
        </w:rPr>
        <w:tab/>
        <w:t>. Load at least 25 ml at a time.</w:t>
      </w:r>
    </w:p>
    <w:p w:rsidR="00940B89" w:rsidRDefault="00940B89" w:rsidP="00940B89">
      <w:pPr>
        <w:suppressAutoHyphens/>
        <w:ind w:left="1290"/>
        <w:jc w:val="both"/>
        <w:rPr>
          <w:spacing w:val="-3"/>
        </w:rPr>
      </w:pPr>
      <w:r>
        <w:rPr>
          <w:spacing w:val="-3"/>
        </w:rPr>
        <w:t>Reagent is stable on board for 60 days.</w:t>
      </w:r>
    </w:p>
    <w:p w:rsidR="00940B89" w:rsidRDefault="00940B89" w:rsidP="00940B89">
      <w:pPr>
        <w:suppressAutoHyphens/>
        <w:jc w:val="both"/>
        <w:rPr>
          <w:spacing w:val="-3"/>
        </w:rPr>
      </w:pPr>
    </w:p>
    <w:p w:rsidR="00940B89" w:rsidRDefault="00940B89" w:rsidP="00940B89">
      <w:pPr>
        <w:suppressAutoHyphens/>
        <w:jc w:val="both"/>
        <w:rPr>
          <w:spacing w:val="-3"/>
        </w:rPr>
      </w:pPr>
      <w:r>
        <w:rPr>
          <w:b/>
          <w:spacing w:val="-3"/>
        </w:rPr>
        <w:t>CALIBRATION:</w:t>
      </w:r>
      <w:r>
        <w:rPr>
          <w:b/>
          <w:spacing w:val="-3"/>
        </w:rPr>
        <w:tab/>
      </w:r>
      <w:r>
        <w:rPr>
          <w:spacing w:val="-3"/>
        </w:rPr>
        <w:t>Calibration is good for 7 days using the ALBG CAL (1 Level).</w:t>
      </w:r>
    </w:p>
    <w:p w:rsidR="00940B89" w:rsidRDefault="00940B89" w:rsidP="00940B89">
      <w:pPr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Calibrators </w:t>
      </w:r>
      <w:r w:rsidR="002F5885">
        <w:rPr>
          <w:spacing w:val="-3"/>
        </w:rPr>
        <w:t>are stable until expiration date, unopened.</w:t>
      </w:r>
    </w:p>
    <w:p w:rsidR="002F5885" w:rsidRDefault="002F5885" w:rsidP="00940B89">
      <w:pPr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Reconstitute with 5 ml calibrator diluent.</w:t>
      </w:r>
    </w:p>
    <w:p w:rsidR="002F5885" w:rsidRDefault="002F5885" w:rsidP="00940B89">
      <w:pPr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Stable for 5 days after reconstitution.</w:t>
      </w:r>
    </w:p>
    <w:p w:rsidR="002F5885" w:rsidRDefault="002F5885" w:rsidP="00940B89">
      <w:pPr>
        <w:suppressAutoHyphens/>
        <w:jc w:val="both"/>
        <w:rPr>
          <w:b/>
          <w:spacing w:val="-3"/>
        </w:rPr>
      </w:pPr>
    </w:p>
    <w:p w:rsidR="002F5885" w:rsidRDefault="002F5885" w:rsidP="00940B89">
      <w:pPr>
        <w:suppressAutoHyphens/>
        <w:jc w:val="both"/>
        <w:rPr>
          <w:spacing w:val="-3"/>
        </w:rPr>
      </w:pPr>
      <w:r>
        <w:rPr>
          <w:b/>
          <w:spacing w:val="-3"/>
        </w:rPr>
        <w:t>CONTROL:</w:t>
      </w:r>
      <w:r>
        <w:rPr>
          <w:b/>
          <w:spacing w:val="-3"/>
        </w:rPr>
        <w:tab/>
      </w:r>
      <w:r w:rsidRPr="002F5885">
        <w:rPr>
          <w:spacing w:val="-3"/>
        </w:rPr>
        <w:t>Run</w:t>
      </w:r>
      <w:r>
        <w:rPr>
          <w:b/>
          <w:spacing w:val="-3"/>
        </w:rPr>
        <w:t xml:space="preserve"> </w:t>
      </w:r>
      <w:r>
        <w:rPr>
          <w:spacing w:val="-3"/>
        </w:rPr>
        <w:t>2 Levels of controls, using DATATROL N and DATATROL A every 8 hours.</w:t>
      </w:r>
    </w:p>
    <w:p w:rsidR="002F5885" w:rsidRDefault="002F5885" w:rsidP="00940B89">
      <w:pPr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Controls are stable until expiration date, unopened.</w:t>
      </w:r>
    </w:p>
    <w:p w:rsidR="002F5885" w:rsidRDefault="002F5885" w:rsidP="00940B89">
      <w:pPr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Reconstitute controls using 5 ml distilled or deionized water.</w:t>
      </w:r>
    </w:p>
    <w:p w:rsidR="002F5885" w:rsidRDefault="002F5885" w:rsidP="00940B89">
      <w:pPr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Stable for 10 days after reconstitution.</w:t>
      </w:r>
    </w:p>
    <w:p w:rsidR="002F5885" w:rsidRDefault="002F5885" w:rsidP="00940B89">
      <w:pPr>
        <w:suppressAutoHyphens/>
        <w:jc w:val="both"/>
        <w:rPr>
          <w:spacing w:val="-3"/>
        </w:rPr>
      </w:pPr>
    </w:p>
    <w:p w:rsidR="002F5885" w:rsidRDefault="002F5885" w:rsidP="00940B89">
      <w:pPr>
        <w:suppressAutoHyphens/>
        <w:jc w:val="both"/>
        <w:rPr>
          <w:spacing w:val="-3"/>
        </w:rPr>
      </w:pPr>
      <w:r>
        <w:rPr>
          <w:b/>
          <w:spacing w:val="-3"/>
        </w:rPr>
        <w:t>USE:</w:t>
      </w:r>
      <w:r>
        <w:rPr>
          <w:b/>
          <w:spacing w:val="-3"/>
        </w:rPr>
        <w:tab/>
      </w:r>
      <w:r>
        <w:rPr>
          <w:spacing w:val="-3"/>
        </w:rPr>
        <w:t>This reagent will be used for dialysis Albumin orders (ALBG)</w:t>
      </w:r>
    </w:p>
    <w:p w:rsidR="002F5885" w:rsidRDefault="002F5885" w:rsidP="00940B89">
      <w:pPr>
        <w:suppressAutoHyphens/>
        <w:jc w:val="both"/>
        <w:rPr>
          <w:spacing w:val="-3"/>
        </w:rPr>
      </w:pPr>
    </w:p>
    <w:p w:rsidR="002F5885" w:rsidRDefault="002F5885" w:rsidP="00940B89">
      <w:pPr>
        <w:suppressAutoHyphens/>
        <w:jc w:val="both"/>
        <w:rPr>
          <w:spacing w:val="-3"/>
        </w:rPr>
      </w:pPr>
      <w:r>
        <w:rPr>
          <w:b/>
          <w:spacing w:val="-3"/>
        </w:rPr>
        <w:t xml:space="preserve">STORAGE </w:t>
      </w:r>
      <w:r>
        <w:rPr>
          <w:b/>
          <w:spacing w:val="-3"/>
        </w:rPr>
        <w:tab/>
      </w:r>
      <w:r>
        <w:rPr>
          <w:spacing w:val="-3"/>
        </w:rPr>
        <w:t>Reagents, calibrators and controls are stored at 2-25</w:t>
      </w:r>
      <w:r>
        <w:rPr>
          <w:rFonts w:ascii="Arial" w:hAnsi="Arial" w:cs="Arial"/>
          <w:spacing w:val="-3"/>
        </w:rPr>
        <w:t>°</w:t>
      </w:r>
      <w:r>
        <w:rPr>
          <w:spacing w:val="-3"/>
        </w:rPr>
        <w:t>C.</w:t>
      </w:r>
    </w:p>
    <w:p w:rsidR="002F5885" w:rsidRDefault="002F5885" w:rsidP="00940B89">
      <w:pPr>
        <w:suppressAutoHyphens/>
        <w:jc w:val="both"/>
        <w:rPr>
          <w:spacing w:val="-3"/>
        </w:rPr>
      </w:pPr>
    </w:p>
    <w:p w:rsidR="002F5885" w:rsidRDefault="002F5885" w:rsidP="00331E54">
      <w:pPr>
        <w:suppressAutoHyphens/>
        <w:ind w:left="1440" w:hanging="1440"/>
        <w:jc w:val="both"/>
        <w:rPr>
          <w:spacing w:val="-3"/>
        </w:rPr>
      </w:pPr>
      <w:r>
        <w:rPr>
          <w:b/>
          <w:spacing w:val="-3"/>
        </w:rPr>
        <w:t>DIALYSIS TESTING DATES:</w:t>
      </w:r>
      <w:r>
        <w:rPr>
          <w:b/>
          <w:spacing w:val="-3"/>
        </w:rPr>
        <w:tab/>
      </w:r>
      <w:r w:rsidR="00331E54">
        <w:rPr>
          <w:spacing w:val="-3"/>
        </w:rPr>
        <w:t>Dialysis monthly Lab draw will be every 3</w:t>
      </w:r>
      <w:r w:rsidR="00331E54" w:rsidRPr="00331E54">
        <w:rPr>
          <w:spacing w:val="-3"/>
          <w:vertAlign w:val="superscript"/>
        </w:rPr>
        <w:t>rd</w:t>
      </w:r>
      <w:r w:rsidR="00331E54">
        <w:rPr>
          <w:spacing w:val="-3"/>
        </w:rPr>
        <w:t xml:space="preserve"> Wednesday and Thursday of the month.</w:t>
      </w:r>
    </w:p>
    <w:p w:rsidR="00331E54" w:rsidRDefault="00331E54" w:rsidP="00331E54">
      <w:pPr>
        <w:suppressAutoHyphens/>
        <w:ind w:left="1440" w:hanging="1440"/>
        <w:jc w:val="both"/>
      </w:pPr>
    </w:p>
    <w:p w:rsidR="00331E54" w:rsidRDefault="00331E54" w:rsidP="00331E54">
      <w:pPr>
        <w:suppressAutoHyphens/>
        <w:ind w:left="1440" w:hanging="1440"/>
        <w:jc w:val="both"/>
        <w:rPr>
          <w:b/>
        </w:rPr>
      </w:pPr>
      <w:r>
        <w:rPr>
          <w:b/>
        </w:rPr>
        <w:t>ALBG order will be available in Healthconnect and is programmed in our DXC as ALBG.</w:t>
      </w:r>
    </w:p>
    <w:p w:rsidR="00331E54" w:rsidRDefault="00331E54" w:rsidP="00331E54">
      <w:pPr>
        <w:suppressAutoHyphens/>
        <w:ind w:left="1440" w:hanging="1440"/>
        <w:jc w:val="both"/>
        <w:rPr>
          <w:b/>
        </w:rPr>
      </w:pPr>
    </w:p>
    <w:p w:rsidR="00331E54" w:rsidRDefault="00331E54" w:rsidP="00331E54">
      <w:pPr>
        <w:suppressAutoHyphens/>
        <w:ind w:left="1440" w:hanging="1440"/>
        <w:jc w:val="both"/>
        <w:rPr>
          <w:b/>
        </w:rPr>
      </w:pPr>
      <w:r>
        <w:rPr>
          <w:b/>
        </w:rPr>
        <w:t>LIVE DATE WILL BE MARCH 4, 2013.</w:t>
      </w:r>
    </w:p>
    <w:p w:rsidR="00331E54" w:rsidRDefault="00331E54" w:rsidP="00331E54">
      <w:pPr>
        <w:suppressAutoHyphens/>
        <w:ind w:left="1440" w:hanging="1440"/>
        <w:jc w:val="both"/>
        <w:rPr>
          <w:b/>
        </w:rPr>
      </w:pPr>
    </w:p>
    <w:p w:rsidR="00331E54" w:rsidRPr="00331E54" w:rsidRDefault="00331E54" w:rsidP="00331E54">
      <w:pPr>
        <w:suppressAutoHyphens/>
        <w:ind w:left="1440" w:hanging="1440"/>
        <w:jc w:val="both"/>
        <w:rPr>
          <w:b/>
          <w:spacing w:val="-3"/>
        </w:rPr>
      </w:pPr>
      <w:r>
        <w:rPr>
          <w:b/>
        </w:rPr>
        <w:t>FIRST BATCH OF DIALYSIS LAB TESTING WILL BE ON MARCH 20 AND 21.</w:t>
      </w:r>
    </w:p>
    <w:sectPr w:rsidR="00331E54" w:rsidRPr="00331E54" w:rsidSect="00FA1C8B">
      <w:endnotePr>
        <w:numFmt w:val="decimal"/>
      </w:endnotePr>
      <w:pgSz w:w="12240" w:h="15840"/>
      <w:pgMar w:top="720" w:right="1440" w:bottom="1008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12" w:rsidRDefault="00B76D12">
      <w:pPr>
        <w:spacing w:line="20" w:lineRule="exact"/>
      </w:pPr>
    </w:p>
  </w:endnote>
  <w:endnote w:type="continuationSeparator" w:id="0">
    <w:p w:rsidR="00B76D12" w:rsidRDefault="00B76D12">
      <w:r>
        <w:t xml:space="preserve"> </w:t>
      </w:r>
    </w:p>
  </w:endnote>
  <w:endnote w:type="continuationNotice" w:id="1">
    <w:p w:rsidR="00B76D12" w:rsidRDefault="00B76D1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12" w:rsidRDefault="00B76D12">
      <w:r>
        <w:separator/>
      </w:r>
    </w:p>
  </w:footnote>
  <w:footnote w:type="continuationSeparator" w:id="0">
    <w:p w:rsidR="00B76D12" w:rsidRDefault="00B7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EB3"/>
    <w:multiLevelType w:val="hybridMultilevel"/>
    <w:tmpl w:val="97A2A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6771E8"/>
    <w:multiLevelType w:val="multilevel"/>
    <w:tmpl w:val="36DC13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1"/>
    <w:rsid w:val="000A2BE7"/>
    <w:rsid w:val="001676AA"/>
    <w:rsid w:val="00271D8A"/>
    <w:rsid w:val="002F5885"/>
    <w:rsid w:val="00331E54"/>
    <w:rsid w:val="00354862"/>
    <w:rsid w:val="0042452C"/>
    <w:rsid w:val="00507006"/>
    <w:rsid w:val="00536EA8"/>
    <w:rsid w:val="005E2E03"/>
    <w:rsid w:val="00730031"/>
    <w:rsid w:val="00741348"/>
    <w:rsid w:val="007849C9"/>
    <w:rsid w:val="00837EAE"/>
    <w:rsid w:val="00940B89"/>
    <w:rsid w:val="009F3591"/>
    <w:rsid w:val="00A260B8"/>
    <w:rsid w:val="00A443F9"/>
    <w:rsid w:val="00A95B53"/>
    <w:rsid w:val="00B76D12"/>
    <w:rsid w:val="00C16211"/>
    <w:rsid w:val="00D07F8E"/>
    <w:rsid w:val="00DE2806"/>
    <w:rsid w:val="00FA1C8B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26DF-5F81-4B49-9C79-BD007649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Kaiser Permanente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Curent User</dc:creator>
  <cp:keywords/>
  <dc:description/>
  <cp:lastModifiedBy>Legaspi, Aida R.</cp:lastModifiedBy>
  <cp:revision>4</cp:revision>
  <cp:lastPrinted>2013-02-25T18:28:00Z</cp:lastPrinted>
  <dcterms:created xsi:type="dcterms:W3CDTF">2013-02-25T19:49:00Z</dcterms:created>
  <dcterms:modified xsi:type="dcterms:W3CDTF">2013-02-25T20:17:00Z</dcterms:modified>
</cp:coreProperties>
</file>