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74745A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AC2C08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ALL CLS</w:t>
            </w:r>
            <w:r w:rsidR="00864F20">
              <w:rPr>
                <w:spacing w:val="-3"/>
              </w:rPr>
              <w:t xml:space="preserve"> </w:t>
            </w:r>
            <w:r w:rsidR="00AC2C08">
              <w:rPr>
                <w:spacing w:val="-3"/>
              </w:rPr>
              <w:t>,</w:t>
            </w:r>
            <w:r w:rsidR="00331E54">
              <w:rPr>
                <w:spacing w:val="-3"/>
              </w:rPr>
              <w:t>ALL SHIFTS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7333C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12/16/2014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7333CA" w:rsidP="00016DE0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Thrombin time testing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864F20">
      <w:pPr>
        <w:suppressAutoHyphens/>
        <w:jc w:val="both"/>
        <w:rPr>
          <w:spacing w:val="-3"/>
        </w:rPr>
      </w:pPr>
    </w:p>
    <w:p w:rsidR="00864F20" w:rsidRDefault="00AC2C0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We will soon be </w:t>
      </w:r>
      <w:r w:rsidR="007333CA">
        <w:rPr>
          <w:spacing w:val="-3"/>
          <w:sz w:val="32"/>
          <w:szCs w:val="32"/>
        </w:rPr>
        <w:t xml:space="preserve">performing the Thrombin time testing on both Stago Evolution and Stago Compact. </w:t>
      </w:r>
    </w:p>
    <w:p w:rsidR="007333CA" w:rsidRDefault="007333CA">
      <w:pPr>
        <w:suppressAutoHyphens/>
        <w:jc w:val="both"/>
        <w:rPr>
          <w:spacing w:val="-3"/>
          <w:sz w:val="32"/>
          <w:szCs w:val="32"/>
        </w:rPr>
      </w:pPr>
    </w:p>
    <w:p w:rsidR="007333CA" w:rsidRP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 w:rsidRPr="007333CA">
        <w:rPr>
          <w:spacing w:val="-3"/>
          <w:sz w:val="32"/>
          <w:szCs w:val="32"/>
        </w:rPr>
        <w:t xml:space="preserve">No calibration of the system is necessary for performing Thrombin time. </w:t>
      </w:r>
      <w:r w:rsidR="0074745A">
        <w:rPr>
          <w:spacing w:val="-3"/>
          <w:sz w:val="32"/>
          <w:szCs w:val="32"/>
        </w:rPr>
        <w:t>However,</w:t>
      </w:r>
      <w:r w:rsidR="00F05901">
        <w:rPr>
          <w:spacing w:val="-3"/>
          <w:sz w:val="32"/>
          <w:szCs w:val="32"/>
        </w:rPr>
        <w:t xml:space="preserve"> a reference time may be needed.</w:t>
      </w:r>
    </w:p>
    <w:p w:rsid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 w:rsidRPr="007333CA">
        <w:rPr>
          <w:spacing w:val="-3"/>
          <w:sz w:val="32"/>
          <w:szCs w:val="32"/>
        </w:rPr>
        <w:t>Quality control used is the STA COAG N and ABN.</w:t>
      </w:r>
    </w:p>
    <w:p w:rsid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Reagent is Thrombin</w:t>
      </w:r>
      <w:r>
        <w:rPr>
          <w:spacing w:val="-3"/>
          <w:sz w:val="32"/>
          <w:szCs w:val="32"/>
        </w:rPr>
        <w:sym w:font="Wingdings 2" w:char="F06B"/>
      </w:r>
      <w:r w:rsidR="0074745A">
        <w:rPr>
          <w:spacing w:val="-3"/>
          <w:sz w:val="32"/>
          <w:szCs w:val="32"/>
        </w:rPr>
        <w:t xml:space="preserve"> ( 2 ml vial)</w:t>
      </w:r>
    </w:p>
    <w:p w:rsid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Specimen required: citrated blood (3.2% Sodium Citrate)</w:t>
      </w:r>
    </w:p>
    <w:p w:rsid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Centrifugation: 10 minutes at 2500rpm</w:t>
      </w:r>
    </w:p>
    <w:p w:rsidR="007333CA" w:rsidRDefault="007333C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Plasma storage: 8 hours at 20</w:t>
      </w:r>
      <w:r w:rsidR="00F05901">
        <w:rPr>
          <w:spacing w:val="-3"/>
          <w:sz w:val="32"/>
          <w:szCs w:val="32"/>
        </w:rPr>
        <w:t xml:space="preserve"> </w:t>
      </w:r>
      <w:r w:rsidR="00F05901">
        <w:rPr>
          <w:spacing w:val="-3"/>
          <w:sz w:val="32"/>
          <w:szCs w:val="32"/>
          <w:u w:val="single"/>
        </w:rPr>
        <w:t xml:space="preserve">+ </w:t>
      </w:r>
      <w:r w:rsidR="00F05901">
        <w:rPr>
          <w:spacing w:val="-3"/>
          <w:sz w:val="32"/>
          <w:szCs w:val="32"/>
        </w:rPr>
        <w:t>C</w:t>
      </w:r>
    </w:p>
    <w:p w:rsidR="00F05901" w:rsidRDefault="00F05901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Unacceptable samples: short draws, clotted or hemolyzed</w:t>
      </w:r>
    </w:p>
    <w:p w:rsidR="00F05901" w:rsidRDefault="00F05901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Collection Label Code: Thrombin</w:t>
      </w:r>
    </w:p>
    <w:p w:rsidR="00F05901" w:rsidRPr="007333CA" w:rsidRDefault="0074745A" w:rsidP="007333CA">
      <w:pPr>
        <w:pStyle w:val="ListParagraph"/>
        <w:numPr>
          <w:ilvl w:val="0"/>
          <w:numId w:val="3"/>
        </w:num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Instrument code: TT1 for Evolution and TT2 for Compact</w:t>
      </w:r>
    </w:p>
    <w:p w:rsidR="007333CA" w:rsidRDefault="007333CA">
      <w:pPr>
        <w:suppressAutoHyphens/>
        <w:jc w:val="both"/>
        <w:rPr>
          <w:spacing w:val="-3"/>
          <w:sz w:val="32"/>
          <w:szCs w:val="32"/>
        </w:rPr>
      </w:pPr>
    </w:p>
    <w:p w:rsidR="00AC2C08" w:rsidRDefault="00AC2C0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AC2C08" w:rsidRDefault="00AC2C0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Tentative start date will be </w:t>
      </w:r>
      <w:r w:rsidR="0074745A">
        <w:rPr>
          <w:spacing w:val="-3"/>
          <w:sz w:val="32"/>
          <w:szCs w:val="32"/>
        </w:rPr>
        <w:t>1/12/2015</w:t>
      </w:r>
      <w:r>
        <w:rPr>
          <w:spacing w:val="-3"/>
          <w:sz w:val="32"/>
          <w:szCs w:val="32"/>
        </w:rPr>
        <w:t>.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AC2C08" w:rsidRDefault="00D2227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Please refer to our procedure manual for some changes.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lastRenderedPageBreak/>
        <w:t>LCOM 219 STA-R Evolution Quality Control Version 3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 w:rsidP="00D22278">
      <w:pPr>
        <w:rPr>
          <w:b/>
        </w:rPr>
      </w:pPr>
      <w:r>
        <w:rPr>
          <w:b/>
        </w:rPr>
        <w:t>Materials</w:t>
      </w:r>
      <w:r>
        <w:rPr>
          <w:b/>
        </w:rPr>
        <w:tab/>
      </w:r>
      <w:r w:rsidRPr="00D22278">
        <w:rPr>
          <w:b/>
          <w:highlight w:val="yellow"/>
        </w:rPr>
        <w:t>Stago Normal QC for Protime, PTT, FIBRINOGEN and Thrombin time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Stago Abnormal QC for Protime, PTT, FIBRINOGEN and Thrombin time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Stago Liatest Control N &amp;P for D Dimer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Stago Quality HNF/UFH 1 &amp; 2 for Unfractionated Heparin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Stago Quality HBPM/LMWH 1&amp;2 for LMWH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>LCOM 221 STA-R Evolution Sample Processing Version 3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 w:rsidP="00D22278">
      <w:pPr>
        <w:rPr>
          <w:b/>
        </w:rPr>
      </w:pPr>
      <w:r>
        <w:rPr>
          <w:b/>
        </w:rPr>
        <w:t>Materials</w:t>
      </w:r>
      <w:r>
        <w:rPr>
          <w:b/>
        </w:rPr>
        <w:tab/>
        <w:t>STAGO NEOPLASTIN C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STAGO PTT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 Fibrinogen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 Liatest D-DI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STA CaCl2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STA Liquid Anti-Xa</w:t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D22278">
        <w:rPr>
          <w:b/>
          <w:highlight w:val="yellow"/>
        </w:rPr>
        <w:t xml:space="preserve">STA Thrombin </w:t>
      </w:r>
      <w:r w:rsidRPr="00D22278">
        <w:rPr>
          <w:b/>
          <w:highlight w:val="yellow"/>
        </w:rPr>
        <w:sym w:font="Wingdings 2" w:char="F06B"/>
      </w:r>
    </w:p>
    <w:p w:rsidR="00D22278" w:rsidRDefault="00D22278" w:rsidP="00D22278">
      <w:pPr>
        <w:rPr>
          <w:b/>
        </w:rPr>
      </w:pPr>
      <w:r>
        <w:rPr>
          <w:b/>
        </w:rPr>
        <w:tab/>
      </w:r>
      <w:r>
        <w:rPr>
          <w:b/>
        </w:rPr>
        <w:tab/>
        <w:t>Deionized water</w:t>
      </w: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LCOM 415 STA-R </w:t>
      </w:r>
      <w:proofErr w:type="gramStart"/>
      <w:r>
        <w:rPr>
          <w:spacing w:val="-3"/>
          <w:sz w:val="32"/>
          <w:szCs w:val="32"/>
        </w:rPr>
        <w:t>Evolution</w:t>
      </w:r>
      <w:proofErr w:type="gramEnd"/>
      <w:r>
        <w:rPr>
          <w:spacing w:val="-3"/>
          <w:sz w:val="32"/>
          <w:szCs w:val="32"/>
        </w:rPr>
        <w:t xml:space="preserve"> Loading/Unloading Products and Consumables</w:t>
      </w:r>
      <w:r w:rsidR="00216C5A">
        <w:rPr>
          <w:spacing w:val="-3"/>
          <w:sz w:val="32"/>
          <w:szCs w:val="32"/>
        </w:rPr>
        <w:t xml:space="preserve"> Version 3</w:t>
      </w:r>
    </w:p>
    <w:p w:rsidR="00D22278" w:rsidRDefault="00D22278" w:rsidP="00D22278">
      <w:r>
        <w:rPr>
          <w:b/>
        </w:rPr>
        <w:t>Reagents</w:t>
      </w:r>
      <w:r>
        <w:rPr>
          <w:b/>
        </w:rPr>
        <w:tab/>
      </w:r>
      <w:r>
        <w:t>STA NEOPLASTIN C+</w:t>
      </w:r>
    </w:p>
    <w:p w:rsidR="00D22278" w:rsidRDefault="00D22278" w:rsidP="00D22278">
      <w:r>
        <w:rPr>
          <w:b/>
        </w:rPr>
        <w:t>And</w:t>
      </w:r>
      <w:r>
        <w:tab/>
      </w:r>
      <w:r>
        <w:tab/>
        <w:t>STA PTT</w:t>
      </w:r>
    </w:p>
    <w:p w:rsidR="00D22278" w:rsidRDefault="00D22278" w:rsidP="00D22278">
      <w:pPr>
        <w:rPr>
          <w:b/>
        </w:rPr>
      </w:pPr>
      <w:r>
        <w:tab/>
      </w:r>
      <w:r>
        <w:tab/>
        <w:t>STA Calcium chloride</w:t>
      </w:r>
    </w:p>
    <w:p w:rsidR="00D22278" w:rsidRPr="00750381" w:rsidRDefault="00D22278" w:rsidP="00D22278">
      <w:pPr>
        <w:rPr>
          <w:b/>
        </w:rPr>
      </w:pPr>
      <w:r>
        <w:rPr>
          <w:b/>
        </w:rPr>
        <w:t>Materials</w:t>
      </w:r>
      <w:r>
        <w:rPr>
          <w:b/>
        </w:rPr>
        <w:tab/>
      </w:r>
      <w:r>
        <w:t>STA Fibrinogen</w:t>
      </w:r>
    </w:p>
    <w:p w:rsidR="00D22278" w:rsidRDefault="00D22278" w:rsidP="00D22278">
      <w:r>
        <w:tab/>
      </w:r>
      <w:r>
        <w:tab/>
        <w:t>STA Liatest D-DI</w:t>
      </w:r>
    </w:p>
    <w:p w:rsidR="00D22278" w:rsidRDefault="00D22278" w:rsidP="00D22278">
      <w:r>
        <w:tab/>
      </w:r>
      <w:r>
        <w:tab/>
      </w:r>
      <w:r w:rsidRPr="00216C5A">
        <w:rPr>
          <w:highlight w:val="yellow"/>
        </w:rPr>
        <w:t xml:space="preserve">STA Thrombin </w:t>
      </w:r>
      <w:r w:rsidRPr="00216C5A">
        <w:rPr>
          <w:highlight w:val="yellow"/>
        </w:rPr>
        <w:sym w:font="Wingdings 2" w:char="F06B"/>
      </w:r>
    </w:p>
    <w:p w:rsidR="00D22278" w:rsidRDefault="00D22278" w:rsidP="00D22278">
      <w:r>
        <w:tab/>
      </w:r>
      <w:r>
        <w:tab/>
        <w:t>STA Cleaner</w:t>
      </w:r>
      <w:r>
        <w:tab/>
        <w:t>solution</w:t>
      </w:r>
    </w:p>
    <w:p w:rsidR="00D22278" w:rsidRDefault="00D22278" w:rsidP="00D22278">
      <w:r>
        <w:tab/>
      </w:r>
      <w:r>
        <w:tab/>
        <w:t>STA Desorb U</w:t>
      </w:r>
    </w:p>
    <w:p w:rsidR="00D22278" w:rsidRDefault="00D22278" w:rsidP="00D22278">
      <w:r>
        <w:tab/>
      </w:r>
      <w:r>
        <w:tab/>
      </w:r>
      <w:proofErr w:type="spellStart"/>
      <w:r>
        <w:t>Sta</w:t>
      </w:r>
      <w:proofErr w:type="spellEnd"/>
      <w:r>
        <w:t xml:space="preserve"> Cuvettes</w:t>
      </w:r>
    </w:p>
    <w:p w:rsidR="00D22278" w:rsidRDefault="00D22278" w:rsidP="00D22278">
      <w:r>
        <w:tab/>
      </w:r>
      <w:r>
        <w:tab/>
      </w:r>
      <w:proofErr w:type="spellStart"/>
      <w:r>
        <w:t>Microcups</w:t>
      </w:r>
      <w:proofErr w:type="spellEnd"/>
    </w:p>
    <w:p w:rsidR="00D22278" w:rsidRDefault="00D22278" w:rsidP="00D22278">
      <w:r>
        <w:tab/>
      </w:r>
      <w:r>
        <w:tab/>
        <w:t>STA Maxi-reducers</w:t>
      </w:r>
    </w:p>
    <w:p w:rsidR="00D22278" w:rsidRDefault="00D22278" w:rsidP="00D22278">
      <w:r>
        <w:tab/>
      </w:r>
      <w:r>
        <w:tab/>
        <w:t>Reducers</w:t>
      </w:r>
    </w:p>
    <w:p w:rsidR="00D22278" w:rsidRDefault="00D22278" w:rsidP="00D22278">
      <w:r>
        <w:tab/>
      </w:r>
      <w:r>
        <w:tab/>
      </w:r>
      <w:proofErr w:type="spellStart"/>
      <w:r>
        <w:t>Owren</w:t>
      </w:r>
      <w:proofErr w:type="spellEnd"/>
      <w:r>
        <w:t xml:space="preserve"> </w:t>
      </w:r>
      <w:proofErr w:type="spellStart"/>
      <w:r>
        <w:t>Koller</w:t>
      </w:r>
      <w:proofErr w:type="spellEnd"/>
      <w:r>
        <w:t xml:space="preserve"> Buffer</w:t>
      </w:r>
    </w:p>
    <w:p w:rsidR="00D22278" w:rsidRDefault="00D22278" w:rsidP="00D22278">
      <w:r>
        <w:tab/>
      </w:r>
      <w:r>
        <w:tab/>
        <w:t>STA Liquid Anti-</w:t>
      </w:r>
      <w:proofErr w:type="spellStart"/>
      <w:r>
        <w:t>Xa</w:t>
      </w:r>
      <w:proofErr w:type="spellEnd"/>
    </w:p>
    <w:p w:rsidR="00D22278" w:rsidRDefault="00D22278" w:rsidP="00D22278">
      <w:r>
        <w:tab/>
      </w:r>
      <w:r>
        <w:tab/>
      </w:r>
      <w:proofErr w:type="spellStart"/>
      <w:r>
        <w:t>Microtainers</w:t>
      </w:r>
      <w:proofErr w:type="spellEnd"/>
    </w:p>
    <w:p w:rsidR="00D22278" w:rsidRDefault="00D22278">
      <w:pPr>
        <w:suppressAutoHyphens/>
        <w:jc w:val="both"/>
        <w:rPr>
          <w:spacing w:val="-3"/>
          <w:sz w:val="32"/>
          <w:szCs w:val="32"/>
        </w:rPr>
      </w:pPr>
    </w:p>
    <w:p w:rsidR="00216C5A" w:rsidRDefault="00216C5A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LCOM 218 </w:t>
      </w:r>
      <w:proofErr w:type="spellStart"/>
      <w:r>
        <w:rPr>
          <w:spacing w:val="-3"/>
          <w:sz w:val="32"/>
          <w:szCs w:val="32"/>
        </w:rPr>
        <w:t>Diagnostica</w:t>
      </w:r>
      <w:proofErr w:type="spellEnd"/>
      <w:r>
        <w:rPr>
          <w:spacing w:val="-3"/>
          <w:sz w:val="32"/>
          <w:szCs w:val="32"/>
        </w:rPr>
        <w:t xml:space="preserve"> Stago STA Compact Sample Processing Version 2</w:t>
      </w:r>
    </w:p>
    <w:p w:rsidR="00216C5A" w:rsidRPr="00BF7802" w:rsidRDefault="00216C5A" w:rsidP="00216C5A">
      <w:r w:rsidRPr="0013745E">
        <w:rPr>
          <w:b/>
        </w:rPr>
        <w:t xml:space="preserve">Reagent </w:t>
      </w:r>
      <w:r>
        <w:rPr>
          <w:b/>
        </w:rPr>
        <w:tab/>
      </w:r>
      <w:r>
        <w:rPr>
          <w:b/>
        </w:rPr>
        <w:tab/>
      </w:r>
      <w:r w:rsidRPr="00BF7802">
        <w:t>Cuvettes</w:t>
      </w:r>
    </w:p>
    <w:p w:rsidR="00216C5A" w:rsidRPr="00BF7802" w:rsidRDefault="00216C5A" w:rsidP="00216C5A">
      <w:r w:rsidRPr="0013745E">
        <w:rPr>
          <w:b/>
        </w:rPr>
        <w:t xml:space="preserve">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7802">
        <w:t>Quality Controls</w:t>
      </w:r>
    </w:p>
    <w:p w:rsidR="00216C5A" w:rsidRDefault="00216C5A" w:rsidP="00216C5A">
      <w:r w:rsidRPr="0013745E">
        <w:rPr>
          <w:b/>
        </w:rPr>
        <w:t>Materials</w:t>
      </w:r>
      <w:r>
        <w:rPr>
          <w:b/>
        </w:rPr>
        <w:tab/>
      </w:r>
      <w:r>
        <w:rPr>
          <w:b/>
        </w:rPr>
        <w:tab/>
      </w:r>
      <w:r w:rsidRPr="00BF7802">
        <w:t>STA Compact Reagents (PT, PTT, Fibrinogen</w:t>
      </w:r>
      <w:r>
        <w:t>, D-Dimer, Anti-</w:t>
      </w:r>
      <w:proofErr w:type="spellStart"/>
      <w:r>
        <w:t>Xa</w:t>
      </w:r>
      <w:proofErr w:type="spellEnd"/>
      <w:r>
        <w:t xml:space="preserve"> and </w:t>
      </w:r>
    </w:p>
    <w:p w:rsidR="00216C5A" w:rsidRPr="00E30E58" w:rsidRDefault="00216C5A" w:rsidP="00216C5A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 w:rsidRPr="00216C5A">
        <w:rPr>
          <w:szCs w:val="24"/>
          <w:highlight w:val="yellow"/>
        </w:rPr>
        <w:t xml:space="preserve">Thrombin </w:t>
      </w:r>
      <w:proofErr w:type="gramEnd"/>
      <w:r w:rsidRPr="00216C5A">
        <w:rPr>
          <w:szCs w:val="24"/>
          <w:highlight w:val="yellow"/>
        </w:rPr>
        <w:sym w:font="Wingdings 2" w:char="F06B"/>
      </w:r>
      <w:r w:rsidRPr="00216C5A">
        <w:rPr>
          <w:szCs w:val="24"/>
          <w:highlight w:val="yellow"/>
        </w:rPr>
        <w:t>)</w:t>
      </w:r>
    </w:p>
    <w:p w:rsidR="00216C5A" w:rsidRDefault="00216C5A">
      <w:pPr>
        <w:suppressAutoHyphens/>
        <w:jc w:val="both"/>
        <w:rPr>
          <w:spacing w:val="-3"/>
          <w:sz w:val="32"/>
          <w:szCs w:val="32"/>
        </w:rPr>
      </w:pPr>
    </w:p>
    <w:p w:rsidR="00216C5A" w:rsidRDefault="00216C5A">
      <w:pPr>
        <w:suppressAutoHyphens/>
        <w:jc w:val="both"/>
        <w:rPr>
          <w:spacing w:val="-3"/>
          <w:sz w:val="32"/>
          <w:szCs w:val="32"/>
        </w:rPr>
      </w:pPr>
    </w:p>
    <w:p w:rsidR="00216C5A" w:rsidRDefault="00216C5A">
      <w:pPr>
        <w:suppressAutoHyphens/>
        <w:jc w:val="both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lastRenderedPageBreak/>
        <w:t xml:space="preserve">LCOM 217 </w:t>
      </w:r>
      <w:proofErr w:type="spellStart"/>
      <w:r>
        <w:rPr>
          <w:spacing w:val="-3"/>
          <w:sz w:val="32"/>
          <w:szCs w:val="32"/>
        </w:rPr>
        <w:t>Diagnostica</w:t>
      </w:r>
      <w:proofErr w:type="spellEnd"/>
      <w:r>
        <w:rPr>
          <w:spacing w:val="-3"/>
          <w:sz w:val="32"/>
          <w:szCs w:val="32"/>
        </w:rPr>
        <w:t xml:space="preserve"> Stago </w:t>
      </w:r>
      <w:r w:rsidR="006E69E1">
        <w:rPr>
          <w:spacing w:val="-3"/>
          <w:sz w:val="32"/>
          <w:szCs w:val="32"/>
        </w:rPr>
        <w:t xml:space="preserve">STA Compact </w:t>
      </w:r>
      <w:proofErr w:type="gramStart"/>
      <w:r w:rsidR="00B3550F">
        <w:rPr>
          <w:spacing w:val="-3"/>
          <w:sz w:val="32"/>
          <w:szCs w:val="32"/>
        </w:rPr>
        <w:t>Reagent</w:t>
      </w:r>
      <w:proofErr w:type="gramEnd"/>
      <w:r w:rsidR="00B3550F">
        <w:rPr>
          <w:spacing w:val="-3"/>
          <w:sz w:val="32"/>
          <w:szCs w:val="32"/>
        </w:rPr>
        <w:t xml:space="preserve"> and Material Management</w:t>
      </w:r>
      <w:r w:rsidR="006E69E1">
        <w:rPr>
          <w:spacing w:val="-3"/>
          <w:sz w:val="32"/>
          <w:szCs w:val="32"/>
        </w:rPr>
        <w:t xml:space="preserve"> Version 3</w:t>
      </w:r>
    </w:p>
    <w:p w:rsidR="00B3550F" w:rsidRPr="002B76F5" w:rsidRDefault="00B3550F" w:rsidP="00B3550F">
      <w:pPr>
        <w:rPr>
          <w:b/>
        </w:rPr>
      </w:pPr>
      <w:r w:rsidRPr="002B76F5">
        <w:rPr>
          <w:b/>
        </w:rPr>
        <w:t>Reagent</w:t>
      </w:r>
      <w:r>
        <w:rPr>
          <w:b/>
        </w:rPr>
        <w:tab/>
      </w:r>
      <w:r>
        <w:rPr>
          <w:b/>
        </w:rPr>
        <w:tab/>
      </w:r>
      <w:proofErr w:type="spellStart"/>
      <w:r w:rsidRPr="002B76F5">
        <w:t>Owren</w:t>
      </w:r>
      <w:proofErr w:type="spellEnd"/>
      <w:r w:rsidRPr="002B76F5">
        <w:t xml:space="preserve"> </w:t>
      </w:r>
      <w:proofErr w:type="spellStart"/>
      <w:r w:rsidRPr="002B76F5">
        <w:t>Koller</w:t>
      </w:r>
      <w:proofErr w:type="spellEnd"/>
      <w:r w:rsidRPr="002B76F5">
        <w:t xml:space="preserve"> Buffer</w:t>
      </w:r>
      <w:r w:rsidRPr="002B76F5">
        <w:tab/>
      </w:r>
      <w:r w:rsidRPr="002B76F5">
        <w:tab/>
        <w:t>Protime Reagent         Quality Controls</w:t>
      </w:r>
    </w:p>
    <w:p w:rsidR="00B3550F" w:rsidRPr="002B76F5" w:rsidRDefault="00B3550F" w:rsidP="00B3550F">
      <w:pPr>
        <w:rPr>
          <w:b/>
        </w:rPr>
      </w:pPr>
      <w:r w:rsidRPr="002B76F5">
        <w:rPr>
          <w:b/>
        </w:rPr>
        <w:t xml:space="preserve">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76F5">
        <w:t>Desorb</w:t>
      </w:r>
      <w:r w:rsidRPr="002B76F5">
        <w:tab/>
      </w:r>
      <w:r w:rsidRPr="002B76F5">
        <w:tab/>
      </w:r>
      <w:r w:rsidRPr="002B76F5">
        <w:tab/>
      </w:r>
      <w:r>
        <w:tab/>
      </w:r>
      <w:r w:rsidRPr="002B76F5">
        <w:t>APTT Reagent</w:t>
      </w:r>
      <w:r>
        <w:tab/>
        <w:t>Calibrators</w:t>
      </w:r>
    </w:p>
    <w:p w:rsidR="00B3550F" w:rsidRDefault="00B3550F" w:rsidP="00B3550F">
      <w:r w:rsidRPr="002B76F5">
        <w:rPr>
          <w:b/>
        </w:rPr>
        <w:t>Materials</w:t>
      </w:r>
      <w:r>
        <w:rPr>
          <w:b/>
        </w:rPr>
        <w:tab/>
      </w:r>
      <w:r>
        <w:rPr>
          <w:b/>
        </w:rPr>
        <w:tab/>
      </w:r>
      <w:r w:rsidRPr="002B76F5">
        <w:t>Cuvettes</w:t>
      </w:r>
      <w:r w:rsidRPr="002B76F5">
        <w:tab/>
      </w:r>
      <w:r w:rsidRPr="002B76F5">
        <w:tab/>
      </w:r>
      <w:r w:rsidRPr="002B76F5">
        <w:tab/>
        <w:t>Fibrinogen Reagent</w:t>
      </w:r>
      <w:r>
        <w:tab/>
        <w:t>Anti-</w:t>
      </w:r>
      <w:proofErr w:type="spellStart"/>
      <w:r>
        <w:t>Xa</w:t>
      </w:r>
      <w:proofErr w:type="spellEnd"/>
      <w:r>
        <w:t xml:space="preserve"> Reagent</w:t>
      </w:r>
    </w:p>
    <w:p w:rsidR="00B3550F" w:rsidRDefault="00B3550F" w:rsidP="00B3550F">
      <w:r>
        <w:tab/>
      </w:r>
      <w:r>
        <w:tab/>
      </w:r>
      <w:r>
        <w:tab/>
      </w:r>
      <w:r w:rsidRPr="00B3550F">
        <w:rPr>
          <w:highlight w:val="yellow"/>
        </w:rPr>
        <w:t>Thrombin</w:t>
      </w:r>
      <w:r w:rsidRPr="00B3550F">
        <w:rPr>
          <w:highlight w:val="yellow"/>
        </w:rPr>
        <w:sym w:font="Wingdings 2" w:char="F06B"/>
      </w:r>
      <w:r w:rsidRPr="00B3550F">
        <w:rPr>
          <w:highlight w:val="yellow"/>
        </w:rPr>
        <w:t xml:space="preserve"> Reagent</w:t>
      </w:r>
      <w:bookmarkStart w:id="0" w:name="_GoBack"/>
      <w:bookmarkEnd w:id="0"/>
    </w:p>
    <w:p w:rsidR="006E69E1" w:rsidRDefault="006E69E1">
      <w:pPr>
        <w:suppressAutoHyphens/>
        <w:jc w:val="both"/>
        <w:rPr>
          <w:spacing w:val="-3"/>
          <w:sz w:val="32"/>
          <w:szCs w:val="32"/>
        </w:rPr>
      </w:pPr>
    </w:p>
    <w:sectPr w:rsidR="006E69E1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22" w:rsidRDefault="00735022">
      <w:pPr>
        <w:spacing w:line="20" w:lineRule="exact"/>
      </w:pPr>
    </w:p>
  </w:endnote>
  <w:endnote w:type="continuationSeparator" w:id="0">
    <w:p w:rsidR="00735022" w:rsidRDefault="00735022">
      <w:r>
        <w:t xml:space="preserve"> </w:t>
      </w:r>
    </w:p>
  </w:endnote>
  <w:endnote w:type="continuationNotice" w:id="1">
    <w:p w:rsidR="00735022" w:rsidRDefault="007350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22" w:rsidRDefault="00735022">
      <w:r>
        <w:separator/>
      </w:r>
    </w:p>
  </w:footnote>
  <w:footnote w:type="continuationSeparator" w:id="0">
    <w:p w:rsidR="00735022" w:rsidRDefault="0073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C1373"/>
    <w:multiLevelType w:val="hybridMultilevel"/>
    <w:tmpl w:val="13C61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16DE0"/>
    <w:rsid w:val="0004247B"/>
    <w:rsid w:val="000A2BE7"/>
    <w:rsid w:val="001676AA"/>
    <w:rsid w:val="00216C5A"/>
    <w:rsid w:val="00271D8A"/>
    <w:rsid w:val="002D26E3"/>
    <w:rsid w:val="002F5885"/>
    <w:rsid w:val="00310D43"/>
    <w:rsid w:val="00331E54"/>
    <w:rsid w:val="00354862"/>
    <w:rsid w:val="0042452C"/>
    <w:rsid w:val="00507006"/>
    <w:rsid w:val="00536EA8"/>
    <w:rsid w:val="005441F1"/>
    <w:rsid w:val="005E2E03"/>
    <w:rsid w:val="006E69E1"/>
    <w:rsid w:val="00730031"/>
    <w:rsid w:val="007333CA"/>
    <w:rsid w:val="00735022"/>
    <w:rsid w:val="00741348"/>
    <w:rsid w:val="0074745A"/>
    <w:rsid w:val="007849C9"/>
    <w:rsid w:val="007F1C05"/>
    <w:rsid w:val="00837EAE"/>
    <w:rsid w:val="00864F20"/>
    <w:rsid w:val="008755A1"/>
    <w:rsid w:val="00940B89"/>
    <w:rsid w:val="009F3591"/>
    <w:rsid w:val="00A260B8"/>
    <w:rsid w:val="00A443F9"/>
    <w:rsid w:val="00A95B53"/>
    <w:rsid w:val="00AC2C08"/>
    <w:rsid w:val="00B3550F"/>
    <w:rsid w:val="00B57BAE"/>
    <w:rsid w:val="00B76D12"/>
    <w:rsid w:val="00C16211"/>
    <w:rsid w:val="00C83729"/>
    <w:rsid w:val="00D07F8E"/>
    <w:rsid w:val="00D22278"/>
    <w:rsid w:val="00DE2806"/>
    <w:rsid w:val="00E21D64"/>
    <w:rsid w:val="00EC328F"/>
    <w:rsid w:val="00F05901"/>
    <w:rsid w:val="00F818AD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D22278"/>
    <w:pPr>
      <w:spacing w:after="240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22278"/>
    <w:rPr>
      <w:rFonts w:ascii="Arial" w:hAnsi="Arial"/>
      <w:b/>
      <w:sz w:val="32"/>
    </w:rPr>
  </w:style>
  <w:style w:type="paragraph" w:customStyle="1" w:styleId="BlockLine">
    <w:name w:val="Block Line"/>
    <w:basedOn w:val="Normal"/>
    <w:next w:val="Normal"/>
    <w:rsid w:val="00D22278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D22278"/>
    <w:pPr>
      <w:spacing w:after="240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3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22278"/>
    <w:rPr>
      <w:rFonts w:ascii="Arial" w:hAnsi="Arial"/>
      <w:b/>
      <w:sz w:val="32"/>
    </w:rPr>
  </w:style>
  <w:style w:type="paragraph" w:customStyle="1" w:styleId="BlockLine">
    <w:name w:val="Block Line"/>
    <w:basedOn w:val="Normal"/>
    <w:next w:val="Normal"/>
    <w:rsid w:val="00D22278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BBFB-87C4-4D3B-98B2-A294F5D0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Curent User</dc:creator>
  <cp:lastModifiedBy>Legaspi, Aida R.</cp:lastModifiedBy>
  <cp:revision>4</cp:revision>
  <cp:lastPrinted>2014-12-16T17:32:00Z</cp:lastPrinted>
  <dcterms:created xsi:type="dcterms:W3CDTF">2014-12-16T17:07:00Z</dcterms:created>
  <dcterms:modified xsi:type="dcterms:W3CDTF">2015-01-07T23:25:00Z</dcterms:modified>
</cp:coreProperties>
</file>