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4E" w:rsidRDefault="00D0664E">
      <w:pPr>
        <w:pStyle w:val="BlockLine"/>
        <w:rPr>
          <w:rFonts w:ascii="Arial" w:hAnsi="Arial"/>
          <w:szCs w:val="24"/>
        </w:rPr>
      </w:pPr>
    </w:p>
    <w:tbl>
      <w:tblPr>
        <w:tblW w:w="0" w:type="auto"/>
        <w:tblLayout w:type="fixed"/>
        <w:tblLook w:val="0000" w:firstRow="0" w:lastRow="0" w:firstColumn="0" w:lastColumn="0" w:noHBand="0" w:noVBand="0"/>
      </w:tblPr>
      <w:tblGrid>
        <w:gridCol w:w="1728"/>
        <w:gridCol w:w="8010"/>
      </w:tblGrid>
      <w:tr w:rsidR="00D0664E" w:rsidTr="00D32C36">
        <w:trPr>
          <w:cantSplit/>
          <w:trHeight w:val="2672"/>
        </w:trPr>
        <w:tc>
          <w:tcPr>
            <w:tcW w:w="1728" w:type="dxa"/>
          </w:tcPr>
          <w:p w:rsidR="002968EE" w:rsidRDefault="002968EE" w:rsidP="006A107B">
            <w:pPr>
              <w:pStyle w:val="Heading5"/>
            </w:pPr>
            <w:r>
              <w:t>Purpose</w:t>
            </w:r>
          </w:p>
          <w:p w:rsidR="002968EE" w:rsidRDefault="002968EE" w:rsidP="006A107B">
            <w:pPr>
              <w:pStyle w:val="Heading5"/>
            </w:pPr>
          </w:p>
          <w:p w:rsidR="002968EE" w:rsidRDefault="002968EE" w:rsidP="006A107B">
            <w:pPr>
              <w:pStyle w:val="Heading5"/>
            </w:pPr>
          </w:p>
          <w:p w:rsidR="006A107B" w:rsidRDefault="002968EE" w:rsidP="006A107B">
            <w:pPr>
              <w:pStyle w:val="Heading5"/>
            </w:pPr>
            <w:r>
              <w:t>Principle</w:t>
            </w:r>
          </w:p>
          <w:p w:rsidR="00EB027B" w:rsidRDefault="00EB027B">
            <w:pPr>
              <w:pStyle w:val="Heading5"/>
            </w:pPr>
          </w:p>
          <w:p w:rsidR="00D0664E" w:rsidRPr="00EC7C99" w:rsidRDefault="00D0664E">
            <w:pPr>
              <w:pStyle w:val="Heading5"/>
              <w:rPr>
                <w:szCs w:val="22"/>
              </w:rPr>
            </w:pPr>
          </w:p>
        </w:tc>
        <w:tc>
          <w:tcPr>
            <w:tcW w:w="8010" w:type="dxa"/>
          </w:tcPr>
          <w:p w:rsidR="00D0664E" w:rsidRDefault="006A107B" w:rsidP="006A107B">
            <w:r>
              <w:t>This procedure provides instructions for</w:t>
            </w:r>
            <w:r w:rsidRPr="005C5D2A">
              <w:rPr>
                <w:i/>
              </w:rPr>
              <w:t xml:space="preserve"> </w:t>
            </w:r>
            <w:r w:rsidR="00BF7E09">
              <w:t>performing the D-Dimer</w:t>
            </w:r>
            <w:r w:rsidR="002968EE">
              <w:t xml:space="preserve"> assay.</w:t>
            </w:r>
          </w:p>
          <w:p w:rsidR="002968EE" w:rsidRDefault="002968EE" w:rsidP="006A107B"/>
          <w:p w:rsidR="002968EE" w:rsidRDefault="002968EE" w:rsidP="006A107B"/>
          <w:p w:rsidR="00BF7E09" w:rsidRDefault="00BF7E09" w:rsidP="00BF7E09">
            <w:pPr>
              <w:ind w:left="1440" w:hanging="1440"/>
            </w:pPr>
            <w:r w:rsidRPr="00BF7E09">
              <w:t xml:space="preserve">The specific degradation of fibrin (i.e., fibrinolysis) is the reactive mechanism </w:t>
            </w:r>
          </w:p>
          <w:p w:rsidR="00BF7E09" w:rsidRDefault="00BF7E09" w:rsidP="00BF7E09">
            <w:pPr>
              <w:ind w:left="1440" w:hanging="1440"/>
            </w:pPr>
            <w:r w:rsidRPr="00BF7E09">
              <w:t xml:space="preserve">responding to the formation of fibrin.  Plasmin is the fibrinolytic enzyme derived </w:t>
            </w:r>
          </w:p>
          <w:p w:rsidR="00BF7E09" w:rsidRDefault="00BF7E09" w:rsidP="00BF7E09">
            <w:pPr>
              <w:ind w:left="1440" w:hanging="1440"/>
            </w:pPr>
            <w:r w:rsidRPr="00BF7E09">
              <w:t xml:space="preserve">from inactive plasminogen.  Plasminogen is converted into plasmin by </w:t>
            </w:r>
          </w:p>
          <w:p w:rsidR="00BF7E09" w:rsidRDefault="00BF7E09" w:rsidP="00BF7E09">
            <w:pPr>
              <w:ind w:left="1440" w:hanging="1440"/>
            </w:pPr>
            <w:r w:rsidRPr="00BF7E09">
              <w:t xml:space="preserve">plasminogen activators.  The main plasminogen activators are tissue </w:t>
            </w:r>
          </w:p>
          <w:p w:rsidR="00BF7E09" w:rsidRDefault="00BF7E09" w:rsidP="00BF7E09">
            <w:pPr>
              <w:ind w:left="1440" w:hanging="1440"/>
            </w:pPr>
            <w:r w:rsidRPr="00BF7E09">
              <w:t xml:space="preserve">plasminogen activator (tPA) and pro-urokinase which is activated into urokinase </w:t>
            </w:r>
          </w:p>
          <w:p w:rsidR="00BF7E09" w:rsidRDefault="00BF7E09" w:rsidP="00BF7E09">
            <w:pPr>
              <w:ind w:left="1440" w:hanging="1440"/>
            </w:pPr>
            <w:r w:rsidRPr="00BF7E09">
              <w:t xml:space="preserve">(UK) by, among others, the contact system of coagulation. In the bloodstream, </w:t>
            </w:r>
          </w:p>
          <w:p w:rsidR="00BF7E09" w:rsidRDefault="00BF7E09" w:rsidP="00BF7E09">
            <w:pPr>
              <w:ind w:left="1440" w:hanging="1440"/>
            </w:pPr>
            <w:r w:rsidRPr="00BF7E09">
              <w:t xml:space="preserve">plasmin is rapidly and specifically neutralized by alpha 2 – antiplasmin, thereby </w:t>
            </w:r>
          </w:p>
          <w:p w:rsidR="00BF7E09" w:rsidRDefault="00BF7E09" w:rsidP="00BF7E09">
            <w:pPr>
              <w:ind w:left="1440" w:hanging="1440"/>
            </w:pPr>
            <w:r w:rsidRPr="00BF7E09">
              <w:t xml:space="preserve">restricting its fibrinogenolytic activity and localizes the fibrinolysis on the fibrin </w:t>
            </w:r>
          </w:p>
          <w:p w:rsidR="00BF7E09" w:rsidRDefault="00BF7E09" w:rsidP="00BF7E09">
            <w:pPr>
              <w:ind w:left="1440" w:hanging="1440"/>
            </w:pPr>
            <w:r w:rsidRPr="00BF7E09">
              <w:t>clot. On the fibrin clot plasmin degrades fibrin into various products, (i.e., D-</w:t>
            </w:r>
          </w:p>
          <w:p w:rsidR="00BF7E09" w:rsidRDefault="00BF7E09" w:rsidP="00BF7E09">
            <w:pPr>
              <w:ind w:left="1440" w:hanging="1440"/>
            </w:pPr>
            <w:r w:rsidRPr="00BF7E09">
              <w:t xml:space="preserve">Dimers).  Antibodies specific for these products, which do not recognize </w:t>
            </w:r>
          </w:p>
          <w:p w:rsidR="00BF7E09" w:rsidRDefault="00BF7E09" w:rsidP="00BF7E09">
            <w:pPr>
              <w:ind w:left="1440" w:hanging="1440"/>
            </w:pPr>
            <w:r w:rsidRPr="00BF7E09">
              <w:t xml:space="preserve">fibrinogen, have been developed.  The presence of these various fibrin </w:t>
            </w:r>
          </w:p>
          <w:p w:rsidR="00BF7E09" w:rsidRDefault="00BF7E09" w:rsidP="00BF7E09">
            <w:pPr>
              <w:ind w:left="1440" w:hanging="1440"/>
            </w:pPr>
            <w:r w:rsidRPr="00BF7E09">
              <w:t xml:space="preserve">degradation products, among which D-Dimer is the terminal product, is the </w:t>
            </w:r>
          </w:p>
          <w:p w:rsidR="00BF7E09" w:rsidRDefault="00BF7E09" w:rsidP="00BF7E09">
            <w:pPr>
              <w:ind w:left="1440" w:hanging="1440"/>
            </w:pPr>
            <w:r w:rsidRPr="00BF7E09">
              <w:t xml:space="preserve">proof that the fibrinolytic system is in action in response to coagulation </w:t>
            </w:r>
          </w:p>
          <w:p w:rsidR="00BF7E09" w:rsidRDefault="00BF7E09" w:rsidP="00BF7E09">
            <w:pPr>
              <w:ind w:left="1440" w:hanging="1440"/>
            </w:pPr>
            <w:r w:rsidRPr="00BF7E09">
              <w:t>activation.</w:t>
            </w:r>
          </w:p>
          <w:p w:rsidR="00ED1A8C" w:rsidRDefault="00ED1A8C" w:rsidP="00ED1A8C"/>
          <w:p w:rsidR="00BF7E09" w:rsidRPr="002968EE" w:rsidRDefault="00ED1A8C" w:rsidP="006A107B">
            <w:r w:rsidRPr="00ED1A8C">
              <w:t>When a beam of monochromatic light is allowed to transverse a suspension of microlatex particles to which specific antibodies have been attached by covalent bonding and if the wavelength of the light is much greater than the diameter of the latex particles, the light is only slightly absorbed.  In the presence of the antigen being tested for, the antibody-coated latex particles agglutinate to form aggregates of a diameter greater than the wavelength of the light; more of the latter is absorbed.  This increase in light absorption is a function of the antigen level present in the test sample.</w:t>
            </w:r>
          </w:p>
        </w:tc>
      </w:tr>
    </w:tbl>
    <w:p w:rsidR="00D0664E" w:rsidRDefault="00D0664E">
      <w:pPr>
        <w:pStyle w:val="BlockLine"/>
      </w:pPr>
    </w:p>
    <w:tbl>
      <w:tblPr>
        <w:tblW w:w="0" w:type="auto"/>
        <w:tblLayout w:type="fixed"/>
        <w:tblLook w:val="0000" w:firstRow="0" w:lastRow="0" w:firstColumn="0" w:lastColumn="0" w:noHBand="0" w:noVBand="0"/>
      </w:tblPr>
      <w:tblGrid>
        <w:gridCol w:w="1728"/>
        <w:gridCol w:w="8010"/>
      </w:tblGrid>
      <w:tr w:rsidR="00D0664E" w:rsidTr="00D32C36">
        <w:trPr>
          <w:cantSplit/>
          <w:trHeight w:val="1376"/>
        </w:trPr>
        <w:tc>
          <w:tcPr>
            <w:tcW w:w="1728" w:type="dxa"/>
          </w:tcPr>
          <w:p w:rsidR="00D0664E" w:rsidRPr="005B1E7F" w:rsidRDefault="005B1E7F">
            <w:pPr>
              <w:pStyle w:val="Heading5"/>
            </w:pPr>
            <w:r w:rsidRPr="005B1E7F">
              <w:t>Scope</w:t>
            </w:r>
          </w:p>
        </w:tc>
        <w:tc>
          <w:tcPr>
            <w:tcW w:w="8010" w:type="dxa"/>
          </w:tcPr>
          <w:p w:rsidR="002968EE" w:rsidRDefault="006A107B" w:rsidP="002968EE">
            <w:r w:rsidRPr="00E62EF8">
              <w:rPr>
                <w:iCs/>
                <w:szCs w:val="24"/>
              </w:rPr>
              <w:t>This p</w:t>
            </w:r>
            <w:r>
              <w:rPr>
                <w:iCs/>
                <w:szCs w:val="24"/>
              </w:rPr>
              <w:t>rocedure</w:t>
            </w:r>
            <w:r w:rsidRPr="00E62EF8">
              <w:rPr>
                <w:iCs/>
                <w:szCs w:val="24"/>
              </w:rPr>
              <w:t xml:space="preserve"> </w:t>
            </w:r>
            <w:r w:rsidRPr="00E62EF8">
              <w:t>is intended for</w:t>
            </w:r>
            <w:r w:rsidR="002968EE">
              <w:t xml:space="preserve"> Clinical Laboratory Scientist (CLS) and Medical Laboratory Technicians (MLT) who are trained and competent in</w:t>
            </w:r>
            <w:r w:rsidR="00F5406C">
              <w:t xml:space="preserve"> performing the D-Dimer</w:t>
            </w:r>
            <w:r w:rsidR="002968EE">
              <w:t xml:space="preserve"> assay.</w:t>
            </w:r>
          </w:p>
          <w:p w:rsidR="00F5406C" w:rsidRPr="002968EE" w:rsidRDefault="00F5406C" w:rsidP="002968EE">
            <w:r>
              <w:t>This Procedure replaces LCoM 217 Diagnostica Stago STA Compact Quality Control and LCoM 218 Diagnostica Stago STA Compact Sample Processing.</w:t>
            </w:r>
          </w:p>
        </w:tc>
      </w:tr>
    </w:tbl>
    <w:p w:rsidR="00A3670D" w:rsidRDefault="00A3670D" w:rsidP="00A3670D">
      <w:pPr>
        <w:pStyle w:val="BlockLine"/>
      </w:pPr>
    </w:p>
    <w:tbl>
      <w:tblPr>
        <w:tblW w:w="0" w:type="auto"/>
        <w:tblLayout w:type="fixed"/>
        <w:tblLook w:val="0000" w:firstRow="0" w:lastRow="0" w:firstColumn="0" w:lastColumn="0" w:noHBand="0" w:noVBand="0"/>
      </w:tblPr>
      <w:tblGrid>
        <w:gridCol w:w="1728"/>
        <w:gridCol w:w="8010"/>
      </w:tblGrid>
      <w:tr w:rsidR="006A107B" w:rsidTr="00D32C36">
        <w:trPr>
          <w:cantSplit/>
        </w:trPr>
        <w:tc>
          <w:tcPr>
            <w:tcW w:w="1728" w:type="dxa"/>
          </w:tcPr>
          <w:p w:rsidR="006A107B" w:rsidRPr="006A107B" w:rsidRDefault="006A107B" w:rsidP="00803536">
            <w:pPr>
              <w:pStyle w:val="Heading5"/>
            </w:pPr>
            <w:r w:rsidRPr="006A107B">
              <w:t>Specimen sources</w:t>
            </w:r>
          </w:p>
        </w:tc>
        <w:tc>
          <w:tcPr>
            <w:tcW w:w="8010" w:type="dxa"/>
          </w:tcPr>
          <w:p w:rsidR="006A107B" w:rsidRDefault="00C1738D" w:rsidP="002968EE">
            <w:pPr>
              <w:rPr>
                <w:szCs w:val="24"/>
              </w:rPr>
            </w:pPr>
            <w:r>
              <w:rPr>
                <w:szCs w:val="24"/>
              </w:rPr>
              <w:t xml:space="preserve">Whole Blood </w:t>
            </w:r>
            <w:r w:rsidR="002968EE">
              <w:rPr>
                <w:szCs w:val="24"/>
              </w:rPr>
              <w:t>collected in 9:1 ra</w:t>
            </w:r>
            <w:r>
              <w:rPr>
                <w:szCs w:val="24"/>
              </w:rPr>
              <w:t>tio</w:t>
            </w:r>
            <w:r w:rsidR="002968EE">
              <w:rPr>
                <w:szCs w:val="24"/>
              </w:rPr>
              <w:t xml:space="preserve"> of blood in a 3.2% (0.109M) Sodium Citrate tube</w:t>
            </w:r>
          </w:p>
          <w:p w:rsidR="006A107B" w:rsidRPr="00781F79" w:rsidRDefault="006A107B" w:rsidP="00803536">
            <w:pPr>
              <w:rPr>
                <w:szCs w:val="24"/>
              </w:rPr>
            </w:pPr>
          </w:p>
        </w:tc>
      </w:tr>
    </w:tbl>
    <w:p w:rsidR="00D0664E" w:rsidRDefault="00D0664E">
      <w:pPr>
        <w:pStyle w:val="BlockLine"/>
      </w:pPr>
    </w:p>
    <w:tbl>
      <w:tblPr>
        <w:tblW w:w="0" w:type="auto"/>
        <w:tblLayout w:type="fixed"/>
        <w:tblLook w:val="0000" w:firstRow="0" w:lastRow="0" w:firstColumn="0" w:lastColumn="0" w:noHBand="0" w:noVBand="0"/>
      </w:tblPr>
      <w:tblGrid>
        <w:gridCol w:w="1728"/>
        <w:gridCol w:w="8010"/>
      </w:tblGrid>
      <w:tr w:rsidR="00D0664E" w:rsidTr="00D32C36">
        <w:trPr>
          <w:cantSplit/>
        </w:trPr>
        <w:tc>
          <w:tcPr>
            <w:tcW w:w="1728" w:type="dxa"/>
          </w:tcPr>
          <w:p w:rsidR="00D0664E" w:rsidRPr="006A107B" w:rsidRDefault="006A107B">
            <w:pPr>
              <w:pStyle w:val="Heading5"/>
            </w:pPr>
            <w:r w:rsidRPr="006A107B">
              <w:t>Specimen collection</w:t>
            </w:r>
          </w:p>
        </w:tc>
        <w:tc>
          <w:tcPr>
            <w:tcW w:w="8010" w:type="dxa"/>
          </w:tcPr>
          <w:p w:rsidR="00781F79" w:rsidRPr="00781F79" w:rsidRDefault="00317E79" w:rsidP="00781F79">
            <w:pPr>
              <w:rPr>
                <w:szCs w:val="24"/>
              </w:rPr>
            </w:pPr>
            <w:r>
              <w:rPr>
                <w:szCs w:val="24"/>
              </w:rPr>
              <w:t>Refer to LPhM 200 Performing Venipuncture at KP LAMC</w:t>
            </w:r>
          </w:p>
        </w:tc>
      </w:tr>
    </w:tbl>
    <w:p w:rsidR="006A107B" w:rsidRDefault="006A107B" w:rsidP="006A107B">
      <w:pPr>
        <w:pStyle w:val="Heading4"/>
        <w:rPr>
          <w:sz w:val="24"/>
        </w:rPr>
      </w:pPr>
    </w:p>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Tr="00D32C36">
        <w:trPr>
          <w:cantSplit/>
        </w:trPr>
        <w:tc>
          <w:tcPr>
            <w:tcW w:w="1728" w:type="dxa"/>
          </w:tcPr>
          <w:p w:rsidR="006A107B" w:rsidRPr="006A107B" w:rsidRDefault="006A107B" w:rsidP="00803536">
            <w:pPr>
              <w:pStyle w:val="Heading5"/>
            </w:pPr>
            <w:r w:rsidRPr="006A107B">
              <w:t>Specimen transport</w:t>
            </w:r>
          </w:p>
        </w:tc>
        <w:tc>
          <w:tcPr>
            <w:tcW w:w="8010" w:type="dxa"/>
          </w:tcPr>
          <w:p w:rsidR="006A107B" w:rsidRDefault="00725245" w:rsidP="00803536">
            <w:pPr>
              <w:rPr>
                <w:szCs w:val="24"/>
              </w:rPr>
            </w:pPr>
            <w:r>
              <w:rPr>
                <w:szCs w:val="24"/>
              </w:rPr>
              <w:t>Refer to LSPM 203 Specimen Collection, Handling, Packaging and Transportation</w:t>
            </w:r>
          </w:p>
          <w:p w:rsidR="006A107B" w:rsidRPr="00781F79" w:rsidRDefault="006A107B" w:rsidP="00803536">
            <w:pPr>
              <w:rPr>
                <w:szCs w:val="24"/>
              </w:rPr>
            </w:pPr>
          </w:p>
        </w:tc>
      </w:tr>
    </w:tbl>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rsidTr="00D32C36">
        <w:trPr>
          <w:cantSplit/>
        </w:trPr>
        <w:tc>
          <w:tcPr>
            <w:tcW w:w="1728" w:type="dxa"/>
          </w:tcPr>
          <w:p w:rsidR="006A107B" w:rsidRPr="006A107B" w:rsidRDefault="006A107B" w:rsidP="006A107B">
            <w:pPr>
              <w:pStyle w:val="Heading5"/>
            </w:pPr>
            <w:r w:rsidRPr="006A107B">
              <w:t xml:space="preserve">Specimen </w:t>
            </w:r>
            <w:r>
              <w:t>storage</w:t>
            </w:r>
          </w:p>
        </w:tc>
        <w:tc>
          <w:tcPr>
            <w:tcW w:w="8010" w:type="dxa"/>
          </w:tcPr>
          <w:p w:rsidR="00C1738D" w:rsidRPr="00BF7E09" w:rsidRDefault="0039647B" w:rsidP="00C1738D">
            <w:r w:rsidRPr="00BF7E09">
              <w:t>Whole blood or p</w:t>
            </w:r>
            <w:r w:rsidR="00C1738D" w:rsidRPr="00BF7E09">
              <w:t xml:space="preserve">lasma can be stored at 20 </w:t>
            </w:r>
            <w:r w:rsidR="00C1738D" w:rsidRPr="00BF7E09">
              <w:rPr>
                <w:u w:val="single"/>
              </w:rPr>
              <w:t>+</w:t>
            </w:r>
            <w:r w:rsidR="00F06D93" w:rsidRPr="00BF7E09">
              <w:t xml:space="preserve"> </w:t>
            </w:r>
            <w:r w:rsidRPr="00BF7E09">
              <w:t>5◦ C for 8 hours.</w:t>
            </w:r>
          </w:p>
          <w:p w:rsidR="00C1738D" w:rsidRPr="00C1738D" w:rsidRDefault="00C1738D" w:rsidP="00C1738D">
            <w:r w:rsidRPr="00BF7E09">
              <w:t xml:space="preserve">Do not store </w:t>
            </w:r>
            <w:r w:rsidR="00BB1DD4" w:rsidRPr="00BF7E09">
              <w:t xml:space="preserve">whole blood </w:t>
            </w:r>
            <w:r w:rsidR="00BB1DD4">
              <w:t xml:space="preserve">or </w:t>
            </w:r>
            <w:r w:rsidRPr="00C1738D">
              <w:t>plasma at 2-8◦ C</w:t>
            </w:r>
          </w:p>
          <w:p w:rsidR="006A107B" w:rsidRPr="00781F79" w:rsidRDefault="006A107B" w:rsidP="00803536">
            <w:pPr>
              <w:rPr>
                <w:szCs w:val="24"/>
              </w:rPr>
            </w:pPr>
          </w:p>
        </w:tc>
      </w:tr>
    </w:tbl>
    <w:p w:rsidR="006A107B" w:rsidRDefault="006A107B" w:rsidP="006A107B">
      <w:pPr>
        <w:pStyle w:val="BlockLine"/>
      </w:pPr>
    </w:p>
    <w:tbl>
      <w:tblPr>
        <w:tblW w:w="0" w:type="auto"/>
        <w:tblLayout w:type="fixed"/>
        <w:tblLook w:val="0000" w:firstRow="0" w:lastRow="0" w:firstColumn="0" w:lastColumn="0" w:noHBand="0" w:noVBand="0"/>
      </w:tblPr>
      <w:tblGrid>
        <w:gridCol w:w="1728"/>
        <w:gridCol w:w="8010"/>
      </w:tblGrid>
      <w:tr w:rsidR="006A107B" w:rsidRPr="00781F79" w:rsidTr="00D32C36">
        <w:trPr>
          <w:cantSplit/>
        </w:trPr>
        <w:tc>
          <w:tcPr>
            <w:tcW w:w="1728" w:type="dxa"/>
          </w:tcPr>
          <w:p w:rsidR="006A107B" w:rsidRPr="006A107B" w:rsidRDefault="006A107B" w:rsidP="006A107B">
            <w:pPr>
              <w:pStyle w:val="Heading5"/>
            </w:pPr>
            <w:r w:rsidRPr="006A107B">
              <w:t xml:space="preserve">Specimen </w:t>
            </w:r>
            <w:r>
              <w:t>rejection</w:t>
            </w:r>
          </w:p>
        </w:tc>
        <w:tc>
          <w:tcPr>
            <w:tcW w:w="8010" w:type="dxa"/>
          </w:tcPr>
          <w:p w:rsidR="006A107B" w:rsidRDefault="00C1738D" w:rsidP="00803536">
            <w:pPr>
              <w:rPr>
                <w:szCs w:val="24"/>
              </w:rPr>
            </w:pPr>
            <w:r>
              <w:rPr>
                <w:szCs w:val="24"/>
              </w:rPr>
              <w:t>Reject specimen under any of the following conditions:</w:t>
            </w:r>
          </w:p>
          <w:p w:rsidR="00C1738D" w:rsidRDefault="00C1738D" w:rsidP="00C1738D">
            <w:pPr>
              <w:pStyle w:val="ListParagraph"/>
              <w:numPr>
                <w:ilvl w:val="0"/>
                <w:numId w:val="12"/>
              </w:numPr>
              <w:rPr>
                <w:szCs w:val="24"/>
              </w:rPr>
            </w:pPr>
            <w:r>
              <w:rPr>
                <w:szCs w:val="24"/>
              </w:rPr>
              <w:t>Clotted</w:t>
            </w:r>
          </w:p>
          <w:p w:rsidR="00C1738D" w:rsidRDefault="00C1738D" w:rsidP="00C1738D">
            <w:pPr>
              <w:pStyle w:val="ListParagraph"/>
              <w:numPr>
                <w:ilvl w:val="0"/>
                <w:numId w:val="12"/>
              </w:numPr>
              <w:rPr>
                <w:szCs w:val="24"/>
              </w:rPr>
            </w:pPr>
            <w:r>
              <w:rPr>
                <w:szCs w:val="24"/>
              </w:rPr>
              <w:t>Samples collected in wrong collection tube</w:t>
            </w:r>
          </w:p>
          <w:p w:rsidR="00C1738D" w:rsidRDefault="00C1738D" w:rsidP="00C1738D">
            <w:pPr>
              <w:pStyle w:val="ListParagraph"/>
              <w:numPr>
                <w:ilvl w:val="0"/>
                <w:numId w:val="12"/>
              </w:numPr>
              <w:rPr>
                <w:szCs w:val="24"/>
              </w:rPr>
            </w:pPr>
            <w:r>
              <w:rPr>
                <w:szCs w:val="24"/>
              </w:rPr>
              <w:t>Short draws and over draws</w:t>
            </w:r>
          </w:p>
          <w:p w:rsidR="00C1738D" w:rsidRDefault="00C1738D" w:rsidP="00C1738D">
            <w:pPr>
              <w:pStyle w:val="ListParagraph"/>
              <w:numPr>
                <w:ilvl w:val="0"/>
                <w:numId w:val="12"/>
              </w:numPr>
              <w:rPr>
                <w:szCs w:val="24"/>
              </w:rPr>
            </w:pPr>
            <w:r>
              <w:rPr>
                <w:szCs w:val="24"/>
              </w:rPr>
              <w:t>Samples with visible hemolysis</w:t>
            </w:r>
          </w:p>
          <w:p w:rsidR="00C1738D" w:rsidRPr="00C1738D" w:rsidRDefault="00C1738D" w:rsidP="00C1738D">
            <w:pPr>
              <w:pStyle w:val="ListParagraph"/>
              <w:numPr>
                <w:ilvl w:val="0"/>
                <w:numId w:val="12"/>
              </w:numPr>
              <w:rPr>
                <w:szCs w:val="24"/>
              </w:rPr>
            </w:pPr>
            <w:r>
              <w:rPr>
                <w:szCs w:val="24"/>
              </w:rPr>
              <w:t>Samples with unusually shortened results must be checked for clot</w:t>
            </w:r>
          </w:p>
          <w:p w:rsidR="006A107B" w:rsidRPr="00781F79" w:rsidRDefault="006A107B" w:rsidP="00803536">
            <w:pPr>
              <w:rPr>
                <w:szCs w:val="24"/>
              </w:rPr>
            </w:pPr>
          </w:p>
        </w:tc>
      </w:tr>
    </w:tbl>
    <w:p w:rsidR="009451A0" w:rsidRDefault="009451A0" w:rsidP="009451A0">
      <w:pPr>
        <w:pStyle w:val="BlockLine"/>
      </w:pPr>
    </w:p>
    <w:tbl>
      <w:tblPr>
        <w:tblW w:w="9738" w:type="dxa"/>
        <w:tblLayout w:type="fixed"/>
        <w:tblLook w:val="0000" w:firstRow="0" w:lastRow="0" w:firstColumn="0" w:lastColumn="0" w:noHBand="0" w:noVBand="0"/>
      </w:tblPr>
      <w:tblGrid>
        <w:gridCol w:w="1728"/>
        <w:gridCol w:w="8010"/>
      </w:tblGrid>
      <w:tr w:rsidR="009451A0" w:rsidRPr="00781F79" w:rsidTr="00ED1A8C">
        <w:trPr>
          <w:cantSplit/>
          <w:trHeight w:val="936"/>
        </w:trPr>
        <w:tc>
          <w:tcPr>
            <w:tcW w:w="1728" w:type="dxa"/>
          </w:tcPr>
          <w:p w:rsidR="009451A0" w:rsidRPr="006A107B" w:rsidRDefault="00C1738D" w:rsidP="00803536">
            <w:pPr>
              <w:pStyle w:val="Heading5"/>
            </w:pPr>
            <w:r>
              <w:t>Equipment</w:t>
            </w:r>
          </w:p>
        </w:tc>
        <w:tc>
          <w:tcPr>
            <w:tcW w:w="8010" w:type="dxa"/>
          </w:tcPr>
          <w:p w:rsidR="009451A0" w:rsidRDefault="00AA43BD" w:rsidP="00803536">
            <w:pPr>
              <w:pStyle w:val="BodyText"/>
              <w:numPr>
                <w:ilvl w:val="0"/>
                <w:numId w:val="9"/>
              </w:numPr>
              <w:tabs>
                <w:tab w:val="num" w:pos="360"/>
              </w:tabs>
              <w:ind w:hanging="392"/>
              <w:rPr>
                <w:b w:val="0"/>
                <w:sz w:val="24"/>
              </w:rPr>
            </w:pPr>
            <w:r>
              <w:rPr>
                <w:b w:val="0"/>
                <w:sz w:val="24"/>
              </w:rPr>
              <w:t>Stago STA-Compact</w:t>
            </w:r>
          </w:p>
          <w:p w:rsidR="0072737B" w:rsidRDefault="0072737B" w:rsidP="00803536">
            <w:pPr>
              <w:pStyle w:val="BodyText"/>
              <w:numPr>
                <w:ilvl w:val="0"/>
                <w:numId w:val="9"/>
              </w:numPr>
              <w:tabs>
                <w:tab w:val="num" w:pos="360"/>
              </w:tabs>
              <w:ind w:hanging="392"/>
              <w:rPr>
                <w:b w:val="0"/>
                <w:sz w:val="24"/>
              </w:rPr>
            </w:pPr>
            <w:r>
              <w:rPr>
                <w:b w:val="0"/>
                <w:sz w:val="24"/>
              </w:rPr>
              <w:t>Centrifuge</w:t>
            </w:r>
          </w:p>
          <w:p w:rsidR="00ED1A8C" w:rsidRDefault="00ED1A8C" w:rsidP="00ED1A8C">
            <w:pPr>
              <w:pStyle w:val="BodyText"/>
              <w:rPr>
                <w:b w:val="0"/>
                <w:sz w:val="24"/>
              </w:rPr>
            </w:pPr>
          </w:p>
          <w:p w:rsidR="00ED1A8C" w:rsidRPr="00ED1A8C" w:rsidRDefault="00ED1A8C" w:rsidP="00ED1A8C"/>
          <w:p w:rsidR="00ED1A8C" w:rsidRPr="00ED1A8C" w:rsidRDefault="00ED1A8C" w:rsidP="00ED1A8C"/>
          <w:p w:rsidR="00ED1A8C" w:rsidRPr="00ED1A8C" w:rsidRDefault="009D59FC" w:rsidP="00ED1A8C">
            <w:pPr>
              <w:tabs>
                <w:tab w:val="left" w:pos="2535"/>
              </w:tabs>
            </w:pPr>
            <w:r>
              <w:t>________________________________________________________________</w:t>
            </w:r>
          </w:p>
        </w:tc>
      </w:tr>
      <w:tr w:rsidR="00ED1A8C" w:rsidRPr="00781F79" w:rsidTr="00ED1A8C">
        <w:trPr>
          <w:cantSplit/>
          <w:trHeight w:val="80"/>
        </w:trPr>
        <w:tc>
          <w:tcPr>
            <w:tcW w:w="1728" w:type="dxa"/>
          </w:tcPr>
          <w:p w:rsidR="00ED1A8C" w:rsidRDefault="00ED1A8C" w:rsidP="00803536">
            <w:pPr>
              <w:pStyle w:val="Heading5"/>
            </w:pPr>
          </w:p>
        </w:tc>
        <w:tc>
          <w:tcPr>
            <w:tcW w:w="8010" w:type="dxa"/>
          </w:tcPr>
          <w:p w:rsidR="00ED1A8C" w:rsidRDefault="00ED1A8C" w:rsidP="00ED1A8C">
            <w:pPr>
              <w:pStyle w:val="BodyText"/>
              <w:rPr>
                <w:b w:val="0"/>
                <w:sz w:val="24"/>
              </w:rPr>
            </w:pPr>
          </w:p>
        </w:tc>
      </w:tr>
      <w:tr w:rsidR="00ED1A8C" w:rsidRPr="00781F79" w:rsidTr="00ED1A8C">
        <w:trPr>
          <w:cantSplit/>
          <w:trHeight w:val="4410"/>
        </w:trPr>
        <w:tc>
          <w:tcPr>
            <w:tcW w:w="1728" w:type="dxa"/>
          </w:tcPr>
          <w:p w:rsidR="00ED1A8C" w:rsidRDefault="009D59FC" w:rsidP="00803536">
            <w:pPr>
              <w:pStyle w:val="Heading5"/>
            </w:pPr>
            <w:r>
              <w:t>Material and</w:t>
            </w:r>
          </w:p>
          <w:p w:rsidR="009D59FC" w:rsidRPr="009D59FC" w:rsidRDefault="009D59FC" w:rsidP="009D59FC">
            <w:pPr>
              <w:rPr>
                <w:b/>
              </w:rPr>
            </w:pPr>
            <w:r w:rsidRPr="009D59FC">
              <w:rPr>
                <w:b/>
              </w:rPr>
              <w:t>Supplies</w:t>
            </w:r>
          </w:p>
          <w:p w:rsidR="009D59FC" w:rsidRPr="009D59FC" w:rsidRDefault="009D59FC" w:rsidP="009D59FC"/>
        </w:tc>
        <w:tc>
          <w:tcPr>
            <w:tcW w:w="8010" w:type="dxa"/>
          </w:tcPr>
          <w:p w:rsidR="009D59FC" w:rsidRPr="009D59FC" w:rsidRDefault="009D59FC" w:rsidP="009D59FC">
            <w:pPr>
              <w:pStyle w:val="BodyText"/>
              <w:numPr>
                <w:ilvl w:val="0"/>
                <w:numId w:val="9"/>
              </w:numPr>
              <w:rPr>
                <w:b w:val="0"/>
                <w:sz w:val="24"/>
                <w:szCs w:val="24"/>
              </w:rPr>
            </w:pPr>
            <w:r w:rsidRPr="009D59FC">
              <w:rPr>
                <w:b w:val="0"/>
                <w:sz w:val="24"/>
                <w:szCs w:val="24"/>
              </w:rPr>
              <w:t>Pipettes</w:t>
            </w:r>
          </w:p>
          <w:p w:rsidR="009D59FC" w:rsidRPr="009D59FC" w:rsidRDefault="009D59FC" w:rsidP="009D59FC">
            <w:pPr>
              <w:pStyle w:val="BodyText"/>
              <w:numPr>
                <w:ilvl w:val="0"/>
                <w:numId w:val="9"/>
              </w:numPr>
              <w:rPr>
                <w:b w:val="0"/>
                <w:sz w:val="24"/>
                <w:szCs w:val="24"/>
              </w:rPr>
            </w:pPr>
            <w:r w:rsidRPr="009D59FC">
              <w:rPr>
                <w:b w:val="0"/>
                <w:sz w:val="24"/>
                <w:szCs w:val="24"/>
              </w:rPr>
              <w:t>Pipette tips</w:t>
            </w:r>
          </w:p>
          <w:p w:rsidR="009D59FC" w:rsidRPr="009D59FC" w:rsidRDefault="009D59FC" w:rsidP="009D59FC">
            <w:pPr>
              <w:pStyle w:val="BodyText"/>
              <w:numPr>
                <w:ilvl w:val="0"/>
                <w:numId w:val="9"/>
              </w:numPr>
              <w:rPr>
                <w:b w:val="0"/>
                <w:sz w:val="24"/>
                <w:szCs w:val="24"/>
              </w:rPr>
            </w:pPr>
            <w:r w:rsidRPr="009D59FC">
              <w:rPr>
                <w:b w:val="0"/>
                <w:sz w:val="24"/>
                <w:szCs w:val="24"/>
              </w:rPr>
              <w:t>Cuvette Roll-1000</w:t>
            </w:r>
          </w:p>
          <w:p w:rsidR="009D59FC" w:rsidRPr="009D59FC" w:rsidRDefault="009D59FC" w:rsidP="009D59FC">
            <w:pPr>
              <w:pStyle w:val="BodyText"/>
              <w:numPr>
                <w:ilvl w:val="0"/>
                <w:numId w:val="9"/>
              </w:numPr>
              <w:rPr>
                <w:b w:val="0"/>
                <w:sz w:val="24"/>
                <w:szCs w:val="24"/>
              </w:rPr>
            </w:pPr>
            <w:r w:rsidRPr="009D59FC">
              <w:rPr>
                <w:b w:val="0"/>
                <w:sz w:val="24"/>
                <w:szCs w:val="24"/>
              </w:rPr>
              <w:t>Magnetic Stir Bars</w:t>
            </w:r>
          </w:p>
          <w:p w:rsidR="009D59FC" w:rsidRPr="009D59FC" w:rsidRDefault="009D59FC" w:rsidP="009D59FC">
            <w:pPr>
              <w:pStyle w:val="BodyText"/>
              <w:numPr>
                <w:ilvl w:val="0"/>
                <w:numId w:val="9"/>
              </w:numPr>
              <w:rPr>
                <w:b w:val="0"/>
                <w:sz w:val="24"/>
                <w:szCs w:val="24"/>
              </w:rPr>
            </w:pPr>
            <w:r w:rsidRPr="009D59FC">
              <w:rPr>
                <w:b w:val="0"/>
                <w:sz w:val="24"/>
                <w:szCs w:val="24"/>
              </w:rPr>
              <w:t>STA</w:t>
            </w:r>
            <w:r w:rsidRPr="009D59FC">
              <w:rPr>
                <w:b w:val="0"/>
                <w:sz w:val="24"/>
                <w:szCs w:val="24"/>
                <w:vertAlign w:val="superscript"/>
              </w:rPr>
              <w:t>®</w:t>
            </w:r>
            <w:r w:rsidRPr="009D59FC">
              <w:rPr>
                <w:b w:val="0"/>
                <w:sz w:val="24"/>
                <w:szCs w:val="24"/>
              </w:rPr>
              <w:t xml:space="preserve"> Reducer</w:t>
            </w:r>
          </w:p>
          <w:p w:rsidR="009D59FC" w:rsidRPr="009D59FC" w:rsidRDefault="009D59FC" w:rsidP="009D59FC">
            <w:pPr>
              <w:pStyle w:val="BodyText"/>
              <w:numPr>
                <w:ilvl w:val="0"/>
                <w:numId w:val="9"/>
              </w:numPr>
              <w:rPr>
                <w:b w:val="0"/>
                <w:sz w:val="24"/>
                <w:szCs w:val="24"/>
              </w:rPr>
            </w:pPr>
            <w:r w:rsidRPr="009D59FC">
              <w:rPr>
                <w:b w:val="0"/>
                <w:sz w:val="24"/>
                <w:szCs w:val="24"/>
              </w:rPr>
              <w:t>Reagent Grade Water</w:t>
            </w:r>
          </w:p>
          <w:p w:rsidR="009D59FC" w:rsidRPr="009D59FC" w:rsidRDefault="009D59FC" w:rsidP="009D59FC">
            <w:pPr>
              <w:pStyle w:val="BodyText"/>
              <w:numPr>
                <w:ilvl w:val="0"/>
                <w:numId w:val="9"/>
              </w:numPr>
              <w:rPr>
                <w:b w:val="0"/>
                <w:sz w:val="24"/>
                <w:szCs w:val="24"/>
              </w:rPr>
            </w:pPr>
            <w:r w:rsidRPr="009D59FC">
              <w:rPr>
                <w:b w:val="0"/>
                <w:sz w:val="24"/>
                <w:szCs w:val="24"/>
              </w:rPr>
              <w:t>STA – DESORB U</w:t>
            </w:r>
          </w:p>
          <w:p w:rsidR="00ED1A8C" w:rsidRPr="009D59FC" w:rsidRDefault="009D59FC" w:rsidP="009D59FC">
            <w:pPr>
              <w:pStyle w:val="BodyText"/>
              <w:numPr>
                <w:ilvl w:val="0"/>
                <w:numId w:val="9"/>
              </w:numPr>
              <w:rPr>
                <w:b w:val="0"/>
                <w:sz w:val="24"/>
              </w:rPr>
            </w:pPr>
            <w:r w:rsidRPr="009D59FC">
              <w:rPr>
                <w:b w:val="0"/>
                <w:sz w:val="24"/>
                <w:szCs w:val="24"/>
              </w:rPr>
              <w:t>STA</w:t>
            </w:r>
            <w:r w:rsidRPr="009D59FC">
              <w:rPr>
                <w:b w:val="0"/>
                <w:sz w:val="24"/>
                <w:szCs w:val="24"/>
                <w:vertAlign w:val="superscript"/>
              </w:rPr>
              <w:t xml:space="preserve">® </w:t>
            </w:r>
            <w:r w:rsidRPr="009D59FC">
              <w:rPr>
                <w:b w:val="0"/>
                <w:sz w:val="24"/>
                <w:szCs w:val="24"/>
              </w:rPr>
              <w:t>- Cleaner Solution</w:t>
            </w:r>
          </w:p>
          <w:p w:rsidR="009D59FC" w:rsidRDefault="009D59FC" w:rsidP="009D59FC">
            <w:pPr>
              <w:pStyle w:val="BodyText"/>
              <w:rPr>
                <w:b w:val="0"/>
                <w:sz w:val="24"/>
              </w:rPr>
            </w:pPr>
          </w:p>
          <w:p w:rsidR="009D59FC" w:rsidRDefault="009D59FC" w:rsidP="009D59FC">
            <w:pPr>
              <w:pStyle w:val="BodyText"/>
              <w:rPr>
                <w:b w:val="0"/>
                <w:sz w:val="24"/>
              </w:rPr>
            </w:pPr>
          </w:p>
          <w:p w:rsidR="009D59FC" w:rsidRDefault="009D59FC" w:rsidP="009D59FC">
            <w:pPr>
              <w:pStyle w:val="BodyText"/>
              <w:rPr>
                <w:b w:val="0"/>
                <w:sz w:val="24"/>
              </w:rPr>
            </w:pPr>
          </w:p>
          <w:p w:rsidR="009D59FC" w:rsidRDefault="009D59FC" w:rsidP="009D59FC">
            <w:pPr>
              <w:pStyle w:val="BodyText"/>
              <w:rPr>
                <w:b w:val="0"/>
                <w:sz w:val="24"/>
              </w:rPr>
            </w:pPr>
          </w:p>
          <w:p w:rsidR="009D59FC" w:rsidRDefault="009D59FC" w:rsidP="009D59FC">
            <w:pPr>
              <w:pStyle w:val="BodyText"/>
              <w:rPr>
                <w:b w:val="0"/>
                <w:sz w:val="24"/>
              </w:rPr>
            </w:pPr>
          </w:p>
          <w:p w:rsidR="009D59FC" w:rsidRDefault="009D59FC" w:rsidP="009D59FC">
            <w:pPr>
              <w:pStyle w:val="BodyText"/>
              <w:rPr>
                <w:b w:val="0"/>
                <w:sz w:val="24"/>
              </w:rPr>
            </w:pPr>
          </w:p>
          <w:p w:rsidR="009D59FC" w:rsidRDefault="009D59FC" w:rsidP="009D59FC">
            <w:pPr>
              <w:pStyle w:val="BodyText"/>
              <w:rPr>
                <w:b w:val="0"/>
                <w:sz w:val="24"/>
              </w:rPr>
            </w:pPr>
          </w:p>
          <w:p w:rsidR="009D59FC" w:rsidRDefault="009D59FC" w:rsidP="009D59FC">
            <w:pPr>
              <w:pStyle w:val="BodyText"/>
              <w:rPr>
                <w:b w:val="0"/>
                <w:sz w:val="24"/>
              </w:rPr>
            </w:pPr>
          </w:p>
          <w:p w:rsidR="009D59FC" w:rsidRDefault="009D59FC" w:rsidP="009D59FC">
            <w:pPr>
              <w:pStyle w:val="BodyText"/>
              <w:rPr>
                <w:b w:val="0"/>
                <w:sz w:val="24"/>
              </w:rPr>
            </w:pPr>
            <w:r>
              <w:rPr>
                <w:b w:val="0"/>
                <w:sz w:val="24"/>
              </w:rPr>
              <w:t>______________________________________________________________</w:t>
            </w:r>
          </w:p>
        </w:tc>
      </w:tr>
    </w:tbl>
    <w:p w:rsidR="009451A0" w:rsidRDefault="00C1738D" w:rsidP="00ED1A8C">
      <w:pPr>
        <w:pStyle w:val="BlockLine"/>
        <w:ind w:left="0"/>
        <w:rPr>
          <w:i/>
          <w:sz w:val="20"/>
        </w:rPr>
      </w:pPr>
      <w:r>
        <w:rPr>
          <w:i/>
          <w:sz w:val="20"/>
        </w:rPr>
        <w:lastRenderedPageBreak/>
        <w:t xml:space="preserve">        </w:t>
      </w:r>
    </w:p>
    <w:tbl>
      <w:tblPr>
        <w:tblW w:w="0" w:type="auto"/>
        <w:tblLayout w:type="fixed"/>
        <w:tblLook w:val="0000" w:firstRow="0" w:lastRow="0" w:firstColumn="0" w:lastColumn="0" w:noHBand="0" w:noVBand="0"/>
      </w:tblPr>
      <w:tblGrid>
        <w:gridCol w:w="1728"/>
        <w:gridCol w:w="2670"/>
        <w:gridCol w:w="3000"/>
        <w:gridCol w:w="2340"/>
      </w:tblGrid>
      <w:tr w:rsidR="004049B8" w:rsidRPr="009451A0" w:rsidTr="00DC2A7C">
        <w:trPr>
          <w:cantSplit/>
          <w:trHeight w:val="345"/>
        </w:trPr>
        <w:tc>
          <w:tcPr>
            <w:tcW w:w="1728" w:type="dxa"/>
            <w:vMerge w:val="restart"/>
            <w:tcBorders>
              <w:right w:val="single" w:sz="4" w:space="0" w:color="auto"/>
            </w:tcBorders>
          </w:tcPr>
          <w:p w:rsidR="004049B8" w:rsidRPr="006A107B" w:rsidRDefault="00BE0457" w:rsidP="000D0A9C">
            <w:pPr>
              <w:pStyle w:val="Heading5"/>
            </w:pPr>
            <w:r>
              <w:t>Reagent/s</w:t>
            </w:r>
          </w:p>
        </w:tc>
        <w:tc>
          <w:tcPr>
            <w:tcW w:w="2670" w:type="dxa"/>
            <w:tcBorders>
              <w:top w:val="single" w:sz="4" w:space="0" w:color="auto"/>
              <w:left w:val="single" w:sz="4" w:space="0" w:color="auto"/>
              <w:bottom w:val="single" w:sz="4" w:space="0" w:color="auto"/>
              <w:right w:val="single" w:sz="4" w:space="0" w:color="auto"/>
            </w:tcBorders>
          </w:tcPr>
          <w:p w:rsidR="004049B8" w:rsidRPr="009451A0" w:rsidRDefault="004049B8" w:rsidP="000D0A9C">
            <w:pPr>
              <w:jc w:val="center"/>
              <w:rPr>
                <w:b/>
                <w:szCs w:val="24"/>
              </w:rPr>
            </w:pPr>
            <w:r w:rsidRPr="009451A0">
              <w:rPr>
                <w:b/>
                <w:szCs w:val="24"/>
              </w:rPr>
              <w:t>Description</w:t>
            </w:r>
          </w:p>
        </w:tc>
        <w:tc>
          <w:tcPr>
            <w:tcW w:w="3000" w:type="dxa"/>
            <w:tcBorders>
              <w:top w:val="single" w:sz="4" w:space="0" w:color="auto"/>
              <w:left w:val="single" w:sz="4" w:space="0" w:color="auto"/>
              <w:bottom w:val="single" w:sz="4" w:space="0" w:color="auto"/>
              <w:right w:val="single" w:sz="4" w:space="0" w:color="auto"/>
            </w:tcBorders>
          </w:tcPr>
          <w:p w:rsidR="004049B8" w:rsidRPr="009451A0" w:rsidRDefault="004049B8" w:rsidP="000D0A9C">
            <w:pPr>
              <w:jc w:val="center"/>
              <w:rPr>
                <w:b/>
                <w:szCs w:val="24"/>
              </w:rPr>
            </w:pPr>
            <w:r>
              <w:rPr>
                <w:b/>
                <w:szCs w:val="24"/>
              </w:rPr>
              <w:t>Preparation</w:t>
            </w:r>
          </w:p>
        </w:tc>
        <w:tc>
          <w:tcPr>
            <w:tcW w:w="2340" w:type="dxa"/>
            <w:tcBorders>
              <w:top w:val="single" w:sz="4" w:space="0" w:color="auto"/>
              <w:left w:val="single" w:sz="4" w:space="0" w:color="auto"/>
              <w:bottom w:val="single" w:sz="4" w:space="0" w:color="auto"/>
              <w:right w:val="single" w:sz="4" w:space="0" w:color="auto"/>
            </w:tcBorders>
          </w:tcPr>
          <w:p w:rsidR="004049B8" w:rsidRPr="009451A0" w:rsidRDefault="004049B8" w:rsidP="000D0A9C">
            <w:pPr>
              <w:jc w:val="center"/>
              <w:rPr>
                <w:b/>
                <w:szCs w:val="24"/>
              </w:rPr>
            </w:pPr>
            <w:r>
              <w:rPr>
                <w:b/>
                <w:szCs w:val="24"/>
              </w:rPr>
              <w:t>Stability</w:t>
            </w:r>
          </w:p>
        </w:tc>
      </w:tr>
      <w:tr w:rsidR="004049B8" w:rsidTr="007B698C">
        <w:trPr>
          <w:cantSplit/>
          <w:trHeight w:val="345"/>
        </w:trPr>
        <w:tc>
          <w:tcPr>
            <w:tcW w:w="1728" w:type="dxa"/>
            <w:vMerge/>
            <w:tcBorders>
              <w:right w:val="single" w:sz="4" w:space="0" w:color="auto"/>
            </w:tcBorders>
          </w:tcPr>
          <w:p w:rsidR="004049B8" w:rsidRDefault="004049B8" w:rsidP="000D0A9C">
            <w:pPr>
              <w:pStyle w:val="Heading5"/>
            </w:pPr>
          </w:p>
        </w:tc>
        <w:tc>
          <w:tcPr>
            <w:tcW w:w="2670" w:type="dxa"/>
            <w:tcBorders>
              <w:top w:val="single" w:sz="4" w:space="0" w:color="auto"/>
              <w:left w:val="single" w:sz="4" w:space="0" w:color="auto"/>
              <w:bottom w:val="single" w:sz="4" w:space="0" w:color="auto"/>
              <w:right w:val="single" w:sz="4" w:space="0" w:color="auto"/>
            </w:tcBorders>
          </w:tcPr>
          <w:p w:rsidR="004049B8" w:rsidRDefault="00BF7E09" w:rsidP="000D0A9C">
            <w:r w:rsidRPr="00BF7E09">
              <w:t>STA® Liatest® D-Dimer:</w:t>
            </w:r>
          </w:p>
          <w:p w:rsidR="00BF7E09" w:rsidRDefault="00BF7E09" w:rsidP="000D0A9C">
            <w:r w:rsidRPr="00BF7E09">
              <w:rPr>
                <w:b/>
              </w:rPr>
              <w:t>Reagent 1:</w:t>
            </w:r>
            <w:r>
              <w:t xml:space="preserve">  Tris Buffer</w:t>
            </w:r>
          </w:p>
          <w:p w:rsidR="00DC2A7C" w:rsidRDefault="00DC2A7C" w:rsidP="000D0A9C"/>
          <w:p w:rsidR="00DC2A7C" w:rsidRDefault="00DC2A7C" w:rsidP="000D0A9C"/>
          <w:p w:rsidR="00DC2A7C" w:rsidRDefault="00DC2A7C" w:rsidP="000D0A9C"/>
          <w:p w:rsidR="00DC2A7C" w:rsidRDefault="00DC2A7C" w:rsidP="000D0A9C"/>
          <w:p w:rsidR="00DC2A7C" w:rsidRDefault="00DC2A7C" w:rsidP="000D0A9C"/>
          <w:p w:rsidR="00DC2A7C" w:rsidRDefault="00DC2A7C" w:rsidP="000D0A9C"/>
          <w:p w:rsidR="00DC2A7C" w:rsidRDefault="00DC2A7C" w:rsidP="000D0A9C"/>
          <w:p w:rsidR="00DC2A7C" w:rsidRDefault="00DC2A7C" w:rsidP="000D0A9C"/>
          <w:p w:rsidR="00DC2A7C" w:rsidRDefault="00DC2A7C" w:rsidP="000D0A9C"/>
          <w:p w:rsidR="00DC2A7C" w:rsidRDefault="00DC2A7C" w:rsidP="000D0A9C"/>
          <w:p w:rsidR="00DC2A7C" w:rsidRDefault="00DC2A7C" w:rsidP="000D0A9C"/>
          <w:p w:rsidR="00DC2A7C" w:rsidRDefault="00DC2A7C" w:rsidP="000D0A9C">
            <w:r w:rsidRPr="00DC2A7C">
              <w:rPr>
                <w:b/>
              </w:rPr>
              <w:t>Reagent 2:</w:t>
            </w:r>
            <w:r w:rsidRPr="00DC2A7C">
              <w:t xml:space="preserve">  Latex</w:t>
            </w:r>
          </w:p>
          <w:p w:rsidR="0052435E" w:rsidRDefault="0052435E" w:rsidP="000D0A9C"/>
          <w:p w:rsidR="0052435E" w:rsidRDefault="0052435E" w:rsidP="000D0A9C"/>
          <w:p w:rsidR="0052435E" w:rsidRDefault="0052435E" w:rsidP="000D0A9C"/>
          <w:p w:rsidR="0052435E" w:rsidRDefault="0052435E" w:rsidP="000D0A9C"/>
          <w:p w:rsidR="0052435E" w:rsidRDefault="0052435E" w:rsidP="000D0A9C"/>
          <w:p w:rsidR="0052435E" w:rsidRDefault="0052435E" w:rsidP="000D0A9C"/>
          <w:p w:rsidR="0052435E" w:rsidRPr="00BF7E09" w:rsidRDefault="0052435E" w:rsidP="000D0A9C">
            <w:pPr>
              <w:rPr>
                <w:szCs w:val="24"/>
              </w:rPr>
            </w:pPr>
          </w:p>
        </w:tc>
        <w:tc>
          <w:tcPr>
            <w:tcW w:w="3000" w:type="dxa"/>
            <w:tcBorders>
              <w:top w:val="single" w:sz="4" w:space="0" w:color="auto"/>
              <w:left w:val="single" w:sz="4" w:space="0" w:color="auto"/>
              <w:bottom w:val="single" w:sz="4" w:space="0" w:color="auto"/>
              <w:right w:val="single" w:sz="4" w:space="0" w:color="auto"/>
            </w:tcBorders>
          </w:tcPr>
          <w:p w:rsidR="00BF7E09" w:rsidRDefault="00BF7E09" w:rsidP="00515E0C">
            <w:pPr>
              <w:tabs>
                <w:tab w:val="left" w:pos="0"/>
              </w:tabs>
            </w:pPr>
          </w:p>
          <w:p w:rsidR="00BF7E09" w:rsidRDefault="00BF7E09" w:rsidP="00515E0C">
            <w:pPr>
              <w:tabs>
                <w:tab w:val="left" w:pos="0"/>
              </w:tabs>
            </w:pPr>
          </w:p>
          <w:p w:rsidR="00BF7E09" w:rsidRDefault="00BF7E09" w:rsidP="00515E0C">
            <w:pPr>
              <w:tabs>
                <w:tab w:val="left" w:pos="0"/>
              </w:tabs>
            </w:pPr>
            <w:r w:rsidRPr="00BF7E09">
              <w:t>Ready to use.  Allow the reagent to stand at room temperature for 15 minutes.  Mix gently without creating bubbles.  Then, place a STA</w:t>
            </w:r>
            <w:r w:rsidRPr="00BF7E09">
              <w:rPr>
                <w:b/>
                <w:sz w:val="22"/>
                <w:vertAlign w:val="superscript"/>
              </w:rPr>
              <w:t>®</w:t>
            </w:r>
            <w:r w:rsidRPr="00BF7E09">
              <w:t xml:space="preserve"> mini Reducer and the perforated cap on the vial </w:t>
            </w:r>
            <w:r w:rsidRPr="00BF7E09">
              <w:rPr>
                <w:szCs w:val="24"/>
              </w:rPr>
              <w:t>perforated plastic cap on the vial.</w:t>
            </w:r>
          </w:p>
          <w:p w:rsidR="004049B8" w:rsidRDefault="0072737B" w:rsidP="00515E0C">
            <w:r w:rsidRPr="00DC2A7C">
              <w:t>Write the date and initial on the vial</w:t>
            </w:r>
            <w:r w:rsidR="007B70A1" w:rsidRPr="00DC2A7C">
              <w:t xml:space="preserve"> before loading on the instrument</w:t>
            </w:r>
            <w:r w:rsidRPr="00DC2A7C">
              <w:t>.</w:t>
            </w:r>
          </w:p>
          <w:p w:rsidR="00DC2A7C" w:rsidRDefault="00DC2A7C" w:rsidP="00515E0C">
            <w:pPr>
              <w:rPr>
                <w:szCs w:val="24"/>
              </w:rPr>
            </w:pPr>
            <w:r w:rsidRPr="00DC2A7C">
              <w:t>Ready to use. Allow reagent to stand at room temperature for 15 minutes.  Mix gently without creating bubbles.  Then, place a STA</w:t>
            </w:r>
            <w:r w:rsidRPr="00DC2A7C">
              <w:rPr>
                <w:b/>
                <w:sz w:val="22"/>
                <w:vertAlign w:val="superscript"/>
              </w:rPr>
              <w:t>®</w:t>
            </w:r>
            <w:r w:rsidRPr="00DC2A7C">
              <w:t xml:space="preserve"> mini Reducer and the perforated cap on the vial </w:t>
            </w:r>
            <w:r w:rsidRPr="00DC2A7C">
              <w:rPr>
                <w:szCs w:val="24"/>
              </w:rPr>
              <w:t xml:space="preserve">perforated plastic cap on the vial.  </w:t>
            </w:r>
          </w:p>
          <w:p w:rsidR="0052435E" w:rsidRPr="0052435E" w:rsidRDefault="0052435E" w:rsidP="00515E0C">
            <w:r w:rsidRPr="00DC2A7C">
              <w:t>Write the date and initial on the vial before loading on the instrument.</w:t>
            </w:r>
          </w:p>
        </w:tc>
        <w:tc>
          <w:tcPr>
            <w:tcW w:w="2340" w:type="dxa"/>
            <w:tcBorders>
              <w:top w:val="single" w:sz="4" w:space="0" w:color="auto"/>
              <w:left w:val="single" w:sz="4" w:space="0" w:color="auto"/>
              <w:bottom w:val="single" w:sz="4" w:space="0" w:color="auto"/>
              <w:right w:val="single" w:sz="4" w:space="0" w:color="auto"/>
            </w:tcBorders>
          </w:tcPr>
          <w:p w:rsidR="00DC2A7C" w:rsidRDefault="00DC2A7C" w:rsidP="00515E0C">
            <w:pPr>
              <w:tabs>
                <w:tab w:val="left" w:pos="0"/>
              </w:tabs>
            </w:pPr>
          </w:p>
          <w:p w:rsidR="00DC2A7C" w:rsidRDefault="00DC2A7C" w:rsidP="00515E0C">
            <w:pPr>
              <w:tabs>
                <w:tab w:val="left" w:pos="0"/>
              </w:tabs>
            </w:pPr>
          </w:p>
          <w:p w:rsidR="00515E0C" w:rsidRPr="0075197D" w:rsidRDefault="00DC2A7C" w:rsidP="00515E0C">
            <w:pPr>
              <w:tabs>
                <w:tab w:val="left" w:pos="0"/>
              </w:tabs>
            </w:pPr>
            <w:r>
              <w:t>15 days</w:t>
            </w:r>
            <w:r w:rsidR="00515E0C">
              <w:t xml:space="preserve"> </w:t>
            </w:r>
            <w:r w:rsidR="00515E0C" w:rsidRPr="0075197D">
              <w:t xml:space="preserve">on the </w:t>
            </w:r>
            <w:r w:rsidR="00AA43BD">
              <w:rPr>
                <w:szCs w:val="24"/>
              </w:rPr>
              <w:t>STA® - Compact®</w:t>
            </w:r>
          </w:p>
          <w:p w:rsidR="004049B8" w:rsidRDefault="004049B8" w:rsidP="000D0A9C">
            <w:pPr>
              <w:rPr>
                <w:szCs w:val="24"/>
              </w:rPr>
            </w:pPr>
          </w:p>
          <w:p w:rsidR="00DC2A7C" w:rsidRDefault="00DC2A7C" w:rsidP="000D0A9C">
            <w:pPr>
              <w:rPr>
                <w:szCs w:val="24"/>
              </w:rPr>
            </w:pPr>
          </w:p>
          <w:p w:rsidR="00DC2A7C" w:rsidRDefault="00DC2A7C" w:rsidP="000D0A9C">
            <w:pPr>
              <w:rPr>
                <w:szCs w:val="24"/>
              </w:rPr>
            </w:pPr>
          </w:p>
          <w:p w:rsidR="00DC2A7C" w:rsidRDefault="00DC2A7C" w:rsidP="000D0A9C">
            <w:pPr>
              <w:rPr>
                <w:szCs w:val="24"/>
              </w:rPr>
            </w:pPr>
          </w:p>
          <w:p w:rsidR="00DC2A7C" w:rsidRDefault="00DC2A7C" w:rsidP="000D0A9C">
            <w:pPr>
              <w:rPr>
                <w:szCs w:val="24"/>
              </w:rPr>
            </w:pPr>
          </w:p>
          <w:p w:rsidR="00DC2A7C" w:rsidRDefault="00DC2A7C" w:rsidP="000D0A9C">
            <w:pPr>
              <w:rPr>
                <w:szCs w:val="24"/>
              </w:rPr>
            </w:pPr>
          </w:p>
          <w:p w:rsidR="00DC2A7C" w:rsidRDefault="00DC2A7C" w:rsidP="000D0A9C">
            <w:pPr>
              <w:rPr>
                <w:szCs w:val="24"/>
              </w:rPr>
            </w:pPr>
          </w:p>
          <w:p w:rsidR="00DC2A7C" w:rsidRDefault="00DC2A7C" w:rsidP="000D0A9C">
            <w:pPr>
              <w:rPr>
                <w:szCs w:val="24"/>
              </w:rPr>
            </w:pPr>
          </w:p>
          <w:p w:rsidR="00DC2A7C" w:rsidRDefault="00DC2A7C" w:rsidP="000D0A9C">
            <w:pPr>
              <w:rPr>
                <w:szCs w:val="24"/>
              </w:rPr>
            </w:pPr>
          </w:p>
          <w:p w:rsidR="00DC2A7C" w:rsidRDefault="00DC2A7C" w:rsidP="000D0A9C">
            <w:pPr>
              <w:rPr>
                <w:szCs w:val="24"/>
              </w:rPr>
            </w:pPr>
          </w:p>
          <w:p w:rsidR="00DC2A7C" w:rsidRPr="0075197D" w:rsidRDefault="00DC2A7C" w:rsidP="00DC2A7C">
            <w:pPr>
              <w:tabs>
                <w:tab w:val="left" w:pos="0"/>
              </w:tabs>
            </w:pPr>
            <w:r>
              <w:t xml:space="preserve">15 days </w:t>
            </w:r>
            <w:r w:rsidRPr="0075197D">
              <w:t xml:space="preserve">on the </w:t>
            </w:r>
            <w:r w:rsidR="00AA43BD">
              <w:rPr>
                <w:szCs w:val="24"/>
              </w:rPr>
              <w:t>STA® - Compact®</w:t>
            </w:r>
          </w:p>
          <w:p w:rsidR="00DC2A7C" w:rsidRDefault="00DC2A7C" w:rsidP="000D0A9C">
            <w:pPr>
              <w:rPr>
                <w:szCs w:val="24"/>
              </w:rPr>
            </w:pPr>
          </w:p>
        </w:tc>
      </w:tr>
      <w:tr w:rsidR="0052435E" w:rsidTr="007B698C">
        <w:trPr>
          <w:cantSplit/>
          <w:trHeight w:val="345"/>
        </w:trPr>
        <w:tc>
          <w:tcPr>
            <w:tcW w:w="1728" w:type="dxa"/>
            <w:tcBorders>
              <w:right w:val="single" w:sz="4" w:space="0" w:color="auto"/>
            </w:tcBorders>
          </w:tcPr>
          <w:p w:rsidR="0052435E" w:rsidRDefault="0052435E" w:rsidP="0052435E">
            <w:pPr>
              <w:pStyle w:val="Heading5"/>
            </w:pPr>
          </w:p>
        </w:tc>
        <w:tc>
          <w:tcPr>
            <w:tcW w:w="2670" w:type="dxa"/>
            <w:tcBorders>
              <w:top w:val="single" w:sz="4" w:space="0" w:color="auto"/>
              <w:left w:val="single" w:sz="4" w:space="0" w:color="auto"/>
              <w:bottom w:val="single" w:sz="4" w:space="0" w:color="auto"/>
              <w:right w:val="single" w:sz="4" w:space="0" w:color="auto"/>
            </w:tcBorders>
          </w:tcPr>
          <w:p w:rsidR="0052435E" w:rsidRPr="00BF7E09" w:rsidRDefault="0052435E" w:rsidP="0052435E">
            <w:r w:rsidRPr="00F70888">
              <w:rPr>
                <w:szCs w:val="24"/>
              </w:rPr>
              <w:t>STA</w:t>
            </w:r>
            <w:r w:rsidRPr="00F70888">
              <w:rPr>
                <w:szCs w:val="24"/>
                <w:vertAlign w:val="superscript"/>
              </w:rPr>
              <w:t>®</w:t>
            </w:r>
            <w:r w:rsidRPr="00F70888">
              <w:rPr>
                <w:szCs w:val="24"/>
              </w:rPr>
              <w:t xml:space="preserve"> - Owren-Koller Buffer</w:t>
            </w:r>
          </w:p>
        </w:tc>
        <w:tc>
          <w:tcPr>
            <w:tcW w:w="3000" w:type="dxa"/>
            <w:tcBorders>
              <w:top w:val="single" w:sz="4" w:space="0" w:color="auto"/>
              <w:left w:val="single" w:sz="4" w:space="0" w:color="auto"/>
              <w:bottom w:val="single" w:sz="4" w:space="0" w:color="auto"/>
              <w:right w:val="single" w:sz="4" w:space="0" w:color="auto"/>
            </w:tcBorders>
          </w:tcPr>
          <w:p w:rsidR="0052435E" w:rsidRDefault="0052435E" w:rsidP="0052435E">
            <w:r w:rsidRPr="00F70888">
              <w:rPr>
                <w:szCs w:val="24"/>
              </w:rPr>
              <w:t>Ready</w:t>
            </w:r>
            <w:r w:rsidRPr="00F70888">
              <w:t xml:space="preserve"> to use buffer. Used by the </w:t>
            </w:r>
            <w:r w:rsidR="00AA43BD">
              <w:rPr>
                <w:szCs w:val="24"/>
              </w:rPr>
              <w:t>STA® - Compact®</w:t>
            </w:r>
            <w:r w:rsidRPr="00F70888">
              <w:rPr>
                <w:szCs w:val="24"/>
              </w:rPr>
              <w:t xml:space="preserve"> </w:t>
            </w:r>
            <w:r w:rsidRPr="00F70888">
              <w:t>to perform dilutions of controls and patients’ plasmas.</w:t>
            </w:r>
          </w:p>
          <w:p w:rsidR="0052435E" w:rsidRDefault="0052435E" w:rsidP="0052435E">
            <w:pPr>
              <w:tabs>
                <w:tab w:val="left" w:pos="0"/>
              </w:tabs>
            </w:pPr>
            <w:r w:rsidRPr="000123BF">
              <w:t>Write the date and initial on the vial before loading on the instrument.</w:t>
            </w:r>
          </w:p>
        </w:tc>
        <w:tc>
          <w:tcPr>
            <w:tcW w:w="2340" w:type="dxa"/>
            <w:tcBorders>
              <w:top w:val="single" w:sz="4" w:space="0" w:color="auto"/>
              <w:left w:val="single" w:sz="4" w:space="0" w:color="auto"/>
              <w:bottom w:val="single" w:sz="4" w:space="0" w:color="auto"/>
              <w:right w:val="single" w:sz="4" w:space="0" w:color="auto"/>
            </w:tcBorders>
          </w:tcPr>
          <w:p w:rsidR="0052435E" w:rsidRDefault="0052435E" w:rsidP="0052435E">
            <w:pPr>
              <w:tabs>
                <w:tab w:val="left" w:pos="0"/>
              </w:tabs>
            </w:pPr>
            <w:r>
              <w:t>72 hours on the</w:t>
            </w:r>
            <w:r w:rsidRPr="005A4D02">
              <w:rPr>
                <w:szCs w:val="24"/>
              </w:rPr>
              <w:t xml:space="preserve"> </w:t>
            </w:r>
            <w:r>
              <w:rPr>
                <w:szCs w:val="24"/>
              </w:rPr>
              <w:t xml:space="preserve"> </w:t>
            </w:r>
            <w:r w:rsidR="00AA43BD">
              <w:t>STA® - Compact®</w:t>
            </w:r>
          </w:p>
        </w:tc>
      </w:tr>
    </w:tbl>
    <w:p w:rsidR="009451A0" w:rsidRPr="009451A0" w:rsidRDefault="009451A0" w:rsidP="009451A0"/>
    <w:p w:rsidR="009451A0" w:rsidRDefault="009451A0" w:rsidP="009451A0">
      <w:pPr>
        <w:pStyle w:val="BlockLine"/>
      </w:pPr>
    </w:p>
    <w:tbl>
      <w:tblPr>
        <w:tblW w:w="0" w:type="auto"/>
        <w:tblLayout w:type="fixed"/>
        <w:tblLook w:val="0000" w:firstRow="0" w:lastRow="0" w:firstColumn="0" w:lastColumn="0" w:noHBand="0" w:noVBand="0"/>
      </w:tblPr>
      <w:tblGrid>
        <w:gridCol w:w="1728"/>
        <w:gridCol w:w="8010"/>
      </w:tblGrid>
      <w:tr w:rsidR="009451A0" w:rsidRPr="00781F79" w:rsidTr="00D32C36">
        <w:trPr>
          <w:cantSplit/>
        </w:trPr>
        <w:tc>
          <w:tcPr>
            <w:tcW w:w="1728" w:type="dxa"/>
          </w:tcPr>
          <w:p w:rsidR="004C4D75" w:rsidRDefault="004C4D75" w:rsidP="00803536">
            <w:pPr>
              <w:pStyle w:val="Heading5"/>
            </w:pPr>
          </w:p>
          <w:p w:rsidR="004C4D75" w:rsidRDefault="004C4D75" w:rsidP="00803536">
            <w:pPr>
              <w:pStyle w:val="Heading5"/>
            </w:pPr>
          </w:p>
          <w:p w:rsidR="009451A0" w:rsidRPr="006A107B" w:rsidRDefault="009451A0" w:rsidP="00803536">
            <w:pPr>
              <w:pStyle w:val="Heading5"/>
            </w:pPr>
            <w:r>
              <w:t>Saf</w:t>
            </w:r>
            <w:r w:rsidR="007D6E39">
              <w:t>ety</w:t>
            </w:r>
          </w:p>
        </w:tc>
        <w:tc>
          <w:tcPr>
            <w:tcW w:w="8010" w:type="dxa"/>
          </w:tcPr>
          <w:p w:rsidR="004C4D75" w:rsidRDefault="004C4D75" w:rsidP="004C4D75">
            <w:pPr>
              <w:pStyle w:val="BlockLine"/>
              <w:ind w:left="0"/>
            </w:pPr>
          </w:p>
          <w:p w:rsidR="007D6E39" w:rsidRPr="006C604B" w:rsidRDefault="007D6E39" w:rsidP="007D6E39">
            <w:r>
              <w:t xml:space="preserve">All laboratory employees are expected to maintain a safe working environment </w:t>
            </w:r>
          </w:p>
          <w:p w:rsidR="007D6E39" w:rsidRDefault="007D6E39" w:rsidP="007D6E39">
            <w:r>
              <w:t>and an injury-free workplace.  Laboratory employees are responsible for their own safety, and the safety of others and adhering to all departmental and medical center safety policies and procedures.</w:t>
            </w:r>
          </w:p>
          <w:p w:rsidR="007D6E39" w:rsidRDefault="007D6E39" w:rsidP="007D6E39"/>
          <w:p w:rsidR="007D6E39" w:rsidRDefault="007D6E39" w:rsidP="007D6E39">
            <w:pPr>
              <w:pStyle w:val="ListParagraph"/>
              <w:numPr>
                <w:ilvl w:val="0"/>
                <w:numId w:val="16"/>
              </w:numPr>
            </w:pPr>
            <w:r>
              <w:t>For standard precautions and safety practices in the laboratory;  see LGM</w:t>
            </w:r>
          </w:p>
          <w:p w:rsidR="007D6E39" w:rsidRDefault="007D6E39" w:rsidP="007D6E39">
            <w:pPr>
              <w:pStyle w:val="ListParagraph"/>
            </w:pPr>
            <w:r>
              <w:t xml:space="preserve">8000, specifically, but not limited to, equipment safety, proper body    </w:t>
            </w:r>
          </w:p>
          <w:p w:rsidR="007D6E39" w:rsidRDefault="007D6E39" w:rsidP="007D6E39">
            <w:r>
              <w:t xml:space="preserve">            mechanics, sharps exposure and proper use of personal protective </w:t>
            </w:r>
          </w:p>
          <w:p w:rsidR="007D6E39" w:rsidRDefault="007D6E39" w:rsidP="007D6E39">
            <w:r>
              <w:t xml:space="preserve">            equipment (PPE).</w:t>
            </w:r>
          </w:p>
          <w:p w:rsidR="007D6E39" w:rsidRDefault="007D6E39" w:rsidP="007D6E39">
            <w:pPr>
              <w:pStyle w:val="ListParagraph"/>
              <w:numPr>
                <w:ilvl w:val="0"/>
                <w:numId w:val="16"/>
              </w:numPr>
            </w:pPr>
            <w:r>
              <w:t>For Universal Body Substance precautions, see LGM 8005, specifically, but not limited to, exposure to body fluids.</w:t>
            </w:r>
          </w:p>
          <w:p w:rsidR="007D6E39" w:rsidRDefault="007D6E39" w:rsidP="007D6E39">
            <w:pPr>
              <w:pStyle w:val="ListParagraph"/>
              <w:numPr>
                <w:ilvl w:val="0"/>
                <w:numId w:val="16"/>
              </w:numPr>
            </w:pPr>
            <w:r>
              <w:t>For proper handwashing, see LGM 8010, specifically, not limited to, proper handwqashing.</w:t>
            </w:r>
          </w:p>
          <w:p w:rsidR="007D6E39" w:rsidRDefault="007D6E39" w:rsidP="007D6E39">
            <w:pPr>
              <w:pStyle w:val="ListParagraph"/>
              <w:numPr>
                <w:ilvl w:val="0"/>
                <w:numId w:val="16"/>
              </w:numPr>
            </w:pPr>
            <w:r>
              <w:t>For proper infection control, see LGM 8004, specifically, but not limited to, proper use of gloves.</w:t>
            </w:r>
          </w:p>
          <w:p w:rsidR="007D6E39" w:rsidRDefault="007D6E39" w:rsidP="007D6E39">
            <w:pPr>
              <w:pStyle w:val="ListParagraph"/>
              <w:numPr>
                <w:ilvl w:val="0"/>
                <w:numId w:val="16"/>
              </w:numPr>
            </w:pPr>
            <w:r>
              <w:t>For proper handling of regular and infectious waste, see LGM 8006, specifically, but not limited to, proper disposal of regular and biohazardous waste.</w:t>
            </w:r>
          </w:p>
          <w:p w:rsidR="007D6E39" w:rsidRDefault="007D6E39" w:rsidP="007D6E39">
            <w:pPr>
              <w:pStyle w:val="ListParagraph"/>
              <w:numPr>
                <w:ilvl w:val="0"/>
                <w:numId w:val="16"/>
              </w:numPr>
            </w:pPr>
            <w:r>
              <w:t>For proper cleaning of work area, see LGM 8007  –  Cleaning Work Areas.</w:t>
            </w:r>
          </w:p>
          <w:p w:rsidR="007D6E39" w:rsidRDefault="007D6E39" w:rsidP="007D6E39">
            <w:pPr>
              <w:pStyle w:val="ListParagraph"/>
              <w:numPr>
                <w:ilvl w:val="0"/>
                <w:numId w:val="16"/>
              </w:numPr>
            </w:pPr>
            <w:r>
              <w:t>For proper handling of chemicals and reagents, see the Chemical Hygiene Plan.</w:t>
            </w:r>
          </w:p>
          <w:p w:rsidR="009451A0" w:rsidRPr="007D6E39" w:rsidRDefault="007D6E39" w:rsidP="007D6E39">
            <w:pPr>
              <w:pStyle w:val="ListParagraph"/>
              <w:numPr>
                <w:ilvl w:val="0"/>
                <w:numId w:val="16"/>
              </w:numPr>
            </w:pPr>
            <w:r>
              <w:t xml:space="preserve">For proper storage and disposal of chemical hazardous waste, see LGM 8012. </w:t>
            </w:r>
          </w:p>
        </w:tc>
      </w:tr>
      <w:tr w:rsidR="007D6E39" w:rsidRPr="00781F79" w:rsidTr="00D32C36">
        <w:trPr>
          <w:cantSplit/>
        </w:trPr>
        <w:tc>
          <w:tcPr>
            <w:tcW w:w="1728" w:type="dxa"/>
          </w:tcPr>
          <w:p w:rsidR="007D6E39" w:rsidRDefault="007D6E39" w:rsidP="00803536">
            <w:pPr>
              <w:pStyle w:val="Heading5"/>
            </w:pPr>
            <w:r>
              <w:t xml:space="preserve"> </w:t>
            </w:r>
          </w:p>
        </w:tc>
        <w:tc>
          <w:tcPr>
            <w:tcW w:w="8010" w:type="dxa"/>
          </w:tcPr>
          <w:p w:rsidR="007D6E39" w:rsidRDefault="007D6E39" w:rsidP="007D6E39"/>
        </w:tc>
      </w:tr>
    </w:tbl>
    <w:p w:rsidR="005A6EE9" w:rsidRDefault="005A6EE9" w:rsidP="005A6EE9">
      <w:pPr>
        <w:pStyle w:val="BlockLine"/>
      </w:pPr>
    </w:p>
    <w:p w:rsidR="00A22497" w:rsidRPr="009D59FC" w:rsidRDefault="007D6E39" w:rsidP="007D6E39">
      <w:pPr>
        <w:rPr>
          <w:b/>
        </w:rPr>
      </w:pPr>
      <w:r w:rsidRPr="007D6E39">
        <w:rPr>
          <w:b/>
        </w:rPr>
        <w:t>Calibration</w:t>
      </w:r>
      <w:r w:rsidR="009D59FC">
        <w:rPr>
          <w:b/>
        </w:rPr>
        <w:t xml:space="preserve">/       </w:t>
      </w:r>
      <w:r w:rsidR="00A22497" w:rsidRPr="00A22497">
        <w:t xml:space="preserve">The kit reagents are pre-calibrated: this calibration is identical for all the reagents </w:t>
      </w:r>
    </w:p>
    <w:p w:rsidR="007D6E39" w:rsidRDefault="009D59FC" w:rsidP="007D6E39">
      <w:r w:rsidRPr="009D59FC">
        <w:rPr>
          <w:b/>
        </w:rPr>
        <w:t>Verification</w:t>
      </w:r>
      <w:r>
        <w:t xml:space="preserve">         </w:t>
      </w:r>
      <w:r w:rsidR="00A22497" w:rsidRPr="00A22497">
        <w:t>of each lot.</w:t>
      </w:r>
    </w:p>
    <w:p w:rsidR="00A22497" w:rsidRDefault="00A22497" w:rsidP="007D6E39"/>
    <w:p w:rsidR="00AA43BD" w:rsidRDefault="00AA43BD" w:rsidP="00AA43BD">
      <w:pPr>
        <w:tabs>
          <w:tab w:val="num" w:pos="1140"/>
        </w:tabs>
        <w:ind w:left="1560"/>
      </w:pPr>
      <w:r>
        <w:t xml:space="preserve">     </w:t>
      </w:r>
      <w:r w:rsidR="00A22497" w:rsidRPr="00A22497">
        <w:t xml:space="preserve">Entering the data for the calibration curve:  </w:t>
      </w:r>
      <w:r w:rsidRPr="00EE6DD2">
        <w:t xml:space="preserve">When the operator scans a new lot of </w:t>
      </w:r>
    </w:p>
    <w:p w:rsidR="00AA43BD" w:rsidRDefault="00AA43BD" w:rsidP="00AA43BD">
      <w:pPr>
        <w:tabs>
          <w:tab w:val="num" w:pos="1140"/>
        </w:tabs>
        <w:ind w:left="1560"/>
      </w:pPr>
      <w:r>
        <w:t xml:space="preserve">     </w:t>
      </w:r>
      <w:r w:rsidRPr="00EE6DD2">
        <w:t xml:space="preserve">fibrinogen reagent, the </w:t>
      </w:r>
      <w:r>
        <w:rPr>
          <w:szCs w:val="24"/>
        </w:rPr>
        <w:t>STA® - Compact®</w:t>
      </w:r>
      <w:r w:rsidRPr="00EE6DD2">
        <w:rPr>
          <w:szCs w:val="24"/>
        </w:rPr>
        <w:t xml:space="preserve"> </w:t>
      </w:r>
      <w:r w:rsidRPr="00EE6DD2">
        <w:t xml:space="preserve">will request the operator to scan the </w:t>
      </w:r>
    </w:p>
    <w:p w:rsidR="00AA43BD" w:rsidRPr="00D13609" w:rsidRDefault="00AA43BD" w:rsidP="00AA43BD">
      <w:pPr>
        <w:autoSpaceDE w:val="0"/>
        <w:autoSpaceDN w:val="0"/>
        <w:adjustRightInd w:val="0"/>
        <w:rPr>
          <w:rFonts w:ascii="Times-Roman" w:hAnsi="Times-Roman" w:cs="Times-Roman"/>
          <w:szCs w:val="24"/>
        </w:rPr>
      </w:pPr>
      <w:r>
        <w:t xml:space="preserve">            </w:t>
      </w:r>
      <w:r>
        <w:tab/>
        <w:t xml:space="preserve">       </w:t>
      </w:r>
      <w:r w:rsidRPr="00EE6DD2">
        <w:t>barcode printed on the barcode insert across the barcode reader.</w:t>
      </w:r>
      <w:r w:rsidRPr="00707762">
        <w:rPr>
          <w:szCs w:val="24"/>
        </w:rPr>
        <w:t xml:space="preserve"> </w:t>
      </w:r>
      <w:r w:rsidRPr="00D13609">
        <w:rPr>
          <w:rFonts w:ascii="Times-Roman" w:hAnsi="Times-Roman" w:cs="Times-Roman"/>
          <w:szCs w:val="24"/>
        </w:rPr>
        <w:t>Validate</w:t>
      </w:r>
    </w:p>
    <w:p w:rsidR="00AA43BD" w:rsidRDefault="00AA43BD" w:rsidP="00AA43BD">
      <w:pPr>
        <w:ind w:left="1440"/>
        <w:rPr>
          <w:rFonts w:ascii="Times-Roman" w:hAnsi="Times-Roman" w:cs="Times-Roman"/>
          <w:szCs w:val="24"/>
        </w:rPr>
      </w:pPr>
      <w:r>
        <w:rPr>
          <w:rFonts w:ascii="Times-Roman" w:hAnsi="Times-Roman" w:cs="Times-Roman"/>
          <w:szCs w:val="24"/>
        </w:rPr>
        <w:t xml:space="preserve">       </w:t>
      </w:r>
      <w:r w:rsidRPr="00D13609">
        <w:rPr>
          <w:rFonts w:ascii="Times-Roman" w:hAnsi="Times-Roman" w:cs="Times-Roman"/>
          <w:szCs w:val="24"/>
        </w:rPr>
        <w:t xml:space="preserve">the reagent volume indicated by the analyzer. Then, place the vial in one of the </w:t>
      </w:r>
    </w:p>
    <w:p w:rsidR="00AA43BD" w:rsidRPr="00D13609" w:rsidRDefault="00AA43BD" w:rsidP="00AA43BD">
      <w:pPr>
        <w:ind w:left="1440"/>
        <w:rPr>
          <w:szCs w:val="24"/>
        </w:rPr>
      </w:pPr>
      <w:r>
        <w:rPr>
          <w:rFonts w:ascii="Times-Roman" w:hAnsi="Times-Roman" w:cs="Times-Roman"/>
          <w:szCs w:val="24"/>
        </w:rPr>
        <w:t xml:space="preserve">       </w:t>
      </w:r>
      <w:r w:rsidRPr="00D13609">
        <w:rPr>
          <w:rFonts w:ascii="Times-Roman" w:hAnsi="Times-Roman" w:cs="Times-Roman"/>
          <w:szCs w:val="24"/>
        </w:rPr>
        <w:t xml:space="preserve">STA Compact® </w:t>
      </w:r>
      <w:r>
        <w:rPr>
          <w:rFonts w:ascii="Times-Roman" w:hAnsi="Times-Roman" w:cs="Times-Roman"/>
          <w:szCs w:val="24"/>
        </w:rPr>
        <w:t>drawers.</w:t>
      </w:r>
    </w:p>
    <w:p w:rsidR="00A22497" w:rsidRDefault="00A22497" w:rsidP="00AA43BD">
      <w:pPr>
        <w:tabs>
          <w:tab w:val="num" w:pos="1138"/>
        </w:tabs>
      </w:pPr>
    </w:p>
    <w:p w:rsidR="0009630B" w:rsidRDefault="0009630B" w:rsidP="00A22497">
      <w:pPr>
        <w:tabs>
          <w:tab w:val="num" w:pos="1138"/>
        </w:tabs>
      </w:pPr>
    </w:p>
    <w:p w:rsidR="0009630B" w:rsidRDefault="0009630B" w:rsidP="00A22497">
      <w:pPr>
        <w:tabs>
          <w:tab w:val="num" w:pos="1138"/>
        </w:tabs>
      </w:pPr>
    </w:p>
    <w:p w:rsidR="0009630B" w:rsidRDefault="0009630B" w:rsidP="00A22497">
      <w:pPr>
        <w:tabs>
          <w:tab w:val="num" w:pos="1138"/>
        </w:tabs>
      </w:pPr>
    </w:p>
    <w:p w:rsidR="0009630B" w:rsidRDefault="0009630B" w:rsidP="00A22497">
      <w:pPr>
        <w:tabs>
          <w:tab w:val="num" w:pos="1138"/>
        </w:tabs>
      </w:pPr>
    </w:p>
    <w:p w:rsidR="0009630B" w:rsidRDefault="0009630B" w:rsidP="00A22497">
      <w:pPr>
        <w:tabs>
          <w:tab w:val="num" w:pos="1138"/>
        </w:tabs>
      </w:pPr>
    </w:p>
    <w:p w:rsidR="0009630B" w:rsidRDefault="0009630B" w:rsidP="00A22497">
      <w:pPr>
        <w:tabs>
          <w:tab w:val="num" w:pos="1138"/>
        </w:tabs>
      </w:pPr>
    </w:p>
    <w:p w:rsidR="0009630B" w:rsidRDefault="0009630B" w:rsidP="00A22497">
      <w:pPr>
        <w:tabs>
          <w:tab w:val="num" w:pos="1138"/>
        </w:tabs>
      </w:pPr>
    </w:p>
    <w:p w:rsidR="0009630B" w:rsidRDefault="0009630B" w:rsidP="0009630B">
      <w:pPr>
        <w:pStyle w:val="ListParagraph"/>
        <w:numPr>
          <w:ilvl w:val="0"/>
          <w:numId w:val="21"/>
        </w:numPr>
        <w:tabs>
          <w:tab w:val="num" w:pos="1138"/>
        </w:tabs>
      </w:pPr>
      <w:r>
        <w:t>Follow the steps below to view the calibration curve.</w:t>
      </w:r>
    </w:p>
    <w:p w:rsidR="0009630B" w:rsidRPr="00A22497" w:rsidRDefault="0009630B" w:rsidP="0009630B">
      <w:pPr>
        <w:tabs>
          <w:tab w:val="num" w:pos="1138"/>
        </w:tabs>
      </w:pPr>
      <w:r>
        <w:tab/>
      </w:r>
      <w:r>
        <w:tab/>
      </w:r>
    </w:p>
    <w:tbl>
      <w:tblPr>
        <w:tblW w:w="0" w:type="auto"/>
        <w:tblInd w:w="1829" w:type="dxa"/>
        <w:tblLayout w:type="fixed"/>
        <w:tblLook w:val="0000" w:firstRow="0" w:lastRow="0" w:firstColumn="0" w:lastColumn="0" w:noHBand="0" w:noVBand="0"/>
      </w:tblPr>
      <w:tblGrid>
        <w:gridCol w:w="878"/>
        <w:gridCol w:w="6670"/>
      </w:tblGrid>
      <w:tr w:rsidR="0009630B" w:rsidRPr="0009630B" w:rsidTr="001A0C01">
        <w:trPr>
          <w:cantSplit/>
        </w:trPr>
        <w:tc>
          <w:tcPr>
            <w:tcW w:w="878" w:type="dxa"/>
            <w:tcBorders>
              <w:top w:val="single" w:sz="6" w:space="0" w:color="auto"/>
              <w:left w:val="single" w:sz="6" w:space="0" w:color="auto"/>
              <w:bottom w:val="single" w:sz="6" w:space="0" w:color="auto"/>
              <w:right w:val="single" w:sz="6" w:space="0" w:color="auto"/>
            </w:tcBorders>
          </w:tcPr>
          <w:p w:rsidR="0009630B" w:rsidRPr="0009630B" w:rsidRDefault="0009630B" w:rsidP="0009630B">
            <w:pPr>
              <w:jc w:val="center"/>
            </w:pPr>
            <w:r w:rsidRPr="0009630B">
              <w:t>1</w:t>
            </w:r>
          </w:p>
        </w:tc>
        <w:tc>
          <w:tcPr>
            <w:tcW w:w="6670" w:type="dxa"/>
            <w:tcBorders>
              <w:top w:val="single" w:sz="6" w:space="0" w:color="auto"/>
              <w:bottom w:val="single" w:sz="6" w:space="0" w:color="auto"/>
              <w:right w:val="single" w:sz="6" w:space="0" w:color="auto"/>
            </w:tcBorders>
          </w:tcPr>
          <w:p w:rsidR="0009630B" w:rsidRPr="0009630B" w:rsidRDefault="00AA43BD" w:rsidP="0009630B">
            <w:pPr>
              <w:tabs>
                <w:tab w:val="left" w:pos="0"/>
              </w:tabs>
            </w:pPr>
            <w:r>
              <w:t xml:space="preserve">Through MAIN MENU under CALIB/CONTROL select CALIBRATION and press </w:t>
            </w:r>
            <w:r>
              <w:rPr>
                <w:b/>
              </w:rPr>
              <w:t>Enter</w:t>
            </w:r>
            <w:r>
              <w:rPr>
                <w:bCs/>
              </w:rPr>
              <w:t xml:space="preserve"> </w:t>
            </w:r>
            <w:r>
              <w:rPr>
                <w:b/>
                <w:sz w:val="28"/>
              </w:rPr>
              <w:sym w:font="Wingdings 3" w:char="F038"/>
            </w:r>
            <w:r>
              <w:t xml:space="preserve">.  </w:t>
            </w:r>
          </w:p>
        </w:tc>
      </w:tr>
      <w:tr w:rsidR="00AA43BD" w:rsidRPr="0009630B" w:rsidTr="001A0C01">
        <w:trPr>
          <w:cantSplit/>
        </w:trPr>
        <w:tc>
          <w:tcPr>
            <w:tcW w:w="878" w:type="dxa"/>
            <w:tcBorders>
              <w:top w:val="single" w:sz="6" w:space="0" w:color="auto"/>
              <w:left w:val="single" w:sz="6" w:space="0" w:color="auto"/>
              <w:bottom w:val="single" w:sz="6" w:space="0" w:color="auto"/>
              <w:right w:val="single" w:sz="6" w:space="0" w:color="auto"/>
            </w:tcBorders>
          </w:tcPr>
          <w:p w:rsidR="00AA43BD" w:rsidRPr="0009630B" w:rsidRDefault="00AA43BD" w:rsidP="00AA43BD">
            <w:pPr>
              <w:jc w:val="center"/>
            </w:pPr>
            <w:r w:rsidRPr="0009630B">
              <w:t>2</w:t>
            </w:r>
          </w:p>
        </w:tc>
        <w:tc>
          <w:tcPr>
            <w:tcW w:w="6670" w:type="dxa"/>
            <w:tcBorders>
              <w:top w:val="single" w:sz="6" w:space="0" w:color="auto"/>
              <w:bottom w:val="single" w:sz="6" w:space="0" w:color="auto"/>
              <w:right w:val="single" w:sz="6" w:space="0" w:color="auto"/>
            </w:tcBorders>
          </w:tcPr>
          <w:p w:rsidR="00AA43BD" w:rsidRPr="00707762" w:rsidRDefault="00AA43BD" w:rsidP="00AA43BD">
            <w:pPr>
              <w:rPr>
                <w:szCs w:val="24"/>
              </w:rPr>
            </w:pPr>
            <w:r w:rsidRPr="00D9253B">
              <w:t xml:space="preserve">Move cursor to the </w:t>
            </w:r>
            <w:r w:rsidR="00153BF4">
              <w:rPr>
                <w:b/>
              </w:rPr>
              <w:t>D-DI</w:t>
            </w:r>
            <w:r>
              <w:rPr>
                <w:b/>
              </w:rPr>
              <w:t xml:space="preserve"> </w:t>
            </w:r>
            <w:r>
              <w:t xml:space="preserve">press </w:t>
            </w:r>
            <w:r>
              <w:rPr>
                <w:b/>
              </w:rPr>
              <w:t>Enter</w:t>
            </w:r>
            <w:r>
              <w:rPr>
                <w:bCs/>
              </w:rPr>
              <w:t xml:space="preserve"> </w:t>
            </w:r>
            <w:r>
              <w:rPr>
                <w:b/>
                <w:sz w:val="28"/>
              </w:rPr>
              <w:sym w:font="Wingdings 3" w:char="F038"/>
            </w:r>
            <w:r>
              <w:t xml:space="preserve">   </w:t>
            </w:r>
          </w:p>
        </w:tc>
      </w:tr>
      <w:tr w:rsidR="00AA43BD" w:rsidRPr="0009630B" w:rsidTr="001A0C01">
        <w:trPr>
          <w:cantSplit/>
        </w:trPr>
        <w:tc>
          <w:tcPr>
            <w:tcW w:w="878" w:type="dxa"/>
            <w:tcBorders>
              <w:top w:val="single" w:sz="6" w:space="0" w:color="auto"/>
              <w:left w:val="single" w:sz="6" w:space="0" w:color="auto"/>
              <w:bottom w:val="single" w:sz="6" w:space="0" w:color="auto"/>
              <w:right w:val="single" w:sz="6" w:space="0" w:color="auto"/>
            </w:tcBorders>
          </w:tcPr>
          <w:p w:rsidR="00AA43BD" w:rsidRPr="0009630B" w:rsidRDefault="00AA43BD" w:rsidP="00AA43BD">
            <w:pPr>
              <w:jc w:val="center"/>
            </w:pPr>
            <w:r w:rsidRPr="0009630B">
              <w:t>3</w:t>
            </w:r>
          </w:p>
        </w:tc>
        <w:tc>
          <w:tcPr>
            <w:tcW w:w="6670" w:type="dxa"/>
            <w:tcBorders>
              <w:top w:val="single" w:sz="6" w:space="0" w:color="auto"/>
              <w:bottom w:val="single" w:sz="6" w:space="0" w:color="auto"/>
              <w:right w:val="single" w:sz="6" w:space="0" w:color="auto"/>
            </w:tcBorders>
          </w:tcPr>
          <w:p w:rsidR="00AA43BD" w:rsidRPr="00442129" w:rsidRDefault="00AA43BD" w:rsidP="00AA43BD">
            <w:pPr>
              <w:rPr>
                <w:bCs/>
                <w:sz w:val="22"/>
              </w:rPr>
            </w:pPr>
            <w:r>
              <w:t xml:space="preserve">Press </w:t>
            </w:r>
            <w:r w:rsidRPr="00586D44">
              <w:rPr>
                <w:b/>
              </w:rPr>
              <w:t>ESC</w:t>
            </w:r>
            <w:r>
              <w:rPr>
                <w:b/>
              </w:rPr>
              <w:t xml:space="preserve"> </w:t>
            </w:r>
            <w:r>
              <w:t>to display the Calibration curve.</w:t>
            </w:r>
          </w:p>
        </w:tc>
      </w:tr>
    </w:tbl>
    <w:p w:rsidR="0009630B" w:rsidRDefault="0009630B" w:rsidP="0009630B">
      <w:pPr>
        <w:tabs>
          <w:tab w:val="num" w:pos="1138"/>
        </w:tabs>
      </w:pPr>
    </w:p>
    <w:p w:rsidR="0009630B" w:rsidRDefault="0009630B" w:rsidP="0009630B">
      <w:pPr>
        <w:tabs>
          <w:tab w:val="num" w:pos="1138"/>
        </w:tabs>
      </w:pPr>
      <w:r>
        <w:tab/>
      </w:r>
      <w:r>
        <w:tab/>
        <w:t xml:space="preserve">      </w:t>
      </w:r>
      <w:r w:rsidRPr="0009630B">
        <w:t xml:space="preserve">The calibration curve will be validated for the lot being used once the two Liatest </w:t>
      </w:r>
    </w:p>
    <w:p w:rsidR="0009630B" w:rsidRDefault="0009630B" w:rsidP="0009630B">
      <w:pPr>
        <w:tabs>
          <w:tab w:val="num" w:pos="1138"/>
        </w:tabs>
      </w:pPr>
      <w:r>
        <w:t xml:space="preserve">                              </w:t>
      </w:r>
      <w:r w:rsidRPr="0009630B">
        <w:t xml:space="preserve">D-Dimer controls have been run.  If the validation controls are outside the </w:t>
      </w:r>
    </w:p>
    <w:p w:rsidR="0009630B" w:rsidRDefault="0009630B" w:rsidP="0009630B">
      <w:pPr>
        <w:tabs>
          <w:tab w:val="num" w:pos="1138"/>
        </w:tabs>
      </w:pPr>
      <w:r>
        <w:t xml:space="preserve">                              </w:t>
      </w:r>
      <w:r w:rsidRPr="0009630B">
        <w:t xml:space="preserve">assayed range, The </w:t>
      </w:r>
      <w:r w:rsidRPr="0009630B">
        <w:rPr>
          <w:szCs w:val="24"/>
        </w:rPr>
        <w:t>STA–R</w:t>
      </w:r>
      <w:r w:rsidRPr="0009630B">
        <w:rPr>
          <w:szCs w:val="24"/>
          <w:vertAlign w:val="superscript"/>
        </w:rPr>
        <w:t>®</w:t>
      </w:r>
      <w:r w:rsidRPr="0009630B">
        <w:rPr>
          <w:szCs w:val="24"/>
        </w:rPr>
        <w:t>/</w:t>
      </w:r>
      <w:r w:rsidR="00AA43BD">
        <w:rPr>
          <w:szCs w:val="24"/>
        </w:rPr>
        <w:t>STA® - Compact®</w:t>
      </w:r>
      <w:r w:rsidRPr="0009630B">
        <w:rPr>
          <w:szCs w:val="24"/>
        </w:rPr>
        <w:t xml:space="preserve"> </w:t>
      </w:r>
      <w:r w:rsidRPr="0009630B">
        <w:t>will not run patient samples.</w:t>
      </w:r>
    </w:p>
    <w:p w:rsidR="009D59FC" w:rsidRDefault="009D59FC" w:rsidP="0009630B">
      <w:pPr>
        <w:tabs>
          <w:tab w:val="num" w:pos="1138"/>
        </w:tabs>
      </w:pPr>
    </w:p>
    <w:p w:rsidR="009D59FC" w:rsidRPr="009D59FC" w:rsidRDefault="009D59FC" w:rsidP="0009630B">
      <w:pPr>
        <w:tabs>
          <w:tab w:val="num" w:pos="1138"/>
        </w:tabs>
        <w:rPr>
          <w:szCs w:val="24"/>
        </w:rPr>
      </w:pPr>
      <w:r>
        <w:t xml:space="preserve">                             Refer to LCoM 416 </w:t>
      </w:r>
      <w:r w:rsidR="00AA43BD">
        <w:rPr>
          <w:szCs w:val="24"/>
        </w:rPr>
        <w:t>STA® - Compact®</w:t>
      </w:r>
      <w:r>
        <w:rPr>
          <w:szCs w:val="24"/>
          <w:vertAlign w:val="superscript"/>
        </w:rPr>
        <w:t xml:space="preserve">  </w:t>
      </w:r>
      <w:r>
        <w:rPr>
          <w:szCs w:val="24"/>
        </w:rPr>
        <w:t>Calibration/Verification</w:t>
      </w:r>
    </w:p>
    <w:p w:rsidR="005A6EE9" w:rsidRDefault="005A6EE9" w:rsidP="005A6EE9">
      <w:pPr>
        <w:pStyle w:val="BlockLine"/>
      </w:pPr>
    </w:p>
    <w:tbl>
      <w:tblPr>
        <w:tblpPr w:leftFromText="180" w:rightFromText="180" w:vertAnchor="text" w:tblpY="1"/>
        <w:tblOverlap w:val="never"/>
        <w:tblW w:w="0" w:type="auto"/>
        <w:tblLayout w:type="fixed"/>
        <w:tblLook w:val="0000" w:firstRow="0" w:lastRow="0" w:firstColumn="0" w:lastColumn="0" w:noHBand="0" w:noVBand="0"/>
      </w:tblPr>
      <w:tblGrid>
        <w:gridCol w:w="1728"/>
      </w:tblGrid>
      <w:tr w:rsidR="00BD2A18" w:rsidRPr="006A107B" w:rsidTr="00BD2A18">
        <w:trPr>
          <w:cantSplit/>
        </w:trPr>
        <w:tc>
          <w:tcPr>
            <w:tcW w:w="1728" w:type="dxa"/>
          </w:tcPr>
          <w:p w:rsidR="00BD2A18" w:rsidRDefault="00BD2A18" w:rsidP="00BD2A18">
            <w:pPr>
              <w:pStyle w:val="Heading5"/>
            </w:pPr>
            <w:r>
              <w:t xml:space="preserve">Quality </w:t>
            </w:r>
          </w:p>
          <w:p w:rsidR="00BD2A18" w:rsidRPr="006A107B" w:rsidRDefault="00BD2A18" w:rsidP="00BD2A18">
            <w:pPr>
              <w:pStyle w:val="Heading5"/>
            </w:pPr>
            <w:r>
              <w:t>Control</w:t>
            </w:r>
          </w:p>
        </w:tc>
      </w:tr>
    </w:tbl>
    <w:p w:rsidR="0009630B" w:rsidRPr="0009630B" w:rsidRDefault="0009630B" w:rsidP="0009630B">
      <w:pPr>
        <w:ind w:left="1440"/>
      </w:pPr>
      <w:r>
        <w:t>D-Dimer</w:t>
      </w:r>
      <w:r w:rsidR="00BD2A18" w:rsidRPr="00BD2A18">
        <w:t xml:space="preserve"> Controls must be ran at least once per shift using the</w:t>
      </w:r>
      <w:r w:rsidR="00BD2A18">
        <w:rPr>
          <w:b/>
        </w:rPr>
        <w:t xml:space="preserve"> </w:t>
      </w:r>
      <w:r w:rsidRPr="0009630B">
        <w:rPr>
          <w:szCs w:val="24"/>
        </w:rPr>
        <w:t>STA</w:t>
      </w:r>
      <w:r w:rsidRPr="0009630B">
        <w:rPr>
          <w:szCs w:val="24"/>
          <w:vertAlign w:val="superscript"/>
        </w:rPr>
        <w:t>®</w:t>
      </w:r>
      <w:r w:rsidRPr="0009630B">
        <w:rPr>
          <w:sz w:val="22"/>
        </w:rPr>
        <w:t xml:space="preserve"> </w:t>
      </w:r>
      <w:r w:rsidRPr="0009630B">
        <w:rPr>
          <w:szCs w:val="24"/>
        </w:rPr>
        <w:t>Liatest</w:t>
      </w:r>
      <w:r w:rsidRPr="0009630B">
        <w:rPr>
          <w:szCs w:val="24"/>
          <w:vertAlign w:val="superscript"/>
        </w:rPr>
        <w:t>®</w:t>
      </w:r>
      <w:r w:rsidRPr="0009630B">
        <w:rPr>
          <w:szCs w:val="24"/>
        </w:rPr>
        <w:t xml:space="preserve"> Control</w:t>
      </w:r>
      <w:r w:rsidR="00873093" w:rsidRPr="0009630B">
        <w:t>.</w:t>
      </w:r>
      <w:r w:rsidR="00873093">
        <w:t xml:space="preserve">  </w:t>
      </w:r>
      <w:r w:rsidR="00873093" w:rsidRPr="0009630B">
        <w:t xml:space="preserve">When Quality Control </w:t>
      </w:r>
      <w:r w:rsidRPr="0009630B">
        <w:t xml:space="preserve">tolerance limits are </w:t>
      </w:r>
      <w:r w:rsidR="00BB1DD4" w:rsidRPr="0009630B">
        <w:t>e</w:t>
      </w:r>
      <w:r w:rsidR="00BD2A18" w:rsidRPr="0009630B">
        <w:t>xceeded</w:t>
      </w:r>
      <w:r w:rsidR="00873093" w:rsidRPr="0009630B">
        <w:t xml:space="preserve"> based on the QC</w:t>
      </w:r>
    </w:p>
    <w:p w:rsidR="0009630B" w:rsidRPr="0009630B" w:rsidRDefault="0009630B" w:rsidP="0009630B">
      <w:pPr>
        <w:ind w:left="1440"/>
      </w:pPr>
      <w:r w:rsidRPr="0009630B">
        <w:t xml:space="preserve">     </w:t>
      </w:r>
      <w:r w:rsidR="00873093" w:rsidRPr="0009630B">
        <w:t xml:space="preserve"> criteria defined in LGM 2022 Qulaity Control (QC)</w:t>
      </w:r>
      <w:r w:rsidRPr="0009630B">
        <w:t xml:space="preserve"> </w:t>
      </w:r>
      <w:r w:rsidR="00873093" w:rsidRPr="0009630B">
        <w:t>Policy</w:t>
      </w:r>
      <w:r w:rsidR="00BD2A18" w:rsidRPr="0009630B">
        <w:t xml:space="preserve">, corrective action </w:t>
      </w:r>
    </w:p>
    <w:p w:rsidR="00BD2A18" w:rsidRPr="0009630B" w:rsidRDefault="0009630B" w:rsidP="0009630B">
      <w:pPr>
        <w:ind w:left="1440"/>
      </w:pPr>
      <w:r w:rsidRPr="0009630B">
        <w:t xml:space="preserve">      </w:t>
      </w:r>
      <w:r w:rsidR="00BD2A18" w:rsidRPr="0009630B">
        <w:t xml:space="preserve">must be taken and documented before analyzing </w:t>
      </w:r>
    </w:p>
    <w:p w:rsidR="00C528EA" w:rsidRPr="00873093" w:rsidRDefault="00BD2A18" w:rsidP="00BD2A18">
      <w:pPr>
        <w:ind w:left="1440"/>
        <w:rPr>
          <w:color w:val="00B050"/>
        </w:rPr>
      </w:pPr>
      <w:r w:rsidRPr="0009630B">
        <w:t xml:space="preserve">      patient samples</w:t>
      </w:r>
      <w:r w:rsidR="00873093" w:rsidRPr="0009630B">
        <w:t>.</w:t>
      </w:r>
      <w:r w:rsidR="00C528EA" w:rsidRPr="00873093">
        <w:rPr>
          <w:color w:val="00B050"/>
        </w:rPr>
        <w:tab/>
      </w:r>
      <w:r w:rsidR="00C528EA" w:rsidRPr="00873093">
        <w:rPr>
          <w:color w:val="00B050"/>
        </w:rPr>
        <w:tab/>
      </w:r>
      <w:r w:rsidR="00C528EA" w:rsidRPr="00873093">
        <w:rPr>
          <w:color w:val="00B050"/>
        </w:rPr>
        <w:tab/>
        <w:t xml:space="preserve">  </w:t>
      </w:r>
    </w:p>
    <w:p w:rsidR="00C528EA" w:rsidRPr="00C528EA" w:rsidRDefault="00C528EA" w:rsidP="00C528EA"/>
    <w:tbl>
      <w:tblPr>
        <w:tblW w:w="0" w:type="auto"/>
        <w:tblLayout w:type="fixed"/>
        <w:tblLook w:val="0000" w:firstRow="0" w:lastRow="0" w:firstColumn="0" w:lastColumn="0" w:noHBand="0" w:noVBand="0"/>
      </w:tblPr>
      <w:tblGrid>
        <w:gridCol w:w="1728"/>
        <w:gridCol w:w="101"/>
        <w:gridCol w:w="878"/>
        <w:gridCol w:w="6670"/>
        <w:gridCol w:w="361"/>
      </w:tblGrid>
      <w:tr w:rsidR="005A6EE9" w:rsidRPr="00781F79" w:rsidTr="007902C0">
        <w:trPr>
          <w:cantSplit/>
          <w:trHeight w:val="2340"/>
        </w:trPr>
        <w:tc>
          <w:tcPr>
            <w:tcW w:w="1728" w:type="dxa"/>
          </w:tcPr>
          <w:p w:rsidR="005A6EE9" w:rsidRPr="006A107B" w:rsidRDefault="005A6EE9" w:rsidP="00803536">
            <w:pPr>
              <w:pStyle w:val="Heading5"/>
            </w:pPr>
          </w:p>
        </w:tc>
        <w:tc>
          <w:tcPr>
            <w:tcW w:w="8010" w:type="dxa"/>
            <w:gridSpan w:val="4"/>
          </w:tcPr>
          <w:tbl>
            <w:tblPr>
              <w:tblStyle w:val="TableGrid"/>
              <w:tblW w:w="0" w:type="auto"/>
              <w:tblLayout w:type="fixed"/>
              <w:tblLook w:val="04A0" w:firstRow="1" w:lastRow="0" w:firstColumn="1" w:lastColumn="0" w:noHBand="0" w:noVBand="1"/>
            </w:tblPr>
            <w:tblGrid>
              <w:gridCol w:w="2593"/>
              <w:gridCol w:w="2593"/>
              <w:gridCol w:w="2593"/>
            </w:tblGrid>
            <w:tr w:rsidR="00965FC6" w:rsidTr="00567792">
              <w:tc>
                <w:tcPr>
                  <w:tcW w:w="2593" w:type="dxa"/>
                  <w:tcBorders>
                    <w:top w:val="single" w:sz="4" w:space="0" w:color="auto"/>
                    <w:left w:val="single" w:sz="4" w:space="0" w:color="auto"/>
                    <w:bottom w:val="single" w:sz="4" w:space="0" w:color="auto"/>
                    <w:right w:val="single" w:sz="4" w:space="0" w:color="auto"/>
                  </w:tcBorders>
                </w:tcPr>
                <w:p w:rsidR="00965FC6" w:rsidRPr="009451A0" w:rsidRDefault="00BD2A18" w:rsidP="00965FC6">
                  <w:pPr>
                    <w:jc w:val="center"/>
                    <w:rPr>
                      <w:b/>
                      <w:szCs w:val="24"/>
                    </w:rPr>
                  </w:pPr>
                  <w:r>
                    <w:rPr>
                      <w:b/>
                      <w:szCs w:val="24"/>
                    </w:rPr>
                    <w:t>Controls</w:t>
                  </w:r>
                </w:p>
              </w:tc>
              <w:tc>
                <w:tcPr>
                  <w:tcW w:w="2593" w:type="dxa"/>
                  <w:tcBorders>
                    <w:top w:val="single" w:sz="4" w:space="0" w:color="auto"/>
                    <w:left w:val="single" w:sz="4" w:space="0" w:color="auto"/>
                    <w:bottom w:val="single" w:sz="4" w:space="0" w:color="auto"/>
                    <w:right w:val="single" w:sz="4" w:space="0" w:color="auto"/>
                  </w:tcBorders>
                </w:tcPr>
                <w:p w:rsidR="00965FC6" w:rsidRPr="009451A0" w:rsidRDefault="00965FC6" w:rsidP="00965FC6">
                  <w:pPr>
                    <w:jc w:val="center"/>
                    <w:rPr>
                      <w:b/>
                      <w:szCs w:val="24"/>
                    </w:rPr>
                  </w:pPr>
                  <w:r>
                    <w:rPr>
                      <w:b/>
                      <w:szCs w:val="24"/>
                    </w:rPr>
                    <w:t>Preparation</w:t>
                  </w:r>
                </w:p>
              </w:tc>
              <w:tc>
                <w:tcPr>
                  <w:tcW w:w="2593" w:type="dxa"/>
                  <w:tcBorders>
                    <w:top w:val="single" w:sz="4" w:space="0" w:color="auto"/>
                    <w:left w:val="single" w:sz="4" w:space="0" w:color="auto"/>
                    <w:bottom w:val="single" w:sz="4" w:space="0" w:color="auto"/>
                    <w:right w:val="single" w:sz="4" w:space="0" w:color="auto"/>
                  </w:tcBorders>
                </w:tcPr>
                <w:p w:rsidR="00965FC6" w:rsidRPr="009451A0" w:rsidRDefault="00965FC6" w:rsidP="00965FC6">
                  <w:pPr>
                    <w:jc w:val="center"/>
                    <w:rPr>
                      <w:b/>
                      <w:szCs w:val="24"/>
                    </w:rPr>
                  </w:pPr>
                  <w:r>
                    <w:rPr>
                      <w:b/>
                      <w:szCs w:val="24"/>
                    </w:rPr>
                    <w:t>Stability</w:t>
                  </w:r>
                </w:p>
              </w:tc>
            </w:tr>
            <w:tr w:rsidR="00965FC6" w:rsidTr="00965FC6">
              <w:tc>
                <w:tcPr>
                  <w:tcW w:w="2593" w:type="dxa"/>
                </w:tcPr>
                <w:p w:rsidR="00965FC6" w:rsidRPr="0009630B" w:rsidRDefault="0009630B" w:rsidP="00965FC6">
                  <w:pPr>
                    <w:rPr>
                      <w:szCs w:val="24"/>
                    </w:rPr>
                  </w:pPr>
                  <w:r w:rsidRPr="0009630B">
                    <w:rPr>
                      <w:szCs w:val="24"/>
                    </w:rPr>
                    <w:t>STA</w:t>
                  </w:r>
                  <w:r w:rsidRPr="0009630B">
                    <w:rPr>
                      <w:szCs w:val="24"/>
                      <w:vertAlign w:val="superscript"/>
                    </w:rPr>
                    <w:t>®</w:t>
                  </w:r>
                  <w:r w:rsidRPr="0009630B">
                    <w:rPr>
                      <w:sz w:val="22"/>
                    </w:rPr>
                    <w:t xml:space="preserve"> </w:t>
                  </w:r>
                  <w:r w:rsidRPr="0009630B">
                    <w:rPr>
                      <w:szCs w:val="24"/>
                    </w:rPr>
                    <w:t>Liatest</w:t>
                  </w:r>
                  <w:r w:rsidRPr="0009630B">
                    <w:rPr>
                      <w:szCs w:val="24"/>
                      <w:vertAlign w:val="superscript"/>
                    </w:rPr>
                    <w:t>®</w:t>
                  </w:r>
                  <w:r w:rsidRPr="0009630B">
                    <w:rPr>
                      <w:szCs w:val="24"/>
                    </w:rPr>
                    <w:t xml:space="preserve"> Control N+P</w:t>
                  </w:r>
                </w:p>
              </w:tc>
              <w:tc>
                <w:tcPr>
                  <w:tcW w:w="2593" w:type="dxa"/>
                </w:tcPr>
                <w:p w:rsidR="00965FC6" w:rsidRDefault="00965FC6" w:rsidP="00965FC6">
                  <w:pPr>
                    <w:rPr>
                      <w:szCs w:val="24"/>
                    </w:rPr>
                  </w:pPr>
                  <w:r>
                    <w:t xml:space="preserve">Reconstitute each vial with 1.0 ml reagent grade water.  Let sit 30 minutes at room temperature.  Swirl gently.  </w:t>
                  </w:r>
                  <w:r w:rsidR="0072737B" w:rsidRPr="0009630B">
                    <w:t>Write the date and initial on the vial</w:t>
                  </w:r>
                  <w:r w:rsidR="007B70A1" w:rsidRPr="0009630B">
                    <w:t xml:space="preserve"> after reconstitution</w:t>
                  </w:r>
                  <w:r w:rsidR="0072737B" w:rsidRPr="0009630B">
                    <w:t>.</w:t>
                  </w:r>
                </w:p>
              </w:tc>
              <w:tc>
                <w:tcPr>
                  <w:tcW w:w="2593" w:type="dxa"/>
                </w:tcPr>
                <w:p w:rsidR="00965FC6" w:rsidRDefault="00965FC6" w:rsidP="00965FC6">
                  <w:pPr>
                    <w:tabs>
                      <w:tab w:val="left" w:pos="0"/>
                    </w:tabs>
                  </w:pPr>
                  <w:r>
                    <w:t xml:space="preserve">Reconstituted stability on the </w:t>
                  </w:r>
                  <w:r w:rsidR="00AA43BD">
                    <w:rPr>
                      <w:szCs w:val="24"/>
                    </w:rPr>
                    <w:t>STA® - Compact®</w:t>
                  </w:r>
                  <w:r>
                    <w:rPr>
                      <w:vertAlign w:val="superscript"/>
                    </w:rPr>
                    <w:t xml:space="preserve"> </w:t>
                  </w:r>
                  <w:r>
                    <w:t>is 8 hours.</w:t>
                  </w:r>
                </w:p>
                <w:p w:rsidR="00965FC6" w:rsidRDefault="00965FC6" w:rsidP="00965FC6">
                  <w:pPr>
                    <w:rPr>
                      <w:szCs w:val="24"/>
                    </w:rPr>
                  </w:pPr>
                </w:p>
              </w:tc>
            </w:tr>
          </w:tbl>
          <w:p w:rsidR="005A6EE9" w:rsidRPr="00781F79" w:rsidRDefault="005A6EE9" w:rsidP="00803536">
            <w:pPr>
              <w:rPr>
                <w:szCs w:val="24"/>
              </w:rPr>
            </w:pPr>
          </w:p>
        </w:tc>
      </w:tr>
      <w:tr w:rsidR="005A6EE9" w:rsidRPr="00781F79" w:rsidTr="00FE18DC">
        <w:trPr>
          <w:cantSplit/>
        </w:trPr>
        <w:tc>
          <w:tcPr>
            <w:tcW w:w="1728" w:type="dxa"/>
          </w:tcPr>
          <w:p w:rsidR="00FE18DC" w:rsidRPr="00FE18DC" w:rsidRDefault="00FE18DC" w:rsidP="00FE18DC"/>
        </w:tc>
        <w:tc>
          <w:tcPr>
            <w:tcW w:w="8010" w:type="dxa"/>
            <w:gridSpan w:val="4"/>
          </w:tcPr>
          <w:p w:rsidR="007902C0" w:rsidRDefault="007902C0" w:rsidP="007902C0">
            <w:pPr>
              <w:pStyle w:val="ListParagraph"/>
              <w:ind w:left="1267"/>
            </w:pPr>
          </w:p>
          <w:p w:rsidR="00E27D7F" w:rsidRPr="00FE18DC" w:rsidRDefault="00E27D7F" w:rsidP="007902C0">
            <w:pPr>
              <w:pStyle w:val="ListParagraph"/>
              <w:numPr>
                <w:ilvl w:val="0"/>
                <w:numId w:val="24"/>
              </w:numPr>
            </w:pPr>
            <w:r>
              <w:t>Follow the ste</w:t>
            </w:r>
            <w:r w:rsidR="0009630B">
              <w:t>ps below to run D-Dimer Quality Control</w:t>
            </w:r>
          </w:p>
          <w:p w:rsidR="005A6EE9" w:rsidRPr="00781F79" w:rsidRDefault="005A6EE9" w:rsidP="00803536">
            <w:pPr>
              <w:rPr>
                <w:szCs w:val="24"/>
              </w:rPr>
            </w:pPr>
          </w:p>
        </w:tc>
      </w:tr>
      <w:tr w:rsidR="00AA43BD"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AA43BD" w:rsidRDefault="00AA43BD" w:rsidP="00AA43BD">
            <w:pPr>
              <w:pStyle w:val="TableHeaderText"/>
            </w:pPr>
            <w:r>
              <w:t>1</w:t>
            </w:r>
          </w:p>
        </w:tc>
        <w:tc>
          <w:tcPr>
            <w:tcW w:w="6670" w:type="dxa"/>
            <w:tcBorders>
              <w:top w:val="single" w:sz="6" w:space="0" w:color="auto"/>
              <w:bottom w:val="single" w:sz="6" w:space="0" w:color="auto"/>
              <w:right w:val="single" w:sz="6" w:space="0" w:color="auto"/>
            </w:tcBorders>
          </w:tcPr>
          <w:p w:rsidR="00AA43BD" w:rsidRPr="007E251B" w:rsidRDefault="00AA43BD" w:rsidP="00AA43BD">
            <w:pPr>
              <w:tabs>
                <w:tab w:val="left" w:pos="1710"/>
              </w:tabs>
            </w:pPr>
            <w:r>
              <w:t xml:space="preserve">Through MAIN MENU under CALIB/CONTROL select QUALITY CONTROL and press </w:t>
            </w:r>
            <w:r>
              <w:rPr>
                <w:b/>
              </w:rPr>
              <w:t>Enter</w:t>
            </w:r>
            <w:r>
              <w:rPr>
                <w:bCs/>
              </w:rPr>
              <w:t xml:space="preserve"> </w:t>
            </w:r>
            <w:r>
              <w:rPr>
                <w:b/>
                <w:sz w:val="28"/>
              </w:rPr>
              <w:sym w:font="Wingdings 3" w:char="F038"/>
            </w:r>
            <w:r>
              <w:t xml:space="preserve">.  </w:t>
            </w:r>
          </w:p>
        </w:tc>
      </w:tr>
      <w:tr w:rsidR="00AA43BD" w:rsidRPr="007E251B"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AA43BD" w:rsidRPr="00AA43BD" w:rsidRDefault="00AA43BD" w:rsidP="00AA43BD">
            <w:pPr>
              <w:pStyle w:val="TableText"/>
              <w:jc w:val="center"/>
              <w:rPr>
                <w:b/>
              </w:rPr>
            </w:pPr>
            <w:r w:rsidRPr="00AA43BD">
              <w:rPr>
                <w:b/>
              </w:rPr>
              <w:t>2</w:t>
            </w:r>
          </w:p>
        </w:tc>
        <w:tc>
          <w:tcPr>
            <w:tcW w:w="6670" w:type="dxa"/>
            <w:tcBorders>
              <w:top w:val="single" w:sz="6" w:space="0" w:color="auto"/>
              <w:bottom w:val="single" w:sz="6" w:space="0" w:color="auto"/>
              <w:right w:val="single" w:sz="6" w:space="0" w:color="auto"/>
            </w:tcBorders>
          </w:tcPr>
          <w:p w:rsidR="00AA43BD" w:rsidRDefault="00AA43BD" w:rsidP="00AA43BD">
            <w:r w:rsidRPr="00D9253B">
              <w:t xml:space="preserve">Move cursor to the </w:t>
            </w:r>
            <w:r>
              <w:rPr>
                <w:b/>
              </w:rPr>
              <w:t>D</w:t>
            </w:r>
            <w:r w:rsidR="00153BF4">
              <w:rPr>
                <w:b/>
              </w:rPr>
              <w:t>-</w:t>
            </w:r>
            <w:r>
              <w:rPr>
                <w:b/>
              </w:rPr>
              <w:t>DI</w:t>
            </w:r>
            <w:r w:rsidRPr="00D9253B">
              <w:t xml:space="preserve"> test.  Select </w:t>
            </w:r>
            <w:r>
              <w:rPr>
                <w:b/>
              </w:rPr>
              <w:t>D</w:t>
            </w:r>
            <w:r w:rsidR="007167DB">
              <w:rPr>
                <w:b/>
              </w:rPr>
              <w:t>-</w:t>
            </w:r>
            <w:r>
              <w:rPr>
                <w:b/>
              </w:rPr>
              <w:t>DI</w:t>
            </w:r>
            <w:r w:rsidRPr="00D9253B">
              <w:t xml:space="preserve"> by pressing </w:t>
            </w:r>
            <w:r w:rsidRPr="00D9253B">
              <w:rPr>
                <w:b/>
              </w:rPr>
              <w:t>F1</w:t>
            </w:r>
            <w:r w:rsidRPr="00D9253B">
              <w:t xml:space="preserve"> and then </w:t>
            </w:r>
            <w:r w:rsidRPr="00D9253B">
              <w:rPr>
                <w:b/>
              </w:rPr>
              <w:t>F10</w:t>
            </w:r>
            <w:r>
              <w:t xml:space="preserve">.  </w:t>
            </w:r>
            <w:r w:rsidRPr="00D9253B">
              <w:t>Type in the Access Code</w:t>
            </w:r>
            <w:r>
              <w:t xml:space="preserve"> and press </w:t>
            </w:r>
            <w:r>
              <w:rPr>
                <w:b/>
              </w:rPr>
              <w:t>Enter</w:t>
            </w:r>
            <w:r>
              <w:rPr>
                <w:bCs/>
              </w:rPr>
              <w:t xml:space="preserve"> </w:t>
            </w:r>
            <w:r>
              <w:rPr>
                <w:b/>
                <w:sz w:val="28"/>
              </w:rPr>
              <w:sym w:font="Wingdings 3" w:char="F038"/>
            </w:r>
            <w:r>
              <w:t xml:space="preserve">   then press </w:t>
            </w:r>
            <w:r w:rsidRPr="00586D44">
              <w:rPr>
                <w:b/>
              </w:rPr>
              <w:t>ESC</w:t>
            </w:r>
            <w:r>
              <w:t xml:space="preserve"> </w:t>
            </w:r>
            <w:r w:rsidRPr="00D9253B">
              <w:t xml:space="preserve">to run the QC. </w:t>
            </w:r>
          </w:p>
        </w:tc>
      </w:tr>
      <w:tr w:rsidR="00AA43BD" w:rsidTr="00FE18DC">
        <w:trPr>
          <w:gridBefore w:val="2"/>
          <w:gridAfter w:val="1"/>
          <w:wBefore w:w="1829" w:type="dxa"/>
          <w:wAfter w:w="361" w:type="dxa"/>
          <w:cantSplit/>
        </w:trPr>
        <w:tc>
          <w:tcPr>
            <w:tcW w:w="878" w:type="dxa"/>
            <w:tcBorders>
              <w:top w:val="single" w:sz="6" w:space="0" w:color="auto"/>
              <w:left w:val="single" w:sz="6" w:space="0" w:color="auto"/>
              <w:bottom w:val="single" w:sz="6" w:space="0" w:color="auto"/>
              <w:right w:val="single" w:sz="6" w:space="0" w:color="auto"/>
            </w:tcBorders>
          </w:tcPr>
          <w:p w:rsidR="00AA43BD" w:rsidRPr="00AA43BD" w:rsidRDefault="00AA43BD" w:rsidP="00AA43BD">
            <w:pPr>
              <w:pStyle w:val="TableText"/>
              <w:jc w:val="center"/>
              <w:rPr>
                <w:b/>
              </w:rPr>
            </w:pPr>
            <w:r w:rsidRPr="00AA43BD">
              <w:rPr>
                <w:b/>
              </w:rPr>
              <w:lastRenderedPageBreak/>
              <w:t>3</w:t>
            </w:r>
          </w:p>
        </w:tc>
        <w:tc>
          <w:tcPr>
            <w:tcW w:w="6670" w:type="dxa"/>
            <w:tcBorders>
              <w:top w:val="single" w:sz="6" w:space="0" w:color="auto"/>
              <w:bottom w:val="single" w:sz="6" w:space="0" w:color="auto"/>
              <w:right w:val="single" w:sz="6" w:space="0" w:color="auto"/>
            </w:tcBorders>
          </w:tcPr>
          <w:p w:rsidR="00AA43BD" w:rsidRPr="00DB0CA7" w:rsidRDefault="00AA43BD" w:rsidP="00AA43BD">
            <w:r w:rsidRPr="00D9253B">
              <w:t>All control ranges are monitored automatically by the</w:t>
            </w:r>
            <w:r w:rsidRPr="00D9253B">
              <w:rPr>
                <w:szCs w:val="24"/>
              </w:rPr>
              <w:t xml:space="preserve"> STA</w:t>
            </w:r>
            <w:r w:rsidRPr="00D9253B">
              <w:rPr>
                <w:szCs w:val="24"/>
                <w:vertAlign w:val="superscript"/>
              </w:rPr>
              <w:t>®</w:t>
            </w:r>
            <w:r w:rsidRPr="00D9253B">
              <w:rPr>
                <w:szCs w:val="24"/>
              </w:rPr>
              <w:t xml:space="preserve"> - Compact</w:t>
            </w:r>
            <w:r>
              <w:rPr>
                <w:szCs w:val="24"/>
              </w:rPr>
              <w:t xml:space="preserve">.  </w:t>
            </w:r>
            <w:r>
              <w:t>T</w:t>
            </w:r>
            <w:r w:rsidRPr="00D9253B">
              <w:t xml:space="preserve">he results can be found in the individual QC files.  Control results are automatically filed in the </w:t>
            </w:r>
            <w:r w:rsidRPr="00D9253B">
              <w:rPr>
                <w:szCs w:val="24"/>
              </w:rPr>
              <w:t>STA</w:t>
            </w:r>
            <w:r w:rsidRPr="00D9253B">
              <w:rPr>
                <w:szCs w:val="24"/>
                <w:vertAlign w:val="superscript"/>
              </w:rPr>
              <w:t>®</w:t>
            </w:r>
            <w:r w:rsidRPr="00D9253B">
              <w:rPr>
                <w:szCs w:val="24"/>
              </w:rPr>
              <w:t xml:space="preserve"> - Compact</w:t>
            </w:r>
            <w:r w:rsidRPr="00D9253B">
              <w:rPr>
                <w:szCs w:val="24"/>
                <w:vertAlign w:val="superscript"/>
              </w:rPr>
              <w:t>®</w:t>
            </w:r>
            <w:r>
              <w:rPr>
                <w:szCs w:val="24"/>
              </w:rPr>
              <w:t xml:space="preserve"> </w:t>
            </w:r>
            <w:r w:rsidRPr="00D9253B">
              <w:t xml:space="preserve">QC file.  All results for a 24-hour period will be converted to a “mean” value on the first run after midnight.  This mean is used in the statistical data and is plotted on the Levy-Jennings chart as a daily mean. </w:t>
            </w:r>
          </w:p>
        </w:tc>
      </w:tr>
    </w:tbl>
    <w:p w:rsidR="00BD2A18" w:rsidRDefault="00BD2A18" w:rsidP="00BD2A18"/>
    <w:p w:rsidR="004C4D75" w:rsidRDefault="004C4D75" w:rsidP="004C4D75">
      <w:pPr>
        <w:pStyle w:val="BlockLine"/>
      </w:pPr>
    </w:p>
    <w:p w:rsidR="00AA43BD" w:rsidRPr="00FE18DC" w:rsidRDefault="00AA43BD" w:rsidP="00AA43BD">
      <w:pPr>
        <w:pStyle w:val="ListParagraph"/>
        <w:numPr>
          <w:ilvl w:val="3"/>
          <w:numId w:val="17"/>
        </w:numPr>
        <w:ind w:left="3060"/>
      </w:pPr>
      <w:r>
        <w:t>Follow the steps below to Rerun Out of Range Quality Control</w:t>
      </w:r>
    </w:p>
    <w:p w:rsidR="00AA43BD" w:rsidRDefault="00AA43BD" w:rsidP="00AA43BD">
      <w:pPr>
        <w:pStyle w:val="ListParagraph"/>
        <w:ind w:left="2880"/>
        <w:jc w:val="both"/>
      </w:pPr>
    </w:p>
    <w:tbl>
      <w:tblPr>
        <w:tblW w:w="0" w:type="auto"/>
        <w:tblInd w:w="1829" w:type="dxa"/>
        <w:tblLayout w:type="fixed"/>
        <w:tblLook w:val="0000" w:firstRow="0" w:lastRow="0" w:firstColumn="0" w:lastColumn="0" w:noHBand="0" w:noVBand="0"/>
      </w:tblPr>
      <w:tblGrid>
        <w:gridCol w:w="878"/>
        <w:gridCol w:w="6670"/>
      </w:tblGrid>
      <w:tr w:rsidR="00AA43BD" w:rsidTr="00461CAD">
        <w:trPr>
          <w:cantSplit/>
        </w:trPr>
        <w:tc>
          <w:tcPr>
            <w:tcW w:w="878" w:type="dxa"/>
            <w:tcBorders>
              <w:top w:val="single" w:sz="6" w:space="0" w:color="auto"/>
              <w:left w:val="single" w:sz="6" w:space="0" w:color="auto"/>
              <w:bottom w:val="single" w:sz="6" w:space="0" w:color="auto"/>
              <w:right w:val="single" w:sz="6" w:space="0" w:color="auto"/>
            </w:tcBorders>
          </w:tcPr>
          <w:p w:rsidR="00AA43BD" w:rsidRDefault="00AA43BD" w:rsidP="00461CAD">
            <w:pPr>
              <w:pStyle w:val="TableHeaderText"/>
            </w:pPr>
            <w:r>
              <w:t>Step</w:t>
            </w:r>
          </w:p>
        </w:tc>
        <w:tc>
          <w:tcPr>
            <w:tcW w:w="6670" w:type="dxa"/>
            <w:tcBorders>
              <w:top w:val="single" w:sz="6" w:space="0" w:color="auto"/>
              <w:bottom w:val="single" w:sz="6" w:space="0" w:color="auto"/>
              <w:right w:val="single" w:sz="6" w:space="0" w:color="auto"/>
            </w:tcBorders>
          </w:tcPr>
          <w:p w:rsidR="00AA43BD" w:rsidRDefault="00AA43BD" w:rsidP="00461CAD">
            <w:pPr>
              <w:pStyle w:val="TableHeaderText"/>
            </w:pPr>
            <w:r>
              <w:t>Action</w:t>
            </w:r>
          </w:p>
        </w:tc>
      </w:tr>
      <w:tr w:rsidR="00AA43BD" w:rsidRPr="00755198" w:rsidTr="00461CAD">
        <w:trPr>
          <w:cantSplit/>
        </w:trPr>
        <w:tc>
          <w:tcPr>
            <w:tcW w:w="878" w:type="dxa"/>
            <w:tcBorders>
              <w:top w:val="single" w:sz="6" w:space="0" w:color="auto"/>
              <w:left w:val="single" w:sz="6" w:space="0" w:color="auto"/>
              <w:bottom w:val="single" w:sz="6" w:space="0" w:color="auto"/>
              <w:right w:val="single" w:sz="6" w:space="0" w:color="auto"/>
            </w:tcBorders>
          </w:tcPr>
          <w:p w:rsidR="00AA43BD" w:rsidRDefault="00AA43BD" w:rsidP="00461CAD">
            <w:pPr>
              <w:pStyle w:val="TableText"/>
              <w:jc w:val="center"/>
            </w:pPr>
            <w:r>
              <w:t>1.</w:t>
            </w:r>
          </w:p>
        </w:tc>
        <w:tc>
          <w:tcPr>
            <w:tcW w:w="6670" w:type="dxa"/>
            <w:tcBorders>
              <w:top w:val="single" w:sz="6" w:space="0" w:color="auto"/>
              <w:bottom w:val="single" w:sz="6" w:space="0" w:color="auto"/>
              <w:right w:val="single" w:sz="6" w:space="0" w:color="auto"/>
            </w:tcBorders>
          </w:tcPr>
          <w:p w:rsidR="00AA43BD" w:rsidRDefault="00AA43BD" w:rsidP="00461CAD">
            <w:pPr>
              <w:pStyle w:val="TableText"/>
            </w:pPr>
            <w:r w:rsidRPr="003056E2">
              <w:rPr>
                <w:b/>
              </w:rPr>
              <w:t xml:space="preserve">If any controls are outside the </w:t>
            </w:r>
            <w:r w:rsidRPr="003056E2">
              <w:rPr>
                <w:b/>
              </w:rPr>
              <w:sym w:font="Symbol" w:char="F0B1"/>
            </w:r>
            <w:r w:rsidRPr="003056E2">
              <w:rPr>
                <w:b/>
              </w:rPr>
              <w:t xml:space="preserve"> 2 SD range, the instrument will audibly and visually alarm.</w:t>
            </w:r>
          </w:p>
        </w:tc>
      </w:tr>
      <w:tr w:rsidR="00AA43BD" w:rsidRPr="00755198" w:rsidTr="00461CAD">
        <w:trPr>
          <w:cantSplit/>
        </w:trPr>
        <w:tc>
          <w:tcPr>
            <w:tcW w:w="878" w:type="dxa"/>
            <w:tcBorders>
              <w:top w:val="single" w:sz="6" w:space="0" w:color="auto"/>
              <w:left w:val="single" w:sz="6" w:space="0" w:color="auto"/>
              <w:bottom w:val="single" w:sz="6" w:space="0" w:color="auto"/>
              <w:right w:val="single" w:sz="6" w:space="0" w:color="auto"/>
            </w:tcBorders>
          </w:tcPr>
          <w:p w:rsidR="00AA43BD" w:rsidRDefault="00AA43BD" w:rsidP="00461CAD">
            <w:pPr>
              <w:pStyle w:val="TableText"/>
              <w:jc w:val="center"/>
            </w:pPr>
            <w:r>
              <w:t>2.</w:t>
            </w:r>
          </w:p>
        </w:tc>
        <w:tc>
          <w:tcPr>
            <w:tcW w:w="6670" w:type="dxa"/>
            <w:tcBorders>
              <w:top w:val="single" w:sz="6" w:space="0" w:color="auto"/>
              <w:bottom w:val="single" w:sz="6" w:space="0" w:color="auto"/>
              <w:right w:val="single" w:sz="6" w:space="0" w:color="auto"/>
            </w:tcBorders>
          </w:tcPr>
          <w:p w:rsidR="00AA43BD" w:rsidRDefault="00AA43BD" w:rsidP="00461CAD">
            <w:pPr>
              <w:pStyle w:val="TableText"/>
            </w:pPr>
            <w:r>
              <w:t>The out of range QC result will display.  Press ESC to continue.</w:t>
            </w:r>
          </w:p>
        </w:tc>
      </w:tr>
      <w:tr w:rsidR="00AA43BD" w:rsidRPr="00755198" w:rsidTr="00461CAD">
        <w:trPr>
          <w:cantSplit/>
        </w:trPr>
        <w:tc>
          <w:tcPr>
            <w:tcW w:w="878" w:type="dxa"/>
            <w:tcBorders>
              <w:top w:val="single" w:sz="6" w:space="0" w:color="auto"/>
              <w:left w:val="single" w:sz="6" w:space="0" w:color="auto"/>
              <w:bottom w:val="single" w:sz="6" w:space="0" w:color="auto"/>
              <w:right w:val="single" w:sz="6" w:space="0" w:color="auto"/>
            </w:tcBorders>
          </w:tcPr>
          <w:p w:rsidR="00AA43BD" w:rsidRDefault="00AA43BD" w:rsidP="00461CAD">
            <w:pPr>
              <w:pStyle w:val="TableText"/>
              <w:jc w:val="center"/>
            </w:pPr>
            <w:r>
              <w:t>3.</w:t>
            </w:r>
          </w:p>
        </w:tc>
        <w:tc>
          <w:tcPr>
            <w:tcW w:w="6670" w:type="dxa"/>
            <w:tcBorders>
              <w:top w:val="single" w:sz="6" w:space="0" w:color="auto"/>
              <w:bottom w:val="single" w:sz="6" w:space="0" w:color="auto"/>
              <w:right w:val="single" w:sz="6" w:space="0" w:color="auto"/>
            </w:tcBorders>
          </w:tcPr>
          <w:p w:rsidR="00AA43BD" w:rsidRDefault="00AA43BD" w:rsidP="00461CAD">
            <w:pPr>
              <w:pStyle w:val="TableText"/>
            </w:pPr>
            <w:r>
              <w:t>The Test Screen will display.</w:t>
            </w:r>
          </w:p>
        </w:tc>
      </w:tr>
      <w:tr w:rsidR="00AA43BD" w:rsidRPr="00755198" w:rsidTr="00461CAD">
        <w:trPr>
          <w:cantSplit/>
        </w:trPr>
        <w:tc>
          <w:tcPr>
            <w:tcW w:w="878" w:type="dxa"/>
            <w:tcBorders>
              <w:top w:val="single" w:sz="6" w:space="0" w:color="auto"/>
              <w:left w:val="single" w:sz="6" w:space="0" w:color="auto"/>
              <w:bottom w:val="single" w:sz="6" w:space="0" w:color="auto"/>
              <w:right w:val="single" w:sz="6" w:space="0" w:color="auto"/>
            </w:tcBorders>
          </w:tcPr>
          <w:p w:rsidR="00AA43BD" w:rsidRDefault="00AA43BD" w:rsidP="00461CAD">
            <w:pPr>
              <w:pStyle w:val="TableText"/>
              <w:jc w:val="center"/>
            </w:pPr>
            <w:r>
              <w:t>4.</w:t>
            </w:r>
          </w:p>
        </w:tc>
        <w:tc>
          <w:tcPr>
            <w:tcW w:w="6670" w:type="dxa"/>
            <w:tcBorders>
              <w:top w:val="single" w:sz="6" w:space="0" w:color="auto"/>
              <w:bottom w:val="single" w:sz="6" w:space="0" w:color="auto"/>
              <w:right w:val="single" w:sz="6" w:space="0" w:color="auto"/>
            </w:tcBorders>
          </w:tcPr>
          <w:p w:rsidR="00AA43BD" w:rsidRDefault="00AA43BD" w:rsidP="00461CAD">
            <w:pPr>
              <w:pStyle w:val="TableText"/>
            </w:pPr>
            <w:r>
              <w:t xml:space="preserve">Through the MAIN MENU under CALIB/CONTROL select QUALITY CONTROL and press </w:t>
            </w:r>
            <w:r>
              <w:rPr>
                <w:b/>
              </w:rPr>
              <w:t>Enter</w:t>
            </w:r>
            <w:r>
              <w:rPr>
                <w:bCs/>
              </w:rPr>
              <w:t xml:space="preserve"> </w:t>
            </w:r>
            <w:r>
              <w:rPr>
                <w:b/>
                <w:sz w:val="28"/>
              </w:rPr>
              <w:sym w:font="Wingdings 3" w:char="F038"/>
            </w:r>
            <w:r>
              <w:t xml:space="preserve">.  </w:t>
            </w:r>
          </w:p>
        </w:tc>
      </w:tr>
      <w:tr w:rsidR="00AA43BD" w:rsidRPr="00755198" w:rsidTr="00461CAD">
        <w:trPr>
          <w:cantSplit/>
        </w:trPr>
        <w:tc>
          <w:tcPr>
            <w:tcW w:w="878" w:type="dxa"/>
            <w:tcBorders>
              <w:top w:val="single" w:sz="6" w:space="0" w:color="auto"/>
              <w:left w:val="single" w:sz="6" w:space="0" w:color="auto"/>
              <w:bottom w:val="single" w:sz="6" w:space="0" w:color="auto"/>
              <w:right w:val="single" w:sz="6" w:space="0" w:color="auto"/>
            </w:tcBorders>
          </w:tcPr>
          <w:p w:rsidR="00AA43BD" w:rsidRDefault="00AA43BD" w:rsidP="00461CAD">
            <w:pPr>
              <w:pStyle w:val="TableText"/>
              <w:jc w:val="center"/>
            </w:pPr>
            <w:r>
              <w:t>5.</w:t>
            </w:r>
          </w:p>
        </w:tc>
        <w:tc>
          <w:tcPr>
            <w:tcW w:w="6670" w:type="dxa"/>
            <w:tcBorders>
              <w:top w:val="single" w:sz="6" w:space="0" w:color="auto"/>
              <w:bottom w:val="single" w:sz="6" w:space="0" w:color="auto"/>
              <w:right w:val="single" w:sz="6" w:space="0" w:color="auto"/>
            </w:tcBorders>
          </w:tcPr>
          <w:p w:rsidR="00AA43BD" w:rsidRDefault="00AA43BD" w:rsidP="00461CAD">
            <w:pPr>
              <w:pStyle w:val="TableText"/>
            </w:pPr>
            <w:r w:rsidRPr="00D9253B">
              <w:t xml:space="preserve">Move cursor to the </w:t>
            </w:r>
            <w:r>
              <w:rPr>
                <w:b/>
              </w:rPr>
              <w:t>D</w:t>
            </w:r>
            <w:r w:rsidR="00153BF4">
              <w:rPr>
                <w:b/>
              </w:rPr>
              <w:t>-</w:t>
            </w:r>
            <w:r>
              <w:rPr>
                <w:b/>
              </w:rPr>
              <w:t>DI</w:t>
            </w:r>
            <w:r w:rsidRPr="00D9253B">
              <w:t xml:space="preserve"> test.  </w:t>
            </w:r>
            <w:r>
              <w:t xml:space="preserve">The out of range result will be displayed in blue.  Press </w:t>
            </w:r>
            <w:r>
              <w:rPr>
                <w:b/>
              </w:rPr>
              <w:t>Enter</w:t>
            </w:r>
            <w:r>
              <w:rPr>
                <w:bCs/>
              </w:rPr>
              <w:t xml:space="preserve"> </w:t>
            </w:r>
            <w:r>
              <w:rPr>
                <w:b/>
                <w:sz w:val="28"/>
              </w:rPr>
              <w:sym w:font="Wingdings 3" w:char="F038"/>
            </w:r>
            <w:r>
              <w:t xml:space="preserve">   and then </w:t>
            </w:r>
            <w:r w:rsidRPr="00DF3FC6">
              <w:rPr>
                <w:b/>
              </w:rPr>
              <w:t>ESC</w:t>
            </w:r>
            <w:r>
              <w:t>.  The following options will display:</w:t>
            </w:r>
          </w:p>
          <w:p w:rsidR="00AA43BD" w:rsidRDefault="00AA43BD" w:rsidP="00461CAD">
            <w:pPr>
              <w:pStyle w:val="TableText"/>
            </w:pPr>
            <w:r>
              <w:t>Accept, Rerun or Postpone Decision.</w:t>
            </w:r>
          </w:p>
        </w:tc>
      </w:tr>
      <w:tr w:rsidR="00AA43BD" w:rsidRPr="00755198" w:rsidTr="00461CAD">
        <w:trPr>
          <w:cantSplit/>
        </w:trPr>
        <w:tc>
          <w:tcPr>
            <w:tcW w:w="878" w:type="dxa"/>
            <w:tcBorders>
              <w:top w:val="single" w:sz="6" w:space="0" w:color="auto"/>
              <w:left w:val="single" w:sz="6" w:space="0" w:color="auto"/>
              <w:bottom w:val="single" w:sz="6" w:space="0" w:color="auto"/>
              <w:right w:val="single" w:sz="6" w:space="0" w:color="auto"/>
            </w:tcBorders>
          </w:tcPr>
          <w:p w:rsidR="00AA43BD" w:rsidRDefault="00AA43BD" w:rsidP="00461CAD">
            <w:pPr>
              <w:pStyle w:val="TableText"/>
              <w:jc w:val="center"/>
            </w:pPr>
            <w:r>
              <w:t>3.</w:t>
            </w:r>
          </w:p>
        </w:tc>
        <w:tc>
          <w:tcPr>
            <w:tcW w:w="6670" w:type="dxa"/>
            <w:tcBorders>
              <w:top w:val="single" w:sz="6" w:space="0" w:color="auto"/>
              <w:bottom w:val="single" w:sz="6" w:space="0" w:color="auto"/>
              <w:right w:val="single" w:sz="6" w:space="0" w:color="auto"/>
            </w:tcBorders>
          </w:tcPr>
          <w:p w:rsidR="00AA43BD" w:rsidRDefault="00AA43BD" w:rsidP="00461CAD">
            <w:pPr>
              <w:pStyle w:val="TableText"/>
            </w:pPr>
          </w:p>
          <w:tbl>
            <w:tblPr>
              <w:tblStyle w:val="TableGrid"/>
              <w:tblW w:w="0" w:type="auto"/>
              <w:tblLayout w:type="fixed"/>
              <w:tblLook w:val="04A0" w:firstRow="1" w:lastRow="0" w:firstColumn="1" w:lastColumn="0" w:noHBand="0" w:noVBand="1"/>
            </w:tblPr>
            <w:tblGrid>
              <w:gridCol w:w="3219"/>
              <w:gridCol w:w="3220"/>
            </w:tblGrid>
            <w:tr w:rsidR="00AA43BD" w:rsidTr="00461CAD">
              <w:tc>
                <w:tcPr>
                  <w:tcW w:w="3219" w:type="dxa"/>
                </w:tcPr>
                <w:p w:rsidR="00AA43BD" w:rsidRDefault="00AA43BD" w:rsidP="00461CAD">
                  <w:pPr>
                    <w:pStyle w:val="TableText"/>
                  </w:pPr>
                  <w:r>
                    <w:rPr>
                      <w:b/>
                    </w:rPr>
                    <w:t>If…</w:t>
                  </w:r>
                </w:p>
              </w:tc>
              <w:tc>
                <w:tcPr>
                  <w:tcW w:w="3220" w:type="dxa"/>
                </w:tcPr>
                <w:p w:rsidR="00AA43BD" w:rsidRDefault="00AA43BD" w:rsidP="00461CAD">
                  <w:pPr>
                    <w:pStyle w:val="TableText"/>
                  </w:pPr>
                  <w:r>
                    <w:rPr>
                      <w:b/>
                    </w:rPr>
                    <w:t>Then…</w:t>
                  </w:r>
                </w:p>
              </w:tc>
            </w:tr>
            <w:tr w:rsidR="00AA43BD" w:rsidRPr="00C918A7" w:rsidTr="00461CAD">
              <w:tc>
                <w:tcPr>
                  <w:tcW w:w="3219" w:type="dxa"/>
                </w:tcPr>
                <w:p w:rsidR="00AA43BD" w:rsidRPr="0007165F" w:rsidRDefault="00AA43BD" w:rsidP="00461CAD">
                  <w:pPr>
                    <w:pStyle w:val="TableText"/>
                  </w:pPr>
                  <w:r w:rsidRPr="0007165F">
                    <w:t>The quality control result is acceptable</w:t>
                  </w:r>
                </w:p>
              </w:tc>
              <w:tc>
                <w:tcPr>
                  <w:tcW w:w="3220" w:type="dxa"/>
                </w:tcPr>
                <w:p w:rsidR="00AA43BD" w:rsidRPr="0007165F" w:rsidRDefault="00AA43BD" w:rsidP="00461CAD">
                  <w:pPr>
                    <w:pStyle w:val="TableText"/>
                  </w:pPr>
                  <w:r>
                    <w:t>Choose ‘Accept</w:t>
                  </w:r>
                  <w:r w:rsidRPr="0007165F">
                    <w:t>’</w:t>
                  </w:r>
                </w:p>
              </w:tc>
            </w:tr>
            <w:tr w:rsidR="00AA43BD" w:rsidRPr="00C918A7" w:rsidTr="00461CAD">
              <w:tc>
                <w:tcPr>
                  <w:tcW w:w="3219" w:type="dxa"/>
                </w:tcPr>
                <w:p w:rsidR="00AA43BD" w:rsidRPr="0007165F" w:rsidRDefault="00AA43BD" w:rsidP="00461CAD">
                  <w:pPr>
                    <w:pStyle w:val="TableText"/>
                  </w:pPr>
                  <w:r w:rsidRPr="0007165F">
                    <w:t>The quality control requires repeat or rerun</w:t>
                  </w:r>
                </w:p>
              </w:tc>
              <w:tc>
                <w:tcPr>
                  <w:tcW w:w="3220" w:type="dxa"/>
                </w:tcPr>
                <w:p w:rsidR="00AA43BD" w:rsidRPr="0007165F" w:rsidRDefault="00AA43BD" w:rsidP="00461CAD">
                  <w:pPr>
                    <w:pStyle w:val="TableText"/>
                  </w:pPr>
                  <w:r w:rsidRPr="0007165F">
                    <w:t>Choose ‘Rerun’</w:t>
                  </w:r>
                </w:p>
              </w:tc>
            </w:tr>
            <w:tr w:rsidR="00AA43BD" w:rsidRPr="00C918A7" w:rsidTr="00461CAD">
              <w:tc>
                <w:tcPr>
                  <w:tcW w:w="3219" w:type="dxa"/>
                </w:tcPr>
                <w:p w:rsidR="00AA43BD" w:rsidRPr="0007165F" w:rsidRDefault="00AA43BD" w:rsidP="00461CAD">
                  <w:pPr>
                    <w:pStyle w:val="TableText"/>
                  </w:pPr>
                  <w:r>
                    <w:t>Corrective Action will be taken at a later time.</w:t>
                  </w:r>
                </w:p>
              </w:tc>
              <w:tc>
                <w:tcPr>
                  <w:tcW w:w="3220" w:type="dxa"/>
                </w:tcPr>
                <w:p w:rsidR="00AA43BD" w:rsidRPr="0007165F" w:rsidRDefault="00AA43BD" w:rsidP="00461CAD">
                  <w:pPr>
                    <w:pStyle w:val="TableText"/>
                  </w:pPr>
                  <w:r>
                    <w:t>Choose ‘Postpone Decision</w:t>
                  </w:r>
                  <w:r w:rsidRPr="0007165F">
                    <w:t>’</w:t>
                  </w:r>
                </w:p>
              </w:tc>
            </w:tr>
          </w:tbl>
          <w:p w:rsidR="00AA43BD" w:rsidRDefault="00AA43BD" w:rsidP="00461CAD">
            <w:pPr>
              <w:pStyle w:val="TableText"/>
            </w:pPr>
          </w:p>
        </w:tc>
      </w:tr>
      <w:tr w:rsidR="00AA43BD" w:rsidRPr="00755198" w:rsidTr="00461CAD">
        <w:trPr>
          <w:cantSplit/>
        </w:trPr>
        <w:tc>
          <w:tcPr>
            <w:tcW w:w="878" w:type="dxa"/>
            <w:tcBorders>
              <w:top w:val="single" w:sz="6" w:space="0" w:color="auto"/>
              <w:left w:val="single" w:sz="6" w:space="0" w:color="auto"/>
              <w:bottom w:val="single" w:sz="6" w:space="0" w:color="auto"/>
              <w:right w:val="single" w:sz="6" w:space="0" w:color="auto"/>
            </w:tcBorders>
          </w:tcPr>
          <w:p w:rsidR="00AA43BD" w:rsidRDefault="00AA43BD" w:rsidP="00461CAD">
            <w:pPr>
              <w:pStyle w:val="TableText"/>
              <w:jc w:val="center"/>
            </w:pPr>
            <w:r>
              <w:t>4.</w:t>
            </w:r>
          </w:p>
        </w:tc>
        <w:tc>
          <w:tcPr>
            <w:tcW w:w="6670" w:type="dxa"/>
            <w:tcBorders>
              <w:top w:val="single" w:sz="6" w:space="0" w:color="auto"/>
              <w:bottom w:val="single" w:sz="6" w:space="0" w:color="auto"/>
              <w:right w:val="single" w:sz="6" w:space="0" w:color="auto"/>
            </w:tcBorders>
          </w:tcPr>
          <w:p w:rsidR="00AA43BD" w:rsidRPr="00755198" w:rsidRDefault="00AA43BD" w:rsidP="00461CAD">
            <w:pPr>
              <w:pStyle w:val="TableText"/>
            </w:pPr>
            <w:r w:rsidRPr="00D9253B">
              <w:t xml:space="preserve">Select </w:t>
            </w:r>
            <w:r>
              <w:t>‘Rerun’ a</w:t>
            </w:r>
            <w:r w:rsidRPr="00D9253B">
              <w:t xml:space="preserve">nd then </w:t>
            </w:r>
            <w:r w:rsidRPr="00D9253B">
              <w:rPr>
                <w:b/>
              </w:rPr>
              <w:t>F10</w:t>
            </w:r>
            <w:r>
              <w:rPr>
                <w:b/>
              </w:rPr>
              <w:t>.</w:t>
            </w:r>
          </w:p>
        </w:tc>
      </w:tr>
      <w:tr w:rsidR="00AA43BD" w:rsidRPr="00755198" w:rsidTr="00461CAD">
        <w:trPr>
          <w:cantSplit/>
        </w:trPr>
        <w:tc>
          <w:tcPr>
            <w:tcW w:w="878" w:type="dxa"/>
            <w:tcBorders>
              <w:top w:val="single" w:sz="6" w:space="0" w:color="auto"/>
              <w:left w:val="single" w:sz="6" w:space="0" w:color="auto"/>
              <w:bottom w:val="single" w:sz="6" w:space="0" w:color="auto"/>
              <w:right w:val="single" w:sz="6" w:space="0" w:color="auto"/>
            </w:tcBorders>
          </w:tcPr>
          <w:p w:rsidR="00AA43BD" w:rsidRDefault="00AA43BD" w:rsidP="00461CAD">
            <w:pPr>
              <w:pStyle w:val="TableText"/>
              <w:jc w:val="center"/>
            </w:pPr>
            <w:r>
              <w:t>2.</w:t>
            </w:r>
          </w:p>
        </w:tc>
        <w:tc>
          <w:tcPr>
            <w:tcW w:w="6670" w:type="dxa"/>
            <w:tcBorders>
              <w:top w:val="single" w:sz="6" w:space="0" w:color="auto"/>
              <w:bottom w:val="single" w:sz="6" w:space="0" w:color="auto"/>
              <w:right w:val="single" w:sz="6" w:space="0" w:color="auto"/>
            </w:tcBorders>
          </w:tcPr>
          <w:p w:rsidR="00AA43BD" w:rsidRDefault="00AA43BD" w:rsidP="00461CAD">
            <w:pPr>
              <w:pStyle w:val="TableText"/>
            </w:pPr>
            <w:r>
              <w:t xml:space="preserve">Type your access code, then confirm with the ‘Enter’ key.  </w:t>
            </w:r>
          </w:p>
        </w:tc>
      </w:tr>
    </w:tbl>
    <w:p w:rsidR="00AA43BD" w:rsidRDefault="00AA43BD" w:rsidP="00AA43BD">
      <w:pPr>
        <w:pStyle w:val="BlockLine"/>
      </w:pPr>
    </w:p>
    <w:p w:rsidR="00AA43BD" w:rsidRPr="0065296E" w:rsidRDefault="00AA43BD" w:rsidP="00AA43BD">
      <w:pPr>
        <w:pStyle w:val="ListParagraph"/>
        <w:numPr>
          <w:ilvl w:val="3"/>
          <w:numId w:val="17"/>
        </w:numPr>
        <w:ind w:left="3060"/>
        <w:rPr>
          <w:color w:val="FF0000"/>
        </w:rPr>
      </w:pPr>
      <w:r>
        <w:t>Follow the steps below to display and print daily Quality Control results.</w:t>
      </w:r>
    </w:p>
    <w:p w:rsidR="00AA43BD" w:rsidRPr="00E27D7F" w:rsidRDefault="00AA43BD" w:rsidP="00AA43BD">
      <w:r>
        <w:tab/>
      </w:r>
      <w:r>
        <w:tab/>
        <w:t xml:space="preserve">    </w:t>
      </w:r>
    </w:p>
    <w:tbl>
      <w:tblPr>
        <w:tblW w:w="0" w:type="auto"/>
        <w:tblInd w:w="1829" w:type="dxa"/>
        <w:tblLayout w:type="fixed"/>
        <w:tblLook w:val="0000" w:firstRow="0" w:lastRow="0" w:firstColumn="0" w:lastColumn="0" w:noHBand="0" w:noVBand="0"/>
      </w:tblPr>
      <w:tblGrid>
        <w:gridCol w:w="878"/>
        <w:gridCol w:w="6670"/>
      </w:tblGrid>
      <w:tr w:rsidR="00AA43BD" w:rsidTr="00461CAD">
        <w:trPr>
          <w:cantSplit/>
        </w:trPr>
        <w:tc>
          <w:tcPr>
            <w:tcW w:w="878" w:type="dxa"/>
            <w:tcBorders>
              <w:top w:val="single" w:sz="6" w:space="0" w:color="auto"/>
              <w:left w:val="single" w:sz="6" w:space="0" w:color="auto"/>
              <w:bottom w:val="single" w:sz="6" w:space="0" w:color="auto"/>
              <w:right w:val="single" w:sz="6" w:space="0" w:color="auto"/>
            </w:tcBorders>
          </w:tcPr>
          <w:p w:rsidR="00AA43BD" w:rsidRDefault="00AA43BD" w:rsidP="00461CAD">
            <w:pPr>
              <w:pStyle w:val="TableHeaderText"/>
            </w:pPr>
            <w:r>
              <w:t>Step</w:t>
            </w:r>
          </w:p>
        </w:tc>
        <w:tc>
          <w:tcPr>
            <w:tcW w:w="6670" w:type="dxa"/>
            <w:tcBorders>
              <w:top w:val="single" w:sz="6" w:space="0" w:color="auto"/>
              <w:bottom w:val="single" w:sz="6" w:space="0" w:color="auto"/>
              <w:right w:val="single" w:sz="6" w:space="0" w:color="auto"/>
            </w:tcBorders>
          </w:tcPr>
          <w:p w:rsidR="00AA43BD" w:rsidRDefault="00AA43BD" w:rsidP="00461CAD">
            <w:pPr>
              <w:pStyle w:val="TableHeaderText"/>
            </w:pPr>
            <w:r>
              <w:t>Action</w:t>
            </w:r>
          </w:p>
        </w:tc>
      </w:tr>
      <w:tr w:rsidR="00AA43BD" w:rsidRPr="00FE5333" w:rsidTr="00461CAD">
        <w:trPr>
          <w:cantSplit/>
        </w:trPr>
        <w:tc>
          <w:tcPr>
            <w:tcW w:w="878" w:type="dxa"/>
            <w:tcBorders>
              <w:top w:val="single" w:sz="6" w:space="0" w:color="auto"/>
              <w:left w:val="single" w:sz="6" w:space="0" w:color="auto"/>
              <w:bottom w:val="single" w:sz="6" w:space="0" w:color="auto"/>
              <w:right w:val="single" w:sz="6" w:space="0" w:color="auto"/>
            </w:tcBorders>
          </w:tcPr>
          <w:p w:rsidR="00AA43BD" w:rsidRDefault="00AA43BD" w:rsidP="00461CAD">
            <w:pPr>
              <w:pStyle w:val="TableText"/>
              <w:jc w:val="center"/>
            </w:pPr>
            <w:r>
              <w:t>1.</w:t>
            </w:r>
          </w:p>
        </w:tc>
        <w:tc>
          <w:tcPr>
            <w:tcW w:w="6670" w:type="dxa"/>
            <w:tcBorders>
              <w:top w:val="single" w:sz="6" w:space="0" w:color="auto"/>
              <w:bottom w:val="single" w:sz="6" w:space="0" w:color="auto"/>
              <w:right w:val="single" w:sz="6" w:space="0" w:color="auto"/>
            </w:tcBorders>
          </w:tcPr>
          <w:p w:rsidR="00AA43BD" w:rsidRPr="00FE5333" w:rsidRDefault="00AA43BD" w:rsidP="00461CAD">
            <w:pPr>
              <w:pStyle w:val="TableText"/>
            </w:pPr>
            <w:r>
              <w:t xml:space="preserve">From the MAIN MENU under CALIB/CONTROL select QUALITY CONTROL, press </w:t>
            </w:r>
            <w:r>
              <w:rPr>
                <w:b/>
              </w:rPr>
              <w:t>Enter</w:t>
            </w:r>
            <w:r>
              <w:rPr>
                <w:bCs/>
              </w:rPr>
              <w:t xml:space="preserve"> </w:t>
            </w:r>
            <w:r>
              <w:rPr>
                <w:b/>
                <w:sz w:val="28"/>
              </w:rPr>
              <w:sym w:font="Wingdings 3" w:char="F038"/>
            </w:r>
            <w:r>
              <w:t xml:space="preserve"> .  </w:t>
            </w:r>
          </w:p>
        </w:tc>
      </w:tr>
      <w:tr w:rsidR="00AA43BD" w:rsidRPr="00FE5333" w:rsidTr="00461CAD">
        <w:trPr>
          <w:cantSplit/>
        </w:trPr>
        <w:tc>
          <w:tcPr>
            <w:tcW w:w="878" w:type="dxa"/>
            <w:tcBorders>
              <w:top w:val="single" w:sz="6" w:space="0" w:color="auto"/>
              <w:left w:val="single" w:sz="6" w:space="0" w:color="auto"/>
              <w:bottom w:val="single" w:sz="6" w:space="0" w:color="auto"/>
              <w:right w:val="single" w:sz="6" w:space="0" w:color="auto"/>
            </w:tcBorders>
          </w:tcPr>
          <w:p w:rsidR="00AA43BD" w:rsidRDefault="00AA43BD" w:rsidP="00461CAD">
            <w:pPr>
              <w:pStyle w:val="TableText"/>
              <w:jc w:val="center"/>
            </w:pPr>
            <w:r>
              <w:t>2.</w:t>
            </w:r>
          </w:p>
        </w:tc>
        <w:tc>
          <w:tcPr>
            <w:tcW w:w="6670" w:type="dxa"/>
            <w:tcBorders>
              <w:top w:val="single" w:sz="6" w:space="0" w:color="auto"/>
              <w:bottom w:val="single" w:sz="6" w:space="0" w:color="auto"/>
              <w:right w:val="single" w:sz="6" w:space="0" w:color="auto"/>
            </w:tcBorders>
          </w:tcPr>
          <w:p w:rsidR="00AA43BD" w:rsidRDefault="00AA43BD" w:rsidP="00461CAD">
            <w:pPr>
              <w:pStyle w:val="TableText"/>
            </w:pPr>
            <w:r>
              <w:t xml:space="preserve">Move the cursor to the </w:t>
            </w:r>
            <w:r>
              <w:rPr>
                <w:b/>
              </w:rPr>
              <w:t>D</w:t>
            </w:r>
            <w:r w:rsidR="00153BF4">
              <w:rPr>
                <w:b/>
              </w:rPr>
              <w:t>-</w:t>
            </w:r>
            <w:r>
              <w:rPr>
                <w:b/>
              </w:rPr>
              <w:t>DI</w:t>
            </w:r>
            <w:r>
              <w:t xml:space="preserve"> test and press </w:t>
            </w:r>
            <w:r>
              <w:rPr>
                <w:b/>
              </w:rPr>
              <w:t>Enter</w:t>
            </w:r>
            <w:r>
              <w:rPr>
                <w:bCs/>
              </w:rPr>
              <w:t xml:space="preserve"> </w:t>
            </w:r>
            <w:r>
              <w:rPr>
                <w:b/>
                <w:sz w:val="28"/>
              </w:rPr>
              <w:sym w:font="Wingdings 3" w:char="F038"/>
            </w:r>
            <w:r>
              <w:t xml:space="preserve">  to view the Levy Jennings chart.  </w:t>
            </w:r>
          </w:p>
        </w:tc>
      </w:tr>
      <w:tr w:rsidR="00AA43BD" w:rsidRPr="00FE5333" w:rsidTr="00461CAD">
        <w:trPr>
          <w:cantSplit/>
        </w:trPr>
        <w:tc>
          <w:tcPr>
            <w:tcW w:w="878" w:type="dxa"/>
            <w:tcBorders>
              <w:top w:val="single" w:sz="6" w:space="0" w:color="auto"/>
              <w:left w:val="single" w:sz="6" w:space="0" w:color="auto"/>
              <w:bottom w:val="single" w:sz="6" w:space="0" w:color="auto"/>
              <w:right w:val="single" w:sz="6" w:space="0" w:color="auto"/>
            </w:tcBorders>
          </w:tcPr>
          <w:p w:rsidR="00AA43BD" w:rsidRDefault="00AA43BD" w:rsidP="00461CAD">
            <w:pPr>
              <w:pStyle w:val="TableText"/>
              <w:jc w:val="center"/>
            </w:pPr>
            <w:r>
              <w:lastRenderedPageBreak/>
              <w:t>3.</w:t>
            </w:r>
          </w:p>
        </w:tc>
        <w:tc>
          <w:tcPr>
            <w:tcW w:w="6670" w:type="dxa"/>
            <w:tcBorders>
              <w:top w:val="single" w:sz="6" w:space="0" w:color="auto"/>
              <w:bottom w:val="single" w:sz="6" w:space="0" w:color="auto"/>
              <w:right w:val="single" w:sz="6" w:space="0" w:color="auto"/>
            </w:tcBorders>
          </w:tcPr>
          <w:p w:rsidR="00AA43BD" w:rsidRDefault="00AA43BD" w:rsidP="00461CAD">
            <w:pPr>
              <w:pStyle w:val="TableText"/>
            </w:pPr>
            <w:r>
              <w:t xml:space="preserve">Press </w:t>
            </w:r>
            <w:r>
              <w:rPr>
                <w:b/>
              </w:rPr>
              <w:t>F1</w:t>
            </w:r>
            <w:r>
              <w:t xml:space="preserve"> to view the results in tabular form.</w:t>
            </w:r>
          </w:p>
        </w:tc>
      </w:tr>
      <w:tr w:rsidR="00AA43BD" w:rsidRPr="00FE5333" w:rsidTr="00461CAD">
        <w:trPr>
          <w:cantSplit/>
        </w:trPr>
        <w:tc>
          <w:tcPr>
            <w:tcW w:w="878" w:type="dxa"/>
            <w:tcBorders>
              <w:top w:val="single" w:sz="6" w:space="0" w:color="auto"/>
              <w:left w:val="single" w:sz="6" w:space="0" w:color="auto"/>
              <w:bottom w:val="single" w:sz="6" w:space="0" w:color="auto"/>
              <w:right w:val="single" w:sz="6" w:space="0" w:color="auto"/>
            </w:tcBorders>
          </w:tcPr>
          <w:p w:rsidR="00AA43BD" w:rsidRDefault="00AA43BD" w:rsidP="00461CAD">
            <w:pPr>
              <w:pStyle w:val="TableText"/>
              <w:jc w:val="center"/>
            </w:pPr>
            <w:r>
              <w:t>4.</w:t>
            </w:r>
          </w:p>
        </w:tc>
        <w:tc>
          <w:tcPr>
            <w:tcW w:w="6670" w:type="dxa"/>
            <w:tcBorders>
              <w:top w:val="single" w:sz="6" w:space="0" w:color="auto"/>
              <w:bottom w:val="single" w:sz="6" w:space="0" w:color="auto"/>
              <w:right w:val="single" w:sz="6" w:space="0" w:color="auto"/>
            </w:tcBorders>
          </w:tcPr>
          <w:p w:rsidR="00AA43BD" w:rsidRDefault="00AA43BD" w:rsidP="00461CAD">
            <w:pPr>
              <w:pStyle w:val="TableText"/>
            </w:pPr>
            <w:r>
              <w:t xml:space="preserve">Press </w:t>
            </w:r>
            <w:r>
              <w:rPr>
                <w:b/>
              </w:rPr>
              <w:t xml:space="preserve">F6 </w:t>
            </w:r>
            <w:r>
              <w:t xml:space="preserve">and select Execute then press </w:t>
            </w:r>
            <w:r>
              <w:rPr>
                <w:b/>
              </w:rPr>
              <w:t>Enter</w:t>
            </w:r>
            <w:r>
              <w:rPr>
                <w:bCs/>
              </w:rPr>
              <w:t xml:space="preserve"> </w:t>
            </w:r>
            <w:r>
              <w:rPr>
                <w:b/>
                <w:sz w:val="28"/>
              </w:rPr>
              <w:sym w:font="Wingdings 3" w:char="F038"/>
            </w:r>
            <w:r>
              <w:t xml:space="preserve">  to print the individual values under current controls.</w:t>
            </w:r>
          </w:p>
        </w:tc>
      </w:tr>
      <w:tr w:rsidR="00AA43BD" w:rsidRPr="00FE5333" w:rsidTr="00461CAD">
        <w:trPr>
          <w:cantSplit/>
        </w:trPr>
        <w:tc>
          <w:tcPr>
            <w:tcW w:w="878" w:type="dxa"/>
            <w:tcBorders>
              <w:top w:val="single" w:sz="6" w:space="0" w:color="auto"/>
              <w:left w:val="single" w:sz="6" w:space="0" w:color="auto"/>
              <w:bottom w:val="single" w:sz="6" w:space="0" w:color="auto"/>
              <w:right w:val="single" w:sz="6" w:space="0" w:color="auto"/>
            </w:tcBorders>
          </w:tcPr>
          <w:p w:rsidR="00AA43BD" w:rsidRDefault="00AA43BD" w:rsidP="00461CAD">
            <w:pPr>
              <w:pStyle w:val="TableText"/>
              <w:jc w:val="center"/>
            </w:pPr>
            <w:r>
              <w:t>5.</w:t>
            </w:r>
          </w:p>
        </w:tc>
        <w:tc>
          <w:tcPr>
            <w:tcW w:w="6670" w:type="dxa"/>
            <w:tcBorders>
              <w:top w:val="single" w:sz="6" w:space="0" w:color="auto"/>
              <w:bottom w:val="single" w:sz="6" w:space="0" w:color="auto"/>
              <w:right w:val="single" w:sz="6" w:space="0" w:color="auto"/>
            </w:tcBorders>
          </w:tcPr>
          <w:p w:rsidR="00AA43BD" w:rsidRDefault="00AA43BD" w:rsidP="00461CAD">
            <w:pPr>
              <w:pStyle w:val="TableText"/>
            </w:pPr>
            <w:r>
              <w:t xml:space="preserve">Press </w:t>
            </w:r>
            <w:r w:rsidRPr="007A5742">
              <w:rPr>
                <w:b/>
              </w:rPr>
              <w:t>ESC</w:t>
            </w:r>
            <w:r>
              <w:t xml:space="preserve"> key to exit (back to graph).   </w:t>
            </w:r>
          </w:p>
        </w:tc>
      </w:tr>
      <w:tr w:rsidR="00AA43BD" w:rsidRPr="00FE5333" w:rsidTr="00461CAD">
        <w:trPr>
          <w:cantSplit/>
        </w:trPr>
        <w:tc>
          <w:tcPr>
            <w:tcW w:w="878" w:type="dxa"/>
            <w:tcBorders>
              <w:top w:val="single" w:sz="6" w:space="0" w:color="auto"/>
              <w:left w:val="single" w:sz="6" w:space="0" w:color="auto"/>
              <w:bottom w:val="single" w:sz="6" w:space="0" w:color="auto"/>
              <w:right w:val="single" w:sz="6" w:space="0" w:color="auto"/>
            </w:tcBorders>
          </w:tcPr>
          <w:p w:rsidR="00AA43BD" w:rsidRDefault="00AA43BD" w:rsidP="00461CAD">
            <w:pPr>
              <w:pStyle w:val="TableText"/>
              <w:jc w:val="center"/>
            </w:pPr>
            <w:r>
              <w:t>6.</w:t>
            </w:r>
          </w:p>
        </w:tc>
        <w:tc>
          <w:tcPr>
            <w:tcW w:w="6670" w:type="dxa"/>
            <w:tcBorders>
              <w:top w:val="single" w:sz="6" w:space="0" w:color="auto"/>
              <w:bottom w:val="single" w:sz="6" w:space="0" w:color="auto"/>
              <w:right w:val="single" w:sz="6" w:space="0" w:color="auto"/>
            </w:tcBorders>
          </w:tcPr>
          <w:p w:rsidR="00AA43BD" w:rsidRPr="00B53559" w:rsidRDefault="00AA43BD" w:rsidP="00461CAD">
            <w:pPr>
              <w:rPr>
                <w:b/>
              </w:rPr>
            </w:pPr>
            <w:r>
              <w:t xml:space="preserve">Press </w:t>
            </w:r>
            <w:r>
              <w:rPr>
                <w:b/>
              </w:rPr>
              <w:t>F2</w:t>
            </w:r>
            <w:r>
              <w:t xml:space="preserve"> or </w:t>
            </w:r>
            <w:r>
              <w:rPr>
                <w:b/>
              </w:rPr>
              <w:t xml:space="preserve">F3 </w:t>
            </w:r>
            <w:r>
              <w:t xml:space="preserve">to view other levels and continue with </w:t>
            </w:r>
            <w:r>
              <w:rPr>
                <w:b/>
              </w:rPr>
              <w:t>F1</w:t>
            </w:r>
            <w:r>
              <w:t xml:space="preserve"> to view the result list.</w:t>
            </w:r>
          </w:p>
        </w:tc>
      </w:tr>
    </w:tbl>
    <w:p w:rsidR="00AA43BD" w:rsidRPr="00AA43BD" w:rsidRDefault="00AA43BD" w:rsidP="00AA43BD"/>
    <w:p w:rsidR="005A6EE9" w:rsidRDefault="005A6EE9" w:rsidP="00E27D7F">
      <w:pPr>
        <w:pStyle w:val="BlockLine"/>
        <w:pBdr>
          <w:top w:val="single" w:sz="6" w:space="0" w:color="auto"/>
        </w:pBdr>
      </w:pPr>
    </w:p>
    <w:tbl>
      <w:tblPr>
        <w:tblW w:w="0" w:type="auto"/>
        <w:tblLayout w:type="fixed"/>
        <w:tblLook w:val="0000" w:firstRow="0" w:lastRow="0" w:firstColumn="0" w:lastColumn="0" w:noHBand="0" w:noVBand="0"/>
      </w:tblPr>
      <w:tblGrid>
        <w:gridCol w:w="1728"/>
        <w:gridCol w:w="8010"/>
      </w:tblGrid>
      <w:tr w:rsidR="005A6EE9" w:rsidRPr="00781F79" w:rsidTr="00147952">
        <w:trPr>
          <w:cantSplit/>
        </w:trPr>
        <w:tc>
          <w:tcPr>
            <w:tcW w:w="1728" w:type="dxa"/>
          </w:tcPr>
          <w:p w:rsidR="004D66F0" w:rsidRDefault="004D66F0" w:rsidP="00803536">
            <w:pPr>
              <w:pStyle w:val="Heading5"/>
            </w:pPr>
          </w:p>
          <w:p w:rsidR="005A6EE9" w:rsidRPr="005A6EE9" w:rsidRDefault="00147952" w:rsidP="00803536">
            <w:pPr>
              <w:pStyle w:val="Heading5"/>
            </w:pPr>
            <w:r>
              <w:t>Procedure</w:t>
            </w:r>
          </w:p>
        </w:tc>
        <w:tc>
          <w:tcPr>
            <w:tcW w:w="8010" w:type="dxa"/>
          </w:tcPr>
          <w:p w:rsidR="00986158" w:rsidRDefault="00986158" w:rsidP="00986158">
            <w:pPr>
              <w:autoSpaceDE w:val="0"/>
              <w:autoSpaceDN w:val="0"/>
              <w:adjustRightInd w:val="0"/>
            </w:pPr>
          </w:p>
          <w:p w:rsidR="005A6EE9" w:rsidRDefault="00147952" w:rsidP="00986158">
            <w:pPr>
              <w:pStyle w:val="ListParagraph"/>
              <w:numPr>
                <w:ilvl w:val="0"/>
                <w:numId w:val="24"/>
              </w:numPr>
              <w:autoSpaceDE w:val="0"/>
              <w:autoSpaceDN w:val="0"/>
              <w:adjustRightInd w:val="0"/>
            </w:pPr>
            <w:r>
              <w:t>Follow the ste</w:t>
            </w:r>
            <w:r w:rsidR="00A35AA8">
              <w:t>ps below to run D-Dimer</w:t>
            </w:r>
            <w:r>
              <w:t xml:space="preserve"> on patient samples</w:t>
            </w:r>
            <w:r w:rsidR="005308A9">
              <w:t>.</w:t>
            </w:r>
          </w:p>
          <w:p w:rsidR="00153BF4" w:rsidRDefault="00153BF4" w:rsidP="00153BF4">
            <w:pPr>
              <w:pStyle w:val="ListParagraph"/>
              <w:autoSpaceDE w:val="0"/>
              <w:autoSpaceDN w:val="0"/>
              <w:adjustRightInd w:val="0"/>
              <w:ind w:left="1357"/>
            </w:pPr>
          </w:p>
          <w:tbl>
            <w:tblPr>
              <w:tblW w:w="0" w:type="auto"/>
              <w:tblLayout w:type="fixed"/>
              <w:tblLook w:val="0000" w:firstRow="0" w:lastRow="0" w:firstColumn="0" w:lastColumn="0" w:noHBand="0" w:noVBand="0"/>
            </w:tblPr>
            <w:tblGrid>
              <w:gridCol w:w="878"/>
              <w:gridCol w:w="6670"/>
            </w:tblGrid>
            <w:tr w:rsidR="00153BF4" w:rsidTr="00461CAD">
              <w:trPr>
                <w:cantSplit/>
              </w:trPr>
              <w:tc>
                <w:tcPr>
                  <w:tcW w:w="878" w:type="dxa"/>
                  <w:tcBorders>
                    <w:top w:val="single" w:sz="6" w:space="0" w:color="auto"/>
                    <w:left w:val="single" w:sz="6" w:space="0" w:color="auto"/>
                    <w:bottom w:val="single" w:sz="6" w:space="0" w:color="auto"/>
                    <w:right w:val="single" w:sz="6" w:space="0" w:color="auto"/>
                  </w:tcBorders>
                </w:tcPr>
                <w:p w:rsidR="00153BF4" w:rsidRDefault="00153BF4" w:rsidP="00153BF4">
                  <w:pPr>
                    <w:pStyle w:val="TableHeaderText"/>
                  </w:pPr>
                  <w:r>
                    <w:t>Step</w:t>
                  </w:r>
                </w:p>
              </w:tc>
              <w:tc>
                <w:tcPr>
                  <w:tcW w:w="6670" w:type="dxa"/>
                  <w:tcBorders>
                    <w:top w:val="single" w:sz="6" w:space="0" w:color="auto"/>
                    <w:bottom w:val="single" w:sz="6" w:space="0" w:color="auto"/>
                    <w:right w:val="single" w:sz="6" w:space="0" w:color="auto"/>
                  </w:tcBorders>
                </w:tcPr>
                <w:p w:rsidR="00153BF4" w:rsidRDefault="00153BF4" w:rsidP="00153BF4">
                  <w:pPr>
                    <w:pStyle w:val="TableHeaderText"/>
                  </w:pPr>
                  <w:r>
                    <w:t>Action</w:t>
                  </w:r>
                </w:p>
              </w:tc>
            </w:tr>
            <w:tr w:rsidR="00153BF4" w:rsidTr="00461CAD">
              <w:trPr>
                <w:cantSplit/>
              </w:trPr>
              <w:tc>
                <w:tcPr>
                  <w:tcW w:w="878" w:type="dxa"/>
                  <w:tcBorders>
                    <w:top w:val="single" w:sz="6" w:space="0" w:color="auto"/>
                    <w:left w:val="single" w:sz="6" w:space="0" w:color="auto"/>
                    <w:bottom w:val="single" w:sz="6" w:space="0" w:color="auto"/>
                    <w:right w:val="single" w:sz="6" w:space="0" w:color="auto"/>
                  </w:tcBorders>
                </w:tcPr>
                <w:p w:rsidR="00153BF4" w:rsidRDefault="00153BF4" w:rsidP="00153BF4">
                  <w:pPr>
                    <w:pStyle w:val="TableText"/>
                    <w:jc w:val="center"/>
                  </w:pPr>
                  <w:r>
                    <w:t>1</w:t>
                  </w:r>
                </w:p>
              </w:tc>
              <w:tc>
                <w:tcPr>
                  <w:tcW w:w="6670" w:type="dxa"/>
                  <w:tcBorders>
                    <w:top w:val="single" w:sz="6" w:space="0" w:color="auto"/>
                    <w:bottom w:val="single" w:sz="6" w:space="0" w:color="auto"/>
                    <w:right w:val="single" w:sz="6" w:space="0" w:color="auto"/>
                  </w:tcBorders>
                </w:tcPr>
                <w:p w:rsidR="00153BF4" w:rsidRDefault="00153BF4" w:rsidP="00153BF4">
                  <w:pPr>
                    <w:pStyle w:val="TableText"/>
                  </w:pPr>
                  <w:r>
                    <w:t xml:space="preserve">Open the sample drawer by pressing F2 from the Test Panel screen or through the MAIN MENU, under LOADING, Select Sample, press </w:t>
                  </w:r>
                  <w:r>
                    <w:rPr>
                      <w:b/>
                    </w:rPr>
                    <w:t>Enter</w:t>
                  </w:r>
                  <w:r>
                    <w:rPr>
                      <w:bCs/>
                    </w:rPr>
                    <w:t xml:space="preserve"> </w:t>
                  </w:r>
                  <w:r>
                    <w:rPr>
                      <w:b/>
                      <w:sz w:val="28"/>
                    </w:rPr>
                    <w:sym w:font="Wingdings 3" w:char="F038"/>
                  </w:r>
                </w:p>
              </w:tc>
            </w:tr>
            <w:tr w:rsidR="00153BF4" w:rsidTr="00461CAD">
              <w:trPr>
                <w:cantSplit/>
              </w:trPr>
              <w:tc>
                <w:tcPr>
                  <w:tcW w:w="878" w:type="dxa"/>
                  <w:tcBorders>
                    <w:top w:val="single" w:sz="6" w:space="0" w:color="auto"/>
                    <w:left w:val="single" w:sz="6" w:space="0" w:color="auto"/>
                    <w:bottom w:val="single" w:sz="6" w:space="0" w:color="auto"/>
                    <w:right w:val="single" w:sz="6" w:space="0" w:color="auto"/>
                  </w:tcBorders>
                </w:tcPr>
                <w:p w:rsidR="00153BF4" w:rsidRDefault="00153BF4" w:rsidP="00153BF4">
                  <w:pPr>
                    <w:pStyle w:val="TableText"/>
                    <w:jc w:val="center"/>
                  </w:pPr>
                  <w:r>
                    <w:t>2</w:t>
                  </w:r>
                </w:p>
              </w:tc>
              <w:tc>
                <w:tcPr>
                  <w:tcW w:w="6670" w:type="dxa"/>
                  <w:tcBorders>
                    <w:top w:val="single" w:sz="6" w:space="0" w:color="auto"/>
                    <w:bottom w:val="single" w:sz="6" w:space="0" w:color="auto"/>
                    <w:right w:val="single" w:sz="6" w:space="0" w:color="auto"/>
                  </w:tcBorders>
                </w:tcPr>
                <w:p w:rsidR="00153BF4" w:rsidRDefault="00153BF4" w:rsidP="00153BF4">
                  <w:r>
                    <w:t xml:space="preserve">After the drawer opens, identify the sample by scanning the bar-code or manually entering the ID using the keyboard and then placing the specimen into the drawer. </w:t>
                  </w:r>
                </w:p>
              </w:tc>
            </w:tr>
            <w:tr w:rsidR="00153BF4" w:rsidTr="00461CAD">
              <w:trPr>
                <w:cantSplit/>
              </w:trPr>
              <w:tc>
                <w:tcPr>
                  <w:tcW w:w="878" w:type="dxa"/>
                  <w:tcBorders>
                    <w:top w:val="single" w:sz="6" w:space="0" w:color="auto"/>
                    <w:left w:val="single" w:sz="6" w:space="0" w:color="auto"/>
                    <w:bottom w:val="single" w:sz="6" w:space="0" w:color="auto"/>
                    <w:right w:val="single" w:sz="6" w:space="0" w:color="auto"/>
                  </w:tcBorders>
                </w:tcPr>
                <w:p w:rsidR="00153BF4" w:rsidRDefault="00153BF4" w:rsidP="00153BF4">
                  <w:pPr>
                    <w:pStyle w:val="TableText"/>
                    <w:jc w:val="center"/>
                  </w:pPr>
                  <w:r>
                    <w:t>3</w:t>
                  </w:r>
                </w:p>
              </w:tc>
              <w:tc>
                <w:tcPr>
                  <w:tcW w:w="6670" w:type="dxa"/>
                  <w:tcBorders>
                    <w:top w:val="single" w:sz="6" w:space="0" w:color="auto"/>
                    <w:bottom w:val="single" w:sz="6" w:space="0" w:color="auto"/>
                    <w:right w:val="single" w:sz="6" w:space="0" w:color="auto"/>
                  </w:tcBorders>
                </w:tcPr>
                <w:p w:rsidR="00153BF4" w:rsidRDefault="00153BF4" w:rsidP="00153BF4">
                  <w:r>
                    <w:t xml:space="preserve">The </w:t>
                  </w:r>
                  <w:r>
                    <w:rPr>
                      <w:szCs w:val="24"/>
                    </w:rPr>
                    <w:t>STA</w:t>
                  </w:r>
                  <w:r>
                    <w:rPr>
                      <w:szCs w:val="24"/>
                      <w:vertAlign w:val="superscript"/>
                    </w:rPr>
                    <w:t>®</w:t>
                  </w:r>
                  <w:r>
                    <w:rPr>
                      <w:szCs w:val="24"/>
                    </w:rPr>
                    <w:t xml:space="preserve"> - Compact</w:t>
                  </w:r>
                  <w:r>
                    <w:rPr>
                      <w:szCs w:val="24"/>
                      <w:vertAlign w:val="superscript"/>
                    </w:rPr>
                    <w:t>®</w:t>
                  </w:r>
                  <w:r>
                    <w:t xml:space="preserve"> will query the host computer and download the test(s) as well as assign the status (i.e. stat).</w:t>
                  </w:r>
                </w:p>
              </w:tc>
            </w:tr>
            <w:tr w:rsidR="00153BF4" w:rsidTr="00461CAD">
              <w:trPr>
                <w:cantSplit/>
              </w:trPr>
              <w:tc>
                <w:tcPr>
                  <w:tcW w:w="878" w:type="dxa"/>
                  <w:tcBorders>
                    <w:top w:val="single" w:sz="6" w:space="0" w:color="auto"/>
                    <w:left w:val="single" w:sz="6" w:space="0" w:color="auto"/>
                    <w:bottom w:val="single" w:sz="6" w:space="0" w:color="auto"/>
                    <w:right w:val="single" w:sz="6" w:space="0" w:color="auto"/>
                  </w:tcBorders>
                </w:tcPr>
                <w:p w:rsidR="00153BF4" w:rsidRDefault="00153BF4" w:rsidP="00153BF4">
                  <w:pPr>
                    <w:pStyle w:val="TableText"/>
                    <w:jc w:val="center"/>
                  </w:pPr>
                  <w:r>
                    <w:t>4</w:t>
                  </w:r>
                </w:p>
              </w:tc>
              <w:tc>
                <w:tcPr>
                  <w:tcW w:w="6670" w:type="dxa"/>
                  <w:tcBorders>
                    <w:top w:val="single" w:sz="6" w:space="0" w:color="auto"/>
                    <w:bottom w:val="single" w:sz="6" w:space="0" w:color="auto"/>
                    <w:right w:val="single" w:sz="6" w:space="0" w:color="auto"/>
                  </w:tcBorders>
                </w:tcPr>
                <w:p w:rsidR="00153BF4" w:rsidRDefault="00153BF4" w:rsidP="00153BF4">
                  <w:pPr>
                    <w:pStyle w:val="TableText"/>
                  </w:pPr>
                  <w:r>
                    <w:t xml:space="preserve">As soon as the sample drawer closes, the TEST STATUS screen will appear.  </w:t>
                  </w:r>
                </w:p>
              </w:tc>
            </w:tr>
            <w:tr w:rsidR="00153BF4" w:rsidRPr="00B33BBF" w:rsidTr="00461CAD">
              <w:trPr>
                <w:cantSplit/>
              </w:trPr>
              <w:tc>
                <w:tcPr>
                  <w:tcW w:w="878" w:type="dxa"/>
                  <w:tcBorders>
                    <w:top w:val="single" w:sz="6" w:space="0" w:color="auto"/>
                    <w:left w:val="single" w:sz="6" w:space="0" w:color="auto"/>
                    <w:bottom w:val="single" w:sz="6" w:space="0" w:color="auto"/>
                    <w:right w:val="single" w:sz="6" w:space="0" w:color="auto"/>
                  </w:tcBorders>
                </w:tcPr>
                <w:p w:rsidR="00153BF4" w:rsidRDefault="00153BF4" w:rsidP="00153BF4">
                  <w:pPr>
                    <w:pStyle w:val="TableText"/>
                    <w:jc w:val="center"/>
                  </w:pPr>
                  <w:r>
                    <w:t>6</w:t>
                  </w:r>
                </w:p>
              </w:tc>
              <w:tc>
                <w:tcPr>
                  <w:tcW w:w="6670" w:type="dxa"/>
                  <w:tcBorders>
                    <w:top w:val="single" w:sz="6" w:space="0" w:color="auto"/>
                    <w:bottom w:val="single" w:sz="6" w:space="0" w:color="auto"/>
                    <w:right w:val="single" w:sz="6" w:space="0" w:color="auto"/>
                  </w:tcBorders>
                </w:tcPr>
                <w:p w:rsidR="00153BF4" w:rsidRPr="00B33BBF" w:rsidRDefault="00153BF4" w:rsidP="00153BF4">
                  <w:r>
                    <w:t xml:space="preserve">All patient results are displayed on the TEST PANEL screen and automatically transmitted to the LIS. </w:t>
                  </w:r>
                </w:p>
              </w:tc>
            </w:tr>
          </w:tbl>
          <w:p w:rsidR="00153BF4" w:rsidRDefault="00153BF4" w:rsidP="00153BF4">
            <w:pPr>
              <w:pStyle w:val="ListParagraph"/>
              <w:autoSpaceDE w:val="0"/>
              <w:autoSpaceDN w:val="0"/>
              <w:adjustRightInd w:val="0"/>
              <w:ind w:left="1357"/>
            </w:pPr>
          </w:p>
          <w:p w:rsidR="00147952" w:rsidRPr="005A6EE9" w:rsidRDefault="00147952" w:rsidP="00147952">
            <w:pPr>
              <w:autoSpaceDE w:val="0"/>
              <w:autoSpaceDN w:val="0"/>
              <w:adjustRightInd w:val="0"/>
            </w:pPr>
          </w:p>
        </w:tc>
      </w:tr>
    </w:tbl>
    <w:p w:rsidR="004D787D" w:rsidRDefault="004D787D" w:rsidP="004D787D">
      <w:r w:rsidRPr="004D787D">
        <w:rPr>
          <w:b/>
        </w:rPr>
        <w:t>Results</w:t>
      </w:r>
      <w:r>
        <w:t xml:space="preserve">   </w:t>
      </w:r>
    </w:p>
    <w:p w:rsidR="004D787D" w:rsidRPr="004D787D" w:rsidRDefault="004D787D" w:rsidP="004D787D">
      <w:pPr>
        <w:rPr>
          <w:b/>
          <w:szCs w:val="24"/>
        </w:rPr>
      </w:pPr>
      <w:r w:rsidRPr="004D787D">
        <w:rPr>
          <w:b/>
        </w:rPr>
        <w:t>Reporting</w:t>
      </w:r>
      <w:r>
        <w:t xml:space="preserve">           </w:t>
      </w:r>
      <w:r w:rsidRPr="004D787D">
        <w:rPr>
          <w:b/>
          <w:szCs w:val="24"/>
        </w:rPr>
        <w:t>For D-Dimer DVT and D-Dimer PE:</w:t>
      </w:r>
    </w:p>
    <w:p w:rsidR="004D787D" w:rsidRPr="004D787D" w:rsidRDefault="004D787D" w:rsidP="004D787D">
      <w:pPr>
        <w:pStyle w:val="ListParagraph"/>
        <w:numPr>
          <w:ilvl w:val="3"/>
          <w:numId w:val="24"/>
        </w:numPr>
        <w:rPr>
          <w:szCs w:val="24"/>
        </w:rPr>
      </w:pPr>
      <w:r w:rsidRPr="004D787D">
        <w:rPr>
          <w:szCs w:val="24"/>
        </w:rPr>
        <w:t>If the result for D-Dimer DVT or D-Dimer PE is &gt;Vmax, report the test as &gt;4000.  Do NOT dilute.</w:t>
      </w:r>
    </w:p>
    <w:p w:rsidR="004D787D" w:rsidRPr="004D787D" w:rsidRDefault="004D787D" w:rsidP="004D787D">
      <w:pPr>
        <w:pStyle w:val="ListParagraph"/>
        <w:numPr>
          <w:ilvl w:val="3"/>
          <w:numId w:val="24"/>
        </w:numPr>
        <w:rPr>
          <w:szCs w:val="24"/>
        </w:rPr>
      </w:pPr>
      <w:r w:rsidRPr="004D787D">
        <w:rPr>
          <w:szCs w:val="24"/>
        </w:rPr>
        <w:t>If the result for D-Dimer DVT or D-Dimer PE is below 270, the result should be reported as &lt;270</w:t>
      </w:r>
    </w:p>
    <w:p w:rsidR="004D787D" w:rsidRPr="004D787D" w:rsidRDefault="004D787D" w:rsidP="004D787D">
      <w:pPr>
        <w:rPr>
          <w:szCs w:val="24"/>
        </w:rPr>
      </w:pPr>
    </w:p>
    <w:p w:rsidR="004D787D" w:rsidRPr="004D787D" w:rsidRDefault="004D787D" w:rsidP="004D787D">
      <w:pPr>
        <w:ind w:left="720" w:firstLine="720"/>
        <w:rPr>
          <w:b/>
          <w:szCs w:val="24"/>
        </w:rPr>
      </w:pPr>
      <w:r>
        <w:rPr>
          <w:b/>
          <w:szCs w:val="24"/>
        </w:rPr>
        <w:t xml:space="preserve">   </w:t>
      </w:r>
      <w:r w:rsidRPr="004D787D">
        <w:rPr>
          <w:b/>
          <w:szCs w:val="24"/>
        </w:rPr>
        <w:t>For D-Dimer DIC:</w:t>
      </w:r>
    </w:p>
    <w:p w:rsidR="004D787D" w:rsidRPr="004D787D" w:rsidRDefault="004D787D" w:rsidP="004D787D">
      <w:pPr>
        <w:pStyle w:val="ListParagraph"/>
        <w:numPr>
          <w:ilvl w:val="3"/>
          <w:numId w:val="27"/>
        </w:numPr>
        <w:rPr>
          <w:szCs w:val="24"/>
        </w:rPr>
      </w:pPr>
      <w:r w:rsidRPr="004D787D">
        <w:rPr>
          <w:szCs w:val="24"/>
        </w:rPr>
        <w:t>If the result for D-Dimer DIC is &gt;Vmax, program the sample to be diluted 1:5</w:t>
      </w:r>
    </w:p>
    <w:p w:rsidR="004D787D" w:rsidRPr="004D787D" w:rsidRDefault="004D787D" w:rsidP="004D787D">
      <w:pPr>
        <w:pStyle w:val="ListParagraph"/>
        <w:numPr>
          <w:ilvl w:val="3"/>
          <w:numId w:val="27"/>
        </w:numPr>
        <w:rPr>
          <w:szCs w:val="24"/>
        </w:rPr>
      </w:pPr>
      <w:r w:rsidRPr="004D787D">
        <w:rPr>
          <w:szCs w:val="24"/>
        </w:rPr>
        <w:t>If the 1:5 dilution is not &gt;Vmax, report the value</w:t>
      </w:r>
    </w:p>
    <w:p w:rsidR="004D787D" w:rsidRPr="004D787D" w:rsidRDefault="004D787D" w:rsidP="004D787D">
      <w:pPr>
        <w:pStyle w:val="ListParagraph"/>
        <w:numPr>
          <w:ilvl w:val="3"/>
          <w:numId w:val="27"/>
        </w:numPr>
        <w:rPr>
          <w:szCs w:val="24"/>
        </w:rPr>
      </w:pPr>
      <w:r w:rsidRPr="004D787D">
        <w:rPr>
          <w:szCs w:val="24"/>
        </w:rPr>
        <w:t>If the 1:5 dilution result is still &gt;Vmax, report &gt;20000</w:t>
      </w:r>
    </w:p>
    <w:p w:rsidR="009D59FC" w:rsidRPr="004D787D" w:rsidRDefault="004D787D" w:rsidP="004D787D">
      <w:pPr>
        <w:pStyle w:val="ListParagraph"/>
        <w:numPr>
          <w:ilvl w:val="3"/>
          <w:numId w:val="27"/>
        </w:numPr>
        <w:rPr>
          <w:szCs w:val="24"/>
        </w:rPr>
      </w:pPr>
      <w:r w:rsidRPr="004D787D">
        <w:rPr>
          <w:szCs w:val="24"/>
        </w:rPr>
        <w:t>If the result for D-Dimer DVT or D-Dimer PE is below 270, the result should be reported as &lt;270</w:t>
      </w:r>
    </w:p>
    <w:p w:rsidR="009D59FC" w:rsidRPr="009D59FC" w:rsidRDefault="009D59FC" w:rsidP="009D59FC">
      <w:pPr>
        <w:rPr>
          <w:b/>
        </w:rPr>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4F16E7" w:rsidRDefault="004F16E7" w:rsidP="00803536">
            <w:pPr>
              <w:pStyle w:val="Heading5"/>
            </w:pPr>
          </w:p>
          <w:p w:rsidR="004F16E7" w:rsidRDefault="004F16E7" w:rsidP="00803536">
            <w:pPr>
              <w:pStyle w:val="Heading5"/>
            </w:pPr>
          </w:p>
          <w:p w:rsidR="005A6EE9" w:rsidRPr="005A6EE9" w:rsidRDefault="00B413C2" w:rsidP="00803536">
            <w:pPr>
              <w:pStyle w:val="Heading5"/>
            </w:pPr>
            <w:r>
              <w:t>Clinical Significance</w:t>
            </w:r>
          </w:p>
        </w:tc>
        <w:tc>
          <w:tcPr>
            <w:tcW w:w="8010" w:type="dxa"/>
          </w:tcPr>
          <w:p w:rsidR="004F16E7" w:rsidRDefault="004F16E7" w:rsidP="004F16E7">
            <w:pPr>
              <w:pStyle w:val="BlockLine"/>
              <w:ind w:left="0"/>
            </w:pPr>
          </w:p>
          <w:p w:rsidR="006C3BC7" w:rsidRPr="006C3BC7" w:rsidRDefault="00D36D80" w:rsidP="006C3BC7">
            <w:r w:rsidRPr="00D36D80">
              <w:t xml:space="preserve">Clinical applications for this test are as follows:  </w:t>
            </w:r>
            <w:r w:rsidR="006C3BC7" w:rsidRPr="006C3BC7">
              <w:t>Disseminated Intravascular Coagulation (DIC), negative predictor for the diagnosis of a thrombotic episode (i.e., DVT, PE), efficacy of treatment for a thrombotic episode and screen for possible re-occurrence (MI), and screen for other activation states of coagulation (i.e., post-operative, cancer, cirrhosis).</w:t>
            </w:r>
          </w:p>
          <w:p w:rsidR="00B413C2" w:rsidRPr="00BD292C" w:rsidRDefault="00B413C2" w:rsidP="00B413C2"/>
          <w:p w:rsidR="004F16E7" w:rsidRDefault="004F16E7" w:rsidP="004F16E7">
            <w:pPr>
              <w:pStyle w:val="BlockLine"/>
              <w:ind w:left="0"/>
            </w:pPr>
          </w:p>
          <w:p w:rsidR="005A6EE9" w:rsidRPr="00781F79" w:rsidRDefault="005A6EE9" w:rsidP="00803536">
            <w:pPr>
              <w:rPr>
                <w:szCs w:val="24"/>
              </w:rPr>
            </w:pPr>
          </w:p>
        </w:tc>
      </w:tr>
      <w:tr w:rsidR="005A6EE9" w:rsidRPr="00781F79" w:rsidTr="00480580">
        <w:trPr>
          <w:cantSplit/>
        </w:trPr>
        <w:tc>
          <w:tcPr>
            <w:tcW w:w="1728" w:type="dxa"/>
          </w:tcPr>
          <w:p w:rsidR="005A6EE9" w:rsidRPr="005A6EE9" w:rsidRDefault="005A6EE9" w:rsidP="00803536">
            <w:pPr>
              <w:pStyle w:val="Heading5"/>
            </w:pPr>
            <w:r w:rsidRPr="005A6EE9">
              <w:t>Reference Range</w:t>
            </w:r>
          </w:p>
        </w:tc>
        <w:tc>
          <w:tcPr>
            <w:tcW w:w="8010" w:type="dxa"/>
          </w:tcPr>
          <w:tbl>
            <w:tblPr>
              <w:tblStyle w:val="TableGrid"/>
              <w:tblW w:w="0" w:type="auto"/>
              <w:tblLayout w:type="fixed"/>
              <w:tblLook w:val="04A0" w:firstRow="1" w:lastRow="0" w:firstColumn="1" w:lastColumn="0" w:noHBand="0" w:noVBand="1"/>
            </w:tblPr>
            <w:tblGrid>
              <w:gridCol w:w="4477"/>
              <w:gridCol w:w="3302"/>
            </w:tblGrid>
            <w:tr w:rsidR="00EE16B0" w:rsidTr="00CD5EBD">
              <w:tc>
                <w:tcPr>
                  <w:tcW w:w="4477" w:type="dxa"/>
                </w:tcPr>
                <w:p w:rsidR="00EE16B0" w:rsidRDefault="007902C0" w:rsidP="00803536">
                  <w:pPr>
                    <w:rPr>
                      <w:szCs w:val="24"/>
                    </w:rPr>
                  </w:pPr>
                  <w:r>
                    <w:rPr>
                      <w:szCs w:val="24"/>
                    </w:rPr>
                    <w:t>D-Dimer</w:t>
                  </w:r>
                  <w:r w:rsidR="00005F30">
                    <w:rPr>
                      <w:szCs w:val="24"/>
                    </w:rPr>
                    <w:t xml:space="preserve"> DVT</w:t>
                  </w:r>
                  <w:r w:rsidR="00EE16B0">
                    <w:rPr>
                      <w:szCs w:val="24"/>
                    </w:rPr>
                    <w:t xml:space="preserve"> Reference Range</w:t>
                  </w:r>
                </w:p>
              </w:tc>
              <w:tc>
                <w:tcPr>
                  <w:tcW w:w="3302" w:type="dxa"/>
                </w:tcPr>
                <w:p w:rsidR="00EE16B0" w:rsidRDefault="00D36D80" w:rsidP="00803536">
                  <w:pPr>
                    <w:rPr>
                      <w:szCs w:val="24"/>
                    </w:rPr>
                  </w:pPr>
                  <w:r>
                    <w:rPr>
                      <w:szCs w:val="24"/>
                    </w:rPr>
                    <w:t>&lt;=499 ng FEU/ml</w:t>
                  </w:r>
                </w:p>
              </w:tc>
            </w:tr>
            <w:tr w:rsidR="00005F30" w:rsidTr="00CD5EBD">
              <w:tc>
                <w:tcPr>
                  <w:tcW w:w="4477" w:type="dxa"/>
                </w:tcPr>
                <w:p w:rsidR="00005F30" w:rsidRDefault="00005F30" w:rsidP="00803536">
                  <w:pPr>
                    <w:rPr>
                      <w:szCs w:val="24"/>
                    </w:rPr>
                  </w:pPr>
                  <w:r>
                    <w:rPr>
                      <w:szCs w:val="24"/>
                    </w:rPr>
                    <w:t>D-Dimer PE Reference Range</w:t>
                  </w:r>
                </w:p>
              </w:tc>
              <w:tc>
                <w:tcPr>
                  <w:tcW w:w="3302" w:type="dxa"/>
                </w:tcPr>
                <w:p w:rsidR="00005F30" w:rsidRDefault="00BD5810" w:rsidP="00803536">
                  <w:pPr>
                    <w:rPr>
                      <w:szCs w:val="24"/>
                    </w:rPr>
                  </w:pPr>
                  <w:r>
                    <w:rPr>
                      <w:szCs w:val="24"/>
                    </w:rPr>
                    <w:t>Age dependent</w:t>
                  </w:r>
                </w:p>
              </w:tc>
            </w:tr>
            <w:tr w:rsidR="00CD5EBD" w:rsidTr="00CD5EBD">
              <w:tc>
                <w:tcPr>
                  <w:tcW w:w="4477" w:type="dxa"/>
                </w:tcPr>
                <w:p w:rsidR="00CD5EBD" w:rsidRDefault="00CD5EBD" w:rsidP="00CD5EBD">
                  <w:pPr>
                    <w:rPr>
                      <w:szCs w:val="24"/>
                    </w:rPr>
                  </w:pPr>
                  <w:r>
                    <w:rPr>
                      <w:szCs w:val="24"/>
                    </w:rPr>
                    <w:t>D-Dimer DIC Reference Range</w:t>
                  </w:r>
                </w:p>
              </w:tc>
              <w:tc>
                <w:tcPr>
                  <w:tcW w:w="3302" w:type="dxa"/>
                </w:tcPr>
                <w:p w:rsidR="00CD5EBD" w:rsidRDefault="00CD5EBD" w:rsidP="00CD5EBD">
                  <w:pPr>
                    <w:rPr>
                      <w:szCs w:val="24"/>
                    </w:rPr>
                  </w:pPr>
                  <w:r>
                    <w:rPr>
                      <w:szCs w:val="24"/>
                    </w:rPr>
                    <w:t>&lt;=499 ng FEU/ml</w:t>
                  </w:r>
                </w:p>
              </w:tc>
            </w:tr>
            <w:tr w:rsidR="00CD5EBD" w:rsidTr="00CD5EBD">
              <w:tc>
                <w:tcPr>
                  <w:tcW w:w="4477" w:type="dxa"/>
                </w:tcPr>
                <w:p w:rsidR="00CD5EBD" w:rsidRDefault="00CD5EBD" w:rsidP="00CD5EBD">
                  <w:pPr>
                    <w:rPr>
                      <w:szCs w:val="24"/>
                    </w:rPr>
                  </w:pPr>
                  <w:r>
                    <w:rPr>
                      <w:szCs w:val="24"/>
                    </w:rPr>
                    <w:t>D-Dimer DVT Clinical Reportable Range</w:t>
                  </w:r>
                </w:p>
              </w:tc>
              <w:tc>
                <w:tcPr>
                  <w:tcW w:w="3302" w:type="dxa"/>
                </w:tcPr>
                <w:p w:rsidR="00CD5EBD" w:rsidRDefault="00CD5EBD" w:rsidP="00CD5EBD">
                  <w:pPr>
                    <w:rPr>
                      <w:szCs w:val="24"/>
                    </w:rPr>
                  </w:pPr>
                  <w:r>
                    <w:rPr>
                      <w:szCs w:val="24"/>
                    </w:rPr>
                    <w:t>270-4,000 ng FEU/ml</w:t>
                  </w:r>
                </w:p>
              </w:tc>
            </w:tr>
            <w:tr w:rsidR="00CD5EBD" w:rsidTr="00CD5EBD">
              <w:tc>
                <w:tcPr>
                  <w:tcW w:w="4477" w:type="dxa"/>
                </w:tcPr>
                <w:p w:rsidR="00CD5EBD" w:rsidRDefault="00CD5EBD" w:rsidP="00CD5EBD">
                  <w:pPr>
                    <w:rPr>
                      <w:szCs w:val="24"/>
                    </w:rPr>
                  </w:pPr>
                  <w:r>
                    <w:rPr>
                      <w:szCs w:val="24"/>
                    </w:rPr>
                    <w:t>D-Dimer PE Clinical Reportable Range</w:t>
                  </w:r>
                </w:p>
              </w:tc>
              <w:tc>
                <w:tcPr>
                  <w:tcW w:w="3302" w:type="dxa"/>
                </w:tcPr>
                <w:p w:rsidR="00CD5EBD" w:rsidRDefault="00CD5EBD" w:rsidP="00CD5EBD">
                  <w:pPr>
                    <w:rPr>
                      <w:szCs w:val="24"/>
                    </w:rPr>
                  </w:pPr>
                  <w:r>
                    <w:rPr>
                      <w:szCs w:val="24"/>
                    </w:rPr>
                    <w:t>270-4,000 ng FEU/ml</w:t>
                  </w:r>
                </w:p>
              </w:tc>
            </w:tr>
            <w:tr w:rsidR="00CD5EBD" w:rsidTr="00CD5EBD">
              <w:tc>
                <w:tcPr>
                  <w:tcW w:w="4477" w:type="dxa"/>
                </w:tcPr>
                <w:p w:rsidR="00CD5EBD" w:rsidRDefault="00CD5EBD" w:rsidP="00CD5EBD">
                  <w:pPr>
                    <w:rPr>
                      <w:szCs w:val="24"/>
                    </w:rPr>
                  </w:pPr>
                  <w:r>
                    <w:rPr>
                      <w:szCs w:val="24"/>
                    </w:rPr>
                    <w:t>D-Dimer DIC Clinical Reportable Range</w:t>
                  </w:r>
                </w:p>
              </w:tc>
              <w:tc>
                <w:tcPr>
                  <w:tcW w:w="3302" w:type="dxa"/>
                </w:tcPr>
                <w:p w:rsidR="00CD5EBD" w:rsidRDefault="00CD5EBD" w:rsidP="00CD5EBD">
                  <w:pPr>
                    <w:rPr>
                      <w:szCs w:val="24"/>
                    </w:rPr>
                  </w:pPr>
                  <w:r>
                    <w:rPr>
                      <w:szCs w:val="24"/>
                    </w:rPr>
                    <w:t>270-20,000 ng FEU/ml</w:t>
                  </w:r>
                </w:p>
              </w:tc>
            </w:tr>
          </w:tbl>
          <w:p w:rsidR="005A6EE9" w:rsidRPr="00781F79" w:rsidRDefault="005A6EE9" w:rsidP="00803536">
            <w:pPr>
              <w:rPr>
                <w:szCs w:val="24"/>
              </w:rPr>
            </w:pPr>
          </w:p>
        </w:tc>
      </w:tr>
    </w:tbl>
    <w:p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EE16B0" w:rsidRDefault="00EE16B0" w:rsidP="00803536">
            <w:pPr>
              <w:pStyle w:val="Heading5"/>
            </w:pPr>
          </w:p>
          <w:p w:rsidR="005A6EE9" w:rsidRPr="00D05042" w:rsidRDefault="00EE16B0" w:rsidP="00803536">
            <w:pPr>
              <w:pStyle w:val="Heading5"/>
            </w:pPr>
            <w:r>
              <w:t xml:space="preserve">Interpretation </w:t>
            </w:r>
            <w:r w:rsidR="00F06D93">
              <w:t xml:space="preserve"> Results / Critical </w:t>
            </w:r>
            <w:r w:rsidR="00D05042" w:rsidRPr="00D05042">
              <w:t>Values</w:t>
            </w:r>
          </w:p>
        </w:tc>
        <w:tc>
          <w:tcPr>
            <w:tcW w:w="8010" w:type="dxa"/>
          </w:tcPr>
          <w:p w:rsidR="00EE16B0" w:rsidRDefault="00EE16B0" w:rsidP="00803536">
            <w:pPr>
              <w:rPr>
                <w:szCs w:val="24"/>
              </w:rPr>
            </w:pPr>
          </w:p>
          <w:tbl>
            <w:tblPr>
              <w:tblStyle w:val="TableGrid"/>
              <w:tblW w:w="0" w:type="auto"/>
              <w:tblLayout w:type="fixed"/>
              <w:tblLook w:val="04A0" w:firstRow="1" w:lastRow="0" w:firstColumn="1" w:lastColumn="0" w:noHBand="0" w:noVBand="1"/>
            </w:tblPr>
            <w:tblGrid>
              <w:gridCol w:w="3889"/>
              <w:gridCol w:w="3890"/>
            </w:tblGrid>
            <w:tr w:rsidR="00F06D93" w:rsidTr="00F06D93">
              <w:tc>
                <w:tcPr>
                  <w:tcW w:w="3889" w:type="dxa"/>
                </w:tcPr>
                <w:p w:rsidR="00F06D93" w:rsidRDefault="007902C0" w:rsidP="00803536">
                  <w:pPr>
                    <w:rPr>
                      <w:szCs w:val="24"/>
                    </w:rPr>
                  </w:pPr>
                  <w:r>
                    <w:rPr>
                      <w:szCs w:val="24"/>
                    </w:rPr>
                    <w:t>D-Dimer</w:t>
                  </w:r>
                  <w:r w:rsidR="00F06D93">
                    <w:rPr>
                      <w:szCs w:val="24"/>
                    </w:rPr>
                    <w:t xml:space="preserve"> Critical Values</w:t>
                  </w:r>
                </w:p>
              </w:tc>
              <w:tc>
                <w:tcPr>
                  <w:tcW w:w="3890" w:type="dxa"/>
                </w:tcPr>
                <w:p w:rsidR="00F06D93" w:rsidRDefault="00F06D93" w:rsidP="00803536">
                  <w:pPr>
                    <w:rPr>
                      <w:szCs w:val="24"/>
                    </w:rPr>
                  </w:pPr>
                  <w:r>
                    <w:rPr>
                      <w:szCs w:val="24"/>
                    </w:rPr>
                    <w:t>None</w:t>
                  </w:r>
                </w:p>
              </w:tc>
            </w:tr>
          </w:tbl>
          <w:p w:rsidR="005A6EE9" w:rsidRPr="00781F79" w:rsidRDefault="005A6EE9" w:rsidP="00803536">
            <w:pPr>
              <w:rPr>
                <w:szCs w:val="24"/>
              </w:rPr>
            </w:pPr>
          </w:p>
        </w:tc>
      </w:tr>
    </w:tbl>
    <w:p w:rsidR="005A6EE9" w:rsidRDefault="005A6EE9" w:rsidP="005A6EE9">
      <w:pPr>
        <w:pStyle w:val="BlockLine"/>
      </w:pPr>
    </w:p>
    <w:tbl>
      <w:tblPr>
        <w:tblW w:w="0" w:type="auto"/>
        <w:tblLayout w:type="fixed"/>
        <w:tblLook w:val="0000" w:firstRow="0" w:lastRow="0" w:firstColumn="0" w:lastColumn="0" w:noHBand="0" w:noVBand="0"/>
      </w:tblPr>
      <w:tblGrid>
        <w:gridCol w:w="1728"/>
        <w:gridCol w:w="8010"/>
      </w:tblGrid>
      <w:tr w:rsidR="005A6EE9" w:rsidRPr="00781F79" w:rsidTr="00D32C36">
        <w:trPr>
          <w:cantSplit/>
        </w:trPr>
        <w:tc>
          <w:tcPr>
            <w:tcW w:w="1728" w:type="dxa"/>
          </w:tcPr>
          <w:p w:rsidR="005A6EE9" w:rsidRPr="00D05042" w:rsidRDefault="00D05042" w:rsidP="00803536">
            <w:pPr>
              <w:pStyle w:val="Heading5"/>
            </w:pPr>
            <w:r w:rsidRPr="00D05042">
              <w:t>Limitations</w:t>
            </w:r>
          </w:p>
        </w:tc>
        <w:tc>
          <w:tcPr>
            <w:tcW w:w="8010" w:type="dxa"/>
          </w:tcPr>
          <w:p w:rsidR="009D59FC" w:rsidRPr="009D59FC" w:rsidRDefault="009D59FC" w:rsidP="009D59FC">
            <w:pPr>
              <w:pStyle w:val="ListParagraph"/>
              <w:numPr>
                <w:ilvl w:val="0"/>
                <w:numId w:val="23"/>
              </w:numPr>
            </w:pPr>
            <w:r w:rsidRPr="009D59FC">
              <w:t>Cloudy plasmas may lead to an under-estimation of the D-Dimer level.  Ensure that the absorbance value at 540 nm of the plasma diluted 1:6 with STA</w:t>
            </w:r>
            <w:r w:rsidRPr="009D59FC">
              <w:rPr>
                <w:b/>
                <w:szCs w:val="24"/>
                <w:vertAlign w:val="superscript"/>
              </w:rPr>
              <w:t>®</w:t>
            </w:r>
            <w:r w:rsidRPr="009D59FC">
              <w:t xml:space="preserve"> - Owren-Koller buffer is &lt; 0.35.</w:t>
            </w:r>
          </w:p>
          <w:p w:rsidR="009D59FC" w:rsidRPr="009D59FC" w:rsidRDefault="009D59FC" w:rsidP="009D59FC">
            <w:pPr>
              <w:pStyle w:val="ListParagraph"/>
              <w:numPr>
                <w:ilvl w:val="0"/>
                <w:numId w:val="23"/>
              </w:numPr>
              <w:tabs>
                <w:tab w:val="num" w:pos="1588"/>
              </w:tabs>
            </w:pPr>
            <w:r w:rsidRPr="009D59FC">
              <w:t xml:space="preserve">An over-estimation of D-Dimer level may be seen in the following conditions; FDP concentrations greater than 15 </w:t>
            </w:r>
            <w:r w:rsidRPr="009D59FC">
              <w:rPr>
                <w:i/>
              </w:rPr>
              <w:t>u</w:t>
            </w:r>
            <w:r w:rsidRPr="009D59FC">
              <w:t xml:space="preserve">g/ml, the presence of rheumatoid factor at a level greater that 50 IU/ml, and the presence of anti-bovine albumin and/or anti-mouse antibodies in certain subjects </w:t>
            </w:r>
          </w:p>
          <w:p w:rsidR="005A6EE9" w:rsidRPr="004D787D" w:rsidRDefault="009D59FC" w:rsidP="00803536">
            <w:pPr>
              <w:pStyle w:val="ListParagraph"/>
              <w:numPr>
                <w:ilvl w:val="0"/>
                <w:numId w:val="23"/>
              </w:numPr>
              <w:tabs>
                <w:tab w:val="num" w:pos="1588"/>
              </w:tabs>
              <w:ind w:right="-270"/>
            </w:pPr>
            <w:r w:rsidRPr="009D59FC">
              <w:t>The STA</w:t>
            </w:r>
            <w:r w:rsidRPr="009D59FC">
              <w:rPr>
                <w:b/>
                <w:sz w:val="20"/>
                <w:vertAlign w:val="superscript"/>
              </w:rPr>
              <w:t>®</w:t>
            </w:r>
            <w:r w:rsidRPr="009D59FC">
              <w:t xml:space="preserve"> Liatest</w:t>
            </w:r>
            <w:r w:rsidRPr="009D59FC">
              <w:rPr>
                <w:b/>
                <w:vertAlign w:val="superscript"/>
              </w:rPr>
              <w:t xml:space="preserve">® </w:t>
            </w:r>
            <w:r w:rsidRPr="009D59FC">
              <w:t>D-Dimer is insensitive to the following substances:</w:t>
            </w:r>
            <w:r w:rsidRPr="009D59FC">
              <w:tab/>
              <w:t xml:space="preserve"> hemoglobin (up to 2 g/l); conjugated bilirubin (up to 290 mg/l); unconjugated bilirubin (up to 200 mg/l); unfractionated heparin (up to 2 IU/ml0), and LMWH (up to 2 anti-Xa IU/ml).</w:t>
            </w:r>
          </w:p>
        </w:tc>
      </w:tr>
    </w:tbl>
    <w:p w:rsidR="005A6EE9" w:rsidRDefault="005A6EE9" w:rsidP="005A6EE9">
      <w:pPr>
        <w:pStyle w:val="BlockLine"/>
      </w:pPr>
    </w:p>
    <w:tbl>
      <w:tblPr>
        <w:tblW w:w="9918" w:type="dxa"/>
        <w:tblLayout w:type="fixed"/>
        <w:tblLook w:val="0000" w:firstRow="0" w:lastRow="0" w:firstColumn="0" w:lastColumn="0" w:noHBand="0" w:noVBand="0"/>
      </w:tblPr>
      <w:tblGrid>
        <w:gridCol w:w="1709"/>
        <w:gridCol w:w="119"/>
        <w:gridCol w:w="3320"/>
        <w:gridCol w:w="4575"/>
        <w:gridCol w:w="195"/>
      </w:tblGrid>
      <w:tr w:rsidR="00781F79" w:rsidTr="0079785C">
        <w:trPr>
          <w:gridAfter w:val="1"/>
          <w:wAfter w:w="195" w:type="dxa"/>
          <w:cantSplit/>
          <w:trHeight w:val="972"/>
        </w:trPr>
        <w:tc>
          <w:tcPr>
            <w:tcW w:w="1709" w:type="dxa"/>
          </w:tcPr>
          <w:p w:rsidR="00781F79" w:rsidRDefault="00781F79" w:rsidP="0009129B">
            <w:pPr>
              <w:pStyle w:val="Heading5"/>
            </w:pPr>
            <w:r>
              <w:t>Controlled Documents</w:t>
            </w:r>
          </w:p>
        </w:tc>
        <w:tc>
          <w:tcPr>
            <w:tcW w:w="8014" w:type="dxa"/>
            <w:gridSpan w:val="3"/>
          </w:tcPr>
          <w:p w:rsidR="00781F79" w:rsidRDefault="00F06D93" w:rsidP="0009129B">
            <w:pPr>
              <w:pStyle w:val="BlockText"/>
              <w:jc w:val="left"/>
            </w:pPr>
            <w:r>
              <w:t xml:space="preserve">The following </w:t>
            </w:r>
            <w:r w:rsidR="00781F79">
              <w:t>non-controlled documents support this p</w:t>
            </w:r>
            <w:r w:rsidR="00D20336">
              <w:t>rocedure</w:t>
            </w:r>
            <w:r w:rsidR="00781F79">
              <w:t>.</w:t>
            </w:r>
          </w:p>
          <w:p w:rsidR="00F06DB2" w:rsidRDefault="00F06DB2" w:rsidP="00F06D93">
            <w:pPr>
              <w:pStyle w:val="BlockText"/>
              <w:tabs>
                <w:tab w:val="left" w:pos="162"/>
              </w:tabs>
              <w:jc w:val="left"/>
            </w:pPr>
          </w:p>
        </w:tc>
      </w:tr>
      <w:tr w:rsidR="00F06D93"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Document No.</w:t>
            </w:r>
          </w:p>
        </w:tc>
        <w:tc>
          <w:tcPr>
            <w:tcW w:w="4770" w:type="dxa"/>
            <w:gridSpan w:val="2"/>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Name of Documents</w:t>
            </w:r>
          </w:p>
        </w:tc>
      </w:tr>
      <w:tr w:rsidR="00F06D93"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LPhM 200</w:t>
            </w:r>
          </w:p>
        </w:tc>
        <w:tc>
          <w:tcPr>
            <w:tcW w:w="4770" w:type="dxa"/>
            <w:gridSpan w:val="2"/>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Performing Venipuncture at KP LAMC</w:t>
            </w:r>
          </w:p>
        </w:tc>
      </w:tr>
      <w:tr w:rsidR="00F06D93"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lastRenderedPageBreak/>
              <w:t>LSPM 203</w:t>
            </w:r>
          </w:p>
        </w:tc>
        <w:tc>
          <w:tcPr>
            <w:tcW w:w="4770" w:type="dxa"/>
            <w:gridSpan w:val="2"/>
            <w:tcBorders>
              <w:top w:val="single" w:sz="6" w:space="0" w:color="auto"/>
              <w:left w:val="single" w:sz="6" w:space="0" w:color="auto"/>
              <w:bottom w:val="single" w:sz="6" w:space="0" w:color="auto"/>
              <w:right w:val="single" w:sz="6" w:space="0" w:color="auto"/>
            </w:tcBorders>
          </w:tcPr>
          <w:p w:rsidR="00F06D93" w:rsidRPr="00F06D93" w:rsidRDefault="00F06D93" w:rsidP="00F06D93">
            <w:pPr>
              <w:rPr>
                <w:szCs w:val="24"/>
              </w:rPr>
            </w:pPr>
            <w:r>
              <w:rPr>
                <w:szCs w:val="24"/>
              </w:rPr>
              <w:t>Specimen Collection, Handling, Packaging and Transportation</w:t>
            </w:r>
          </w:p>
        </w:tc>
      </w:tr>
      <w:tr w:rsidR="00B15A21"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B15A21" w:rsidRDefault="00B15A21" w:rsidP="00F91C4E">
            <w:pPr>
              <w:pStyle w:val="TableText"/>
              <w:rPr>
                <w:szCs w:val="24"/>
              </w:rPr>
            </w:pPr>
            <w:r>
              <w:rPr>
                <w:szCs w:val="24"/>
              </w:rPr>
              <w:t>LGM 2022</w:t>
            </w:r>
          </w:p>
        </w:tc>
        <w:tc>
          <w:tcPr>
            <w:tcW w:w="4770" w:type="dxa"/>
            <w:gridSpan w:val="2"/>
            <w:tcBorders>
              <w:top w:val="single" w:sz="6" w:space="0" w:color="auto"/>
              <w:left w:val="single" w:sz="6" w:space="0" w:color="auto"/>
              <w:bottom w:val="single" w:sz="6" w:space="0" w:color="auto"/>
              <w:right w:val="single" w:sz="6" w:space="0" w:color="auto"/>
            </w:tcBorders>
          </w:tcPr>
          <w:p w:rsidR="00B15A21" w:rsidRDefault="00B15A21" w:rsidP="00F06D93">
            <w:pPr>
              <w:rPr>
                <w:szCs w:val="24"/>
              </w:rPr>
            </w:pPr>
            <w:r>
              <w:rPr>
                <w:szCs w:val="24"/>
              </w:rPr>
              <w:t>Quality Control (QC) Policy</w:t>
            </w:r>
          </w:p>
        </w:tc>
      </w:tr>
      <w:tr w:rsidR="009D59FC"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9D59FC" w:rsidRDefault="009D59FC" w:rsidP="00F91C4E">
            <w:pPr>
              <w:pStyle w:val="TableText"/>
              <w:rPr>
                <w:szCs w:val="24"/>
              </w:rPr>
            </w:pPr>
            <w:r>
              <w:rPr>
                <w:szCs w:val="24"/>
              </w:rPr>
              <w:t>LCoM</w:t>
            </w:r>
            <w:r w:rsidR="004D787D">
              <w:rPr>
                <w:szCs w:val="24"/>
              </w:rPr>
              <w:t xml:space="preserve"> 416</w:t>
            </w:r>
          </w:p>
        </w:tc>
        <w:tc>
          <w:tcPr>
            <w:tcW w:w="4770" w:type="dxa"/>
            <w:gridSpan w:val="2"/>
            <w:tcBorders>
              <w:top w:val="single" w:sz="6" w:space="0" w:color="auto"/>
              <w:left w:val="single" w:sz="6" w:space="0" w:color="auto"/>
              <w:bottom w:val="single" w:sz="6" w:space="0" w:color="auto"/>
              <w:right w:val="single" w:sz="6" w:space="0" w:color="auto"/>
            </w:tcBorders>
          </w:tcPr>
          <w:p w:rsidR="009D59FC" w:rsidRPr="0079785C" w:rsidRDefault="00AA43BD" w:rsidP="00F06D93">
            <w:pPr>
              <w:rPr>
                <w:szCs w:val="24"/>
              </w:rPr>
            </w:pPr>
            <w:r>
              <w:rPr>
                <w:szCs w:val="24"/>
              </w:rPr>
              <w:t>STA® - Compact®</w:t>
            </w:r>
            <w:r w:rsidR="0079785C">
              <w:rPr>
                <w:szCs w:val="24"/>
              </w:rPr>
              <w:t xml:space="preserve"> Calibration/Verification</w:t>
            </w:r>
          </w:p>
        </w:tc>
      </w:tr>
      <w:tr w:rsidR="00F06D93"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8000</w:t>
            </w:r>
          </w:p>
        </w:tc>
        <w:tc>
          <w:tcPr>
            <w:tcW w:w="4770" w:type="dxa"/>
            <w:gridSpan w:val="2"/>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Safety Practices</w:t>
            </w:r>
          </w:p>
        </w:tc>
      </w:tr>
      <w:tr w:rsidR="00F06D93"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8004</w:t>
            </w:r>
          </w:p>
        </w:tc>
        <w:tc>
          <w:tcPr>
            <w:tcW w:w="4770" w:type="dxa"/>
            <w:gridSpan w:val="2"/>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Infection Control</w:t>
            </w:r>
          </w:p>
        </w:tc>
      </w:tr>
      <w:tr w:rsidR="00F06D93"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8005</w:t>
            </w:r>
          </w:p>
        </w:tc>
        <w:tc>
          <w:tcPr>
            <w:tcW w:w="4770" w:type="dxa"/>
            <w:gridSpan w:val="2"/>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Universal Body Substance Precautions</w:t>
            </w:r>
          </w:p>
        </w:tc>
      </w:tr>
      <w:tr w:rsidR="00F06D93"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8006</w:t>
            </w:r>
          </w:p>
        </w:tc>
        <w:tc>
          <w:tcPr>
            <w:tcW w:w="4770" w:type="dxa"/>
            <w:gridSpan w:val="2"/>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Handling of Regular and Infectious Waste</w:t>
            </w:r>
          </w:p>
        </w:tc>
      </w:tr>
      <w:tr w:rsidR="00F06D93"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8007</w:t>
            </w:r>
          </w:p>
        </w:tc>
        <w:tc>
          <w:tcPr>
            <w:tcW w:w="4770" w:type="dxa"/>
            <w:gridSpan w:val="2"/>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Cleaning Work Areas</w:t>
            </w:r>
          </w:p>
        </w:tc>
      </w:tr>
      <w:tr w:rsidR="00F06D93"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8010</w:t>
            </w:r>
          </w:p>
        </w:tc>
        <w:tc>
          <w:tcPr>
            <w:tcW w:w="4770" w:type="dxa"/>
            <w:gridSpan w:val="2"/>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Hand washing Policy</w:t>
            </w:r>
          </w:p>
        </w:tc>
      </w:tr>
      <w:tr w:rsidR="00F06D93" w:rsidTr="0079785C">
        <w:tblPrEx>
          <w:tblCellMar>
            <w:left w:w="80" w:type="dxa"/>
            <w:right w:w="80" w:type="dxa"/>
          </w:tblCellMar>
        </w:tblPrEx>
        <w:trPr>
          <w:gridBefore w:val="2"/>
          <w:wBefore w:w="1828" w:type="dxa"/>
          <w:cantSplit/>
        </w:trPr>
        <w:tc>
          <w:tcPr>
            <w:tcW w:w="3320"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LGM 8012</w:t>
            </w:r>
          </w:p>
        </w:tc>
        <w:tc>
          <w:tcPr>
            <w:tcW w:w="4770" w:type="dxa"/>
            <w:gridSpan w:val="2"/>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t>Storage and disposal of Chemical Hazardous Waste</w:t>
            </w:r>
          </w:p>
        </w:tc>
      </w:tr>
    </w:tbl>
    <w:p w:rsidR="00D05042" w:rsidRDefault="00D05042" w:rsidP="00D05042">
      <w:pPr>
        <w:pStyle w:val="Heading4"/>
      </w:pPr>
    </w:p>
    <w:p w:rsidR="00F06DB2" w:rsidRDefault="00F06DB2" w:rsidP="00F06DB2">
      <w:pPr>
        <w:pStyle w:val="BlockLine"/>
      </w:pPr>
    </w:p>
    <w:tbl>
      <w:tblPr>
        <w:tblW w:w="0" w:type="auto"/>
        <w:tblLayout w:type="fixed"/>
        <w:tblLook w:val="0000" w:firstRow="0" w:lastRow="0" w:firstColumn="0" w:lastColumn="0" w:noHBand="0" w:noVBand="0"/>
      </w:tblPr>
      <w:tblGrid>
        <w:gridCol w:w="1728"/>
        <w:gridCol w:w="8010"/>
      </w:tblGrid>
      <w:tr w:rsidR="00F06DB2" w:rsidTr="00F06DB2">
        <w:trPr>
          <w:cantSplit/>
        </w:trPr>
        <w:tc>
          <w:tcPr>
            <w:tcW w:w="1728" w:type="dxa"/>
          </w:tcPr>
          <w:p w:rsidR="00F06DB2" w:rsidRDefault="00F5406C" w:rsidP="0009129B">
            <w:pPr>
              <w:pStyle w:val="Heading5"/>
            </w:pPr>
            <w:r>
              <w:t>Non-</w:t>
            </w:r>
            <w:bookmarkStart w:id="0" w:name="_GoBack"/>
            <w:bookmarkEnd w:id="0"/>
            <w:r w:rsidR="00F06DB2">
              <w:t>Controlled Documents</w:t>
            </w:r>
          </w:p>
        </w:tc>
        <w:tc>
          <w:tcPr>
            <w:tcW w:w="8010" w:type="dxa"/>
          </w:tcPr>
          <w:p w:rsidR="00F06DB2" w:rsidRDefault="00F06DB2" w:rsidP="00F06DB2">
            <w:pPr>
              <w:pStyle w:val="BlockText"/>
              <w:jc w:val="left"/>
            </w:pPr>
            <w:r>
              <w:t>The following controlled documents support this p</w:t>
            </w:r>
            <w:r w:rsidR="00D05042">
              <w:t>rocedure</w:t>
            </w:r>
            <w:r>
              <w:t>.</w:t>
            </w:r>
          </w:p>
          <w:p w:rsidR="00F06DB2" w:rsidRDefault="00F06DB2" w:rsidP="00F06DB2">
            <w:pPr>
              <w:pStyle w:val="BlockText"/>
              <w:jc w:val="left"/>
            </w:pPr>
          </w:p>
        </w:tc>
      </w:tr>
    </w:tbl>
    <w:p w:rsidR="00F06D93" w:rsidRDefault="00F06D93">
      <w:r>
        <w:tab/>
      </w:r>
      <w:r>
        <w:tab/>
        <w:t xml:space="preserve">     </w:t>
      </w:r>
    </w:p>
    <w:tbl>
      <w:tblPr>
        <w:tblW w:w="8090" w:type="dxa"/>
        <w:tblInd w:w="1800" w:type="dxa"/>
        <w:tblLayout w:type="fixed"/>
        <w:tblCellMar>
          <w:left w:w="80" w:type="dxa"/>
          <w:right w:w="80" w:type="dxa"/>
        </w:tblCellMar>
        <w:tblLook w:val="0000" w:firstRow="0" w:lastRow="0" w:firstColumn="0" w:lastColumn="0" w:noHBand="0" w:noVBand="0"/>
      </w:tblPr>
      <w:tblGrid>
        <w:gridCol w:w="3773"/>
        <w:gridCol w:w="4317"/>
      </w:tblGrid>
      <w:tr w:rsidR="00F06D93" w:rsidTr="0079785C">
        <w:trPr>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Document No.</w:t>
            </w:r>
          </w:p>
        </w:tc>
        <w:tc>
          <w:tcPr>
            <w:tcW w:w="431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HeaderText"/>
            </w:pPr>
            <w:r>
              <w:t>Name of Documents</w:t>
            </w:r>
          </w:p>
        </w:tc>
      </w:tr>
      <w:tr w:rsidR="00F06D93" w:rsidRPr="008E5F27" w:rsidTr="0079785C">
        <w:trPr>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p>
        </w:tc>
        <w:tc>
          <w:tcPr>
            <w:tcW w:w="4317" w:type="dxa"/>
            <w:tcBorders>
              <w:top w:val="single" w:sz="6" w:space="0" w:color="auto"/>
              <w:left w:val="single" w:sz="6" w:space="0" w:color="auto"/>
              <w:bottom w:val="single" w:sz="6" w:space="0" w:color="auto"/>
              <w:right w:val="single" w:sz="6" w:space="0" w:color="auto"/>
            </w:tcBorders>
          </w:tcPr>
          <w:p w:rsidR="00F06D93" w:rsidRPr="008E5F27" w:rsidRDefault="00E95E83" w:rsidP="00F91C4E">
            <w:pPr>
              <w:pStyle w:val="TableText"/>
            </w:pPr>
            <w:r w:rsidRPr="00E95E83">
              <w:t>STA® - Compact®</w:t>
            </w:r>
            <w:r w:rsidR="00F06D93">
              <w:t xml:space="preserve"> Reference Manual</w:t>
            </w:r>
          </w:p>
        </w:tc>
      </w:tr>
      <w:tr w:rsidR="00F06D93" w:rsidTr="0079785C">
        <w:trPr>
          <w:cantSplit/>
        </w:trPr>
        <w:tc>
          <w:tcPr>
            <w:tcW w:w="3773"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p>
        </w:tc>
        <w:tc>
          <w:tcPr>
            <w:tcW w:w="4317" w:type="dxa"/>
            <w:tcBorders>
              <w:top w:val="single" w:sz="6" w:space="0" w:color="auto"/>
              <w:left w:val="single" w:sz="6" w:space="0" w:color="auto"/>
              <w:bottom w:val="single" w:sz="6" w:space="0" w:color="auto"/>
              <w:right w:val="single" w:sz="6" w:space="0" w:color="auto"/>
            </w:tcBorders>
          </w:tcPr>
          <w:p w:rsidR="00F06D93" w:rsidRDefault="00F06D93" w:rsidP="00F91C4E">
            <w:pPr>
              <w:pStyle w:val="TableText"/>
            </w:pPr>
            <w:r>
              <w:rPr>
                <w:szCs w:val="24"/>
              </w:rPr>
              <w:t>STA® Package Inserts</w:t>
            </w:r>
          </w:p>
        </w:tc>
      </w:tr>
    </w:tbl>
    <w:p w:rsidR="00A3670D" w:rsidRDefault="00A3670D"/>
    <w:p w:rsidR="00EC7C99" w:rsidRDefault="00EC7C99" w:rsidP="00EC7C99">
      <w:pPr>
        <w:pStyle w:val="BlockLine"/>
        <w:rPr>
          <w:szCs w:val="24"/>
        </w:rPr>
      </w:pPr>
    </w:p>
    <w:tbl>
      <w:tblPr>
        <w:tblW w:w="0" w:type="auto"/>
        <w:tblLayout w:type="fixed"/>
        <w:tblLook w:val="0000" w:firstRow="0" w:lastRow="0" w:firstColumn="0" w:lastColumn="0" w:noHBand="0" w:noVBand="0"/>
      </w:tblPr>
      <w:tblGrid>
        <w:gridCol w:w="1728"/>
        <w:gridCol w:w="8010"/>
      </w:tblGrid>
      <w:tr w:rsidR="00F06DB2" w:rsidTr="0009129B">
        <w:trPr>
          <w:cantSplit/>
        </w:trPr>
        <w:tc>
          <w:tcPr>
            <w:tcW w:w="1728" w:type="dxa"/>
          </w:tcPr>
          <w:p w:rsidR="00F06DB2" w:rsidRPr="00781F79" w:rsidRDefault="00F06DB2" w:rsidP="00F06DB2">
            <w:pPr>
              <w:pStyle w:val="Heading5"/>
            </w:pPr>
            <w:r w:rsidRPr="00781F79">
              <w:t>A</w:t>
            </w:r>
            <w:r>
              <w:t>uthor</w:t>
            </w:r>
            <w:r w:rsidR="00D32C36">
              <w:t>(s)</w:t>
            </w:r>
          </w:p>
        </w:tc>
        <w:tc>
          <w:tcPr>
            <w:tcW w:w="8010" w:type="dxa"/>
          </w:tcPr>
          <w:p w:rsidR="00F06DB2" w:rsidRPr="00D05042" w:rsidRDefault="00F06D93" w:rsidP="00F06DB2">
            <w:pPr>
              <w:rPr>
                <w:szCs w:val="24"/>
              </w:rPr>
            </w:pPr>
            <w:r>
              <w:rPr>
                <w:szCs w:val="24"/>
              </w:rPr>
              <w:t>Rosalie I. Fajardo, MS CLS</w:t>
            </w:r>
            <w:r w:rsidR="00CC6651">
              <w:rPr>
                <w:szCs w:val="24"/>
              </w:rPr>
              <w:t>(ASCP)</w:t>
            </w:r>
          </w:p>
          <w:p w:rsidR="00D05042" w:rsidRPr="00D05042" w:rsidRDefault="00D05042" w:rsidP="00F06DB2">
            <w:pPr>
              <w:rPr>
                <w:szCs w:val="24"/>
              </w:rPr>
            </w:pPr>
          </w:p>
        </w:tc>
      </w:tr>
    </w:tbl>
    <w:p w:rsidR="00D26AE2" w:rsidRDefault="00D26AE2" w:rsidP="00D26AE2">
      <w:pPr>
        <w:pStyle w:val="BlockLine"/>
      </w:pPr>
    </w:p>
    <w:p w:rsidR="00F06DB2" w:rsidRDefault="00F06DB2" w:rsidP="00D26AE2"/>
    <w:sectPr w:rsidR="00F06DB2" w:rsidSect="003805DB">
      <w:headerReference w:type="even" r:id="rId7"/>
      <w:headerReference w:type="default" r:id="rId8"/>
      <w:footerReference w:type="even" r:id="rId9"/>
      <w:footerReference w:type="default" r:id="rId10"/>
      <w:headerReference w:type="first" r:id="rId11"/>
      <w:footerReference w:type="first" r:id="rId12"/>
      <w:pgSz w:w="12240" w:h="15840" w:code="1"/>
      <w:pgMar w:top="1008" w:right="1152" w:bottom="1008"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96E" w:rsidRDefault="0050196E">
      <w:r>
        <w:separator/>
      </w:r>
    </w:p>
  </w:endnote>
  <w:endnote w:type="continuationSeparator" w:id="0">
    <w:p w:rsidR="0050196E" w:rsidRDefault="0050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Footer"/>
      <w:framePr w:wrap="around" w:vAnchor="text" w:hAnchor="margin" w:xAlign="right" w:y="1"/>
    </w:pPr>
    <w:r>
      <w:fldChar w:fldCharType="begin"/>
    </w:r>
    <w:r>
      <w:instrText xml:space="preserve">PAGE  </w:instrText>
    </w:r>
    <w:r>
      <w:fldChar w:fldCharType="end"/>
    </w:r>
  </w:p>
  <w:p w:rsidR="00D0664E" w:rsidRDefault="00D0664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C60114" w:rsidP="00EC7C99">
    <w:pPr>
      <w:pStyle w:val="Footer"/>
      <w:tabs>
        <w:tab w:val="clear" w:pos="4320"/>
        <w:tab w:val="clear" w:pos="8640"/>
        <w:tab w:val="center" w:pos="4680"/>
      </w:tabs>
      <w:ind w:right="90"/>
      <w:jc w:val="right"/>
    </w:pPr>
    <w:r>
      <w:rPr>
        <w:rFonts w:ascii="Arial" w:hAnsi="Arial" w:cs="Arial"/>
        <w:snapToGrid w:val="0"/>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F5406C">
      <w:rPr>
        <w:rStyle w:val="PageNumber"/>
        <w:rFonts w:ascii="Arial" w:hAnsi="Arial" w:cs="Arial"/>
        <w:noProof/>
        <w:sz w:val="20"/>
      </w:rPr>
      <w:t>7</w:t>
    </w:r>
    <w:r>
      <w:rPr>
        <w:rStyle w:val="PageNumber"/>
        <w:rFonts w:ascii="Arial" w:hAnsi="Arial" w:cs="Arial"/>
        <w:sz w:val="20"/>
      </w:rPr>
      <w:fldChar w:fldCharType="end"/>
    </w:r>
    <w:r>
      <w:rPr>
        <w:rFonts w:ascii="Arial" w:hAnsi="Arial" w:cs="Arial"/>
        <w:snapToGrid w:val="0"/>
        <w:sz w:val="20"/>
      </w:rPr>
      <w:t xml:space="preserve"> of </w:t>
    </w:r>
    <w:r w:rsidRPr="009E6162">
      <w:rPr>
        <w:rStyle w:val="PageNumber"/>
        <w:rFonts w:ascii="Arial" w:hAnsi="Arial" w:cs="Arial"/>
        <w:sz w:val="20"/>
      </w:rPr>
      <w:fldChar w:fldCharType="begin"/>
    </w:r>
    <w:r w:rsidRPr="009E6162">
      <w:rPr>
        <w:rStyle w:val="PageNumber"/>
        <w:rFonts w:ascii="Arial" w:hAnsi="Arial" w:cs="Arial"/>
        <w:sz w:val="20"/>
      </w:rPr>
      <w:instrText xml:space="preserve"> NUMPAGES </w:instrText>
    </w:r>
    <w:r w:rsidRPr="009E6162">
      <w:rPr>
        <w:rStyle w:val="PageNumber"/>
        <w:rFonts w:ascii="Arial" w:hAnsi="Arial" w:cs="Arial"/>
        <w:sz w:val="20"/>
      </w:rPr>
      <w:fldChar w:fldCharType="separate"/>
    </w:r>
    <w:r w:rsidR="00F5406C">
      <w:rPr>
        <w:rStyle w:val="PageNumber"/>
        <w:rFonts w:ascii="Arial" w:hAnsi="Arial" w:cs="Arial"/>
        <w:noProof/>
        <w:sz w:val="20"/>
      </w:rPr>
      <w:t>9</w:t>
    </w:r>
    <w:r w:rsidRPr="009E6162">
      <w:rPr>
        <w:rStyle w:val="PageNumber"/>
        <w:rFonts w:ascii="Arial" w:hAnsi="Arial" w:cs="Arial"/>
        <w:sz w:val="20"/>
      </w:rPr>
      <w:fldChar w:fldCharType="end"/>
    </w:r>
    <w:r>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FE" w:rsidRDefault="00A10B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96E" w:rsidRDefault="0050196E">
      <w:r>
        <w:separator/>
      </w:r>
    </w:p>
  </w:footnote>
  <w:footnote w:type="continuationSeparator" w:id="0">
    <w:p w:rsidR="0050196E" w:rsidRDefault="00501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4E" w:rsidRDefault="00D06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64E" w:rsidRDefault="00D0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B9218C" w:rsidRPr="00B9218C" w:rsidTr="00B9218C">
      <w:tc>
        <w:tcPr>
          <w:tcW w:w="2605" w:type="dxa"/>
        </w:tcPr>
        <w:p w:rsidR="00B9218C" w:rsidRPr="00B9218C" w:rsidRDefault="00B9218C">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B9218C" w:rsidRDefault="00B9218C">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B9218C" w:rsidRDefault="00B9218C" w:rsidP="00B9218C">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B9218C" w:rsidRPr="00B9218C" w:rsidRDefault="001972E2" w:rsidP="00B9218C">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Systems</w:t>
          </w:r>
        </w:p>
        <w:p w:rsidR="00B9218C" w:rsidRDefault="001972E2" w:rsidP="00B9218C">
          <w:pPr>
            <w:pStyle w:val="Header"/>
            <w:tabs>
              <w:tab w:val="clear" w:pos="4320"/>
              <w:tab w:val="clear" w:pos="8640"/>
              <w:tab w:val="center" w:pos="4680"/>
              <w:tab w:val="right" w:pos="9360"/>
            </w:tabs>
            <w:jc w:val="right"/>
            <w:rPr>
              <w:rFonts w:ascii="Arial" w:hAnsi="Arial"/>
              <w:sz w:val="20"/>
            </w:rPr>
          </w:pPr>
          <w:r>
            <w:rPr>
              <w:rFonts w:ascii="Arial" w:hAnsi="Arial"/>
              <w:sz w:val="20"/>
            </w:rPr>
            <w:t>Lo</w:t>
          </w:r>
          <w:r w:rsidR="00B9218C">
            <w:rPr>
              <w:rFonts w:ascii="Arial" w:hAnsi="Arial"/>
              <w:sz w:val="20"/>
            </w:rPr>
            <w:t>s</w:t>
          </w:r>
          <w:r>
            <w:rPr>
              <w:rFonts w:ascii="Arial" w:hAnsi="Arial"/>
              <w:sz w:val="20"/>
            </w:rPr>
            <w:t xml:space="preserve"> Angeles</w:t>
          </w:r>
        </w:p>
        <w:p w:rsidR="00B9218C" w:rsidRPr="00B9218C" w:rsidRDefault="00B9218C" w:rsidP="00B9218C">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B9218C" w:rsidRDefault="00B9218C">
    <w:pPr>
      <w:pStyle w:val="Header"/>
      <w:tabs>
        <w:tab w:val="clear" w:pos="4320"/>
        <w:tab w:val="clear" w:pos="8640"/>
        <w:tab w:val="center" w:pos="4680"/>
        <w:tab w:val="right" w:pos="9360"/>
      </w:tabs>
      <w:rPr>
        <w:szCs w:val="24"/>
      </w:rPr>
    </w:pPr>
  </w:p>
  <w:p w:rsidR="00A10BFE" w:rsidRPr="00DB364A" w:rsidRDefault="00BF7E09" w:rsidP="00A10BFE">
    <w:pPr>
      <w:rPr>
        <w:rFonts w:ascii="Arial" w:hAnsi="Arial" w:cs="Arial"/>
        <w:sz w:val="32"/>
        <w:szCs w:val="32"/>
      </w:rPr>
    </w:pPr>
    <w:r>
      <w:rPr>
        <w:rFonts w:ascii="Arial" w:hAnsi="Arial" w:cs="Arial"/>
        <w:sz w:val="32"/>
      </w:rPr>
      <w:t xml:space="preserve">D-DIMER </w:t>
    </w:r>
    <w:r w:rsidR="00C1738D" w:rsidRPr="00FE18DC">
      <w:rPr>
        <w:rFonts w:ascii="Arial" w:hAnsi="Arial" w:cs="Arial"/>
        <w:sz w:val="32"/>
      </w:rPr>
      <w:t>DETERMINATION ON THE</w:t>
    </w:r>
    <w:r>
      <w:rPr>
        <w:rFonts w:ascii="Arial" w:hAnsi="Arial" w:cs="Arial"/>
        <w:sz w:val="32"/>
      </w:rPr>
      <w:t xml:space="preserve"> </w:t>
    </w:r>
    <w:r w:rsidR="00A10BFE" w:rsidRPr="00DB364A">
      <w:rPr>
        <w:rFonts w:ascii="Arial" w:hAnsi="Arial" w:cs="Arial"/>
        <w:sz w:val="32"/>
        <w:szCs w:val="32"/>
      </w:rPr>
      <w:t>STAGO STA® COMPACT®</w:t>
    </w:r>
  </w:p>
  <w:p w:rsidR="00B9218C" w:rsidRPr="00A10BFE" w:rsidRDefault="00B9218C" w:rsidP="00BF7E09">
    <w:pPr>
      <w:rPr>
        <w:rFonts w:ascii="Arial" w:hAnsi="Arial" w:cs="Arial"/>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none" w:sz="0" w:space="0" w:color="auto"/>
      </w:tblBorders>
      <w:tblLook w:val="04A0" w:firstRow="1" w:lastRow="0" w:firstColumn="1" w:lastColumn="0" w:noHBand="0" w:noVBand="1"/>
    </w:tblPr>
    <w:tblGrid>
      <w:gridCol w:w="2605"/>
      <w:gridCol w:w="7033"/>
    </w:tblGrid>
    <w:tr w:rsidR="003805DB" w:rsidRPr="00B9218C" w:rsidTr="00DB65BD">
      <w:tc>
        <w:tcPr>
          <w:tcW w:w="2605" w:type="dxa"/>
        </w:tcPr>
        <w:p w:rsidR="003805DB" w:rsidRPr="00B9218C" w:rsidRDefault="003805DB" w:rsidP="003805DB">
          <w:pPr>
            <w:pStyle w:val="Header"/>
            <w:tabs>
              <w:tab w:val="clear" w:pos="4320"/>
              <w:tab w:val="clear" w:pos="8640"/>
              <w:tab w:val="center" w:pos="4680"/>
              <w:tab w:val="right" w:pos="9360"/>
            </w:tabs>
            <w:rPr>
              <w:rFonts w:ascii="Arial" w:hAnsi="Arial"/>
              <w:sz w:val="20"/>
            </w:rPr>
          </w:pPr>
          <w:r w:rsidRPr="00B9218C">
            <w:rPr>
              <w:rFonts w:ascii="Arial" w:hAnsi="Arial"/>
              <w:sz w:val="20"/>
            </w:rPr>
            <w:t>Kaiser Permanente</w:t>
          </w:r>
        </w:p>
        <w:p w:rsidR="003805DB" w:rsidRDefault="003805DB" w:rsidP="003805DB">
          <w:pPr>
            <w:pStyle w:val="Header"/>
            <w:tabs>
              <w:tab w:val="clear" w:pos="4320"/>
              <w:tab w:val="clear" w:pos="8640"/>
              <w:tab w:val="center" w:pos="4680"/>
              <w:tab w:val="right" w:pos="9360"/>
            </w:tabs>
            <w:rPr>
              <w:rFonts w:ascii="Arial" w:hAnsi="Arial"/>
              <w:sz w:val="20"/>
            </w:rPr>
          </w:pPr>
          <w:r>
            <w:rPr>
              <w:rFonts w:ascii="Arial" w:hAnsi="Arial"/>
              <w:sz w:val="20"/>
            </w:rPr>
            <w:t>Medical Care Program</w:t>
          </w:r>
        </w:p>
        <w:p w:rsidR="003805DB" w:rsidRDefault="003805DB" w:rsidP="003805DB">
          <w:pPr>
            <w:pStyle w:val="Header"/>
            <w:tabs>
              <w:tab w:val="clear" w:pos="4320"/>
              <w:tab w:val="clear" w:pos="8640"/>
              <w:tab w:val="center" w:pos="4680"/>
              <w:tab w:val="right" w:pos="9360"/>
            </w:tabs>
            <w:rPr>
              <w:szCs w:val="24"/>
            </w:rPr>
          </w:pPr>
          <w:r>
            <w:rPr>
              <w:rFonts w:ascii="Arial" w:hAnsi="Arial"/>
              <w:sz w:val="20"/>
            </w:rPr>
            <w:t>California Division – South</w:t>
          </w:r>
        </w:p>
      </w:tc>
      <w:tc>
        <w:tcPr>
          <w:tcW w:w="7033" w:type="dxa"/>
        </w:tcPr>
        <w:p w:rsidR="003805DB" w:rsidRPr="00B9218C" w:rsidRDefault="00475EAC" w:rsidP="003805DB">
          <w:pPr>
            <w:pStyle w:val="Header"/>
            <w:tabs>
              <w:tab w:val="clear" w:pos="4320"/>
              <w:tab w:val="clear" w:pos="8640"/>
              <w:tab w:val="center" w:pos="4680"/>
              <w:tab w:val="right" w:pos="9360"/>
            </w:tabs>
            <w:jc w:val="right"/>
            <w:rPr>
              <w:rFonts w:ascii="Arial" w:hAnsi="Arial"/>
              <w:sz w:val="20"/>
            </w:rPr>
          </w:pPr>
          <w:r>
            <w:rPr>
              <w:rFonts w:ascii="Arial" w:hAnsi="Arial"/>
              <w:sz w:val="20"/>
            </w:rPr>
            <w:t>SCPMG Laboratory System</w:t>
          </w:r>
        </w:p>
        <w:p w:rsidR="003805DB" w:rsidRDefault="00475EAC" w:rsidP="003805DB">
          <w:pPr>
            <w:pStyle w:val="Header"/>
            <w:tabs>
              <w:tab w:val="clear" w:pos="4320"/>
              <w:tab w:val="clear" w:pos="8640"/>
              <w:tab w:val="center" w:pos="4680"/>
              <w:tab w:val="right" w:pos="9360"/>
            </w:tabs>
            <w:jc w:val="right"/>
            <w:rPr>
              <w:rFonts w:ascii="Arial" w:hAnsi="Arial"/>
              <w:sz w:val="20"/>
            </w:rPr>
          </w:pPr>
          <w:r>
            <w:rPr>
              <w:rFonts w:ascii="Arial" w:hAnsi="Arial"/>
              <w:sz w:val="20"/>
            </w:rPr>
            <w:t>Lo</w:t>
          </w:r>
          <w:r w:rsidR="00A14F18">
            <w:rPr>
              <w:rFonts w:ascii="Arial" w:hAnsi="Arial"/>
              <w:sz w:val="20"/>
            </w:rPr>
            <w:t>s</w:t>
          </w:r>
          <w:r>
            <w:rPr>
              <w:rFonts w:ascii="Arial" w:hAnsi="Arial"/>
              <w:sz w:val="20"/>
            </w:rPr>
            <w:t xml:space="preserve"> Angeles</w:t>
          </w:r>
        </w:p>
        <w:p w:rsidR="003805DB" w:rsidRPr="00B9218C" w:rsidRDefault="003805DB" w:rsidP="003805DB">
          <w:pPr>
            <w:pStyle w:val="Header"/>
            <w:tabs>
              <w:tab w:val="clear" w:pos="4320"/>
              <w:tab w:val="clear" w:pos="8640"/>
              <w:tab w:val="center" w:pos="4680"/>
              <w:tab w:val="right" w:pos="9360"/>
            </w:tabs>
            <w:jc w:val="right"/>
            <w:rPr>
              <w:rFonts w:ascii="Arial" w:hAnsi="Arial"/>
              <w:sz w:val="20"/>
            </w:rPr>
          </w:pPr>
          <w:r>
            <w:rPr>
              <w:rFonts w:ascii="Arial" w:hAnsi="Arial"/>
              <w:sz w:val="20"/>
            </w:rPr>
            <w:t>Procedure</w:t>
          </w:r>
        </w:p>
      </w:tc>
    </w:tr>
  </w:tbl>
  <w:p w:rsidR="003805DB" w:rsidRDefault="003805DB" w:rsidP="003805DB">
    <w:pPr>
      <w:pStyle w:val="Header"/>
      <w:tabs>
        <w:tab w:val="clear" w:pos="4320"/>
        <w:tab w:val="clear" w:pos="8640"/>
        <w:tab w:val="center" w:pos="4680"/>
        <w:tab w:val="right" w:pos="9360"/>
      </w:tabs>
      <w:rPr>
        <w:szCs w:val="24"/>
      </w:rPr>
    </w:pPr>
  </w:p>
  <w:p w:rsidR="00A10BFE" w:rsidRPr="00DB364A" w:rsidRDefault="00BF7E09" w:rsidP="00A10BFE">
    <w:pPr>
      <w:rPr>
        <w:rFonts w:ascii="Arial" w:hAnsi="Arial" w:cs="Arial"/>
        <w:sz w:val="32"/>
        <w:szCs w:val="32"/>
      </w:rPr>
    </w:pPr>
    <w:r>
      <w:rPr>
        <w:rFonts w:ascii="Arial" w:hAnsi="Arial" w:cs="Arial"/>
        <w:sz w:val="32"/>
      </w:rPr>
      <w:t xml:space="preserve">D-DIMER </w:t>
    </w:r>
    <w:r w:rsidR="002968EE" w:rsidRPr="00FE18DC">
      <w:rPr>
        <w:rFonts w:ascii="Arial" w:hAnsi="Arial" w:cs="Arial"/>
        <w:sz w:val="32"/>
      </w:rPr>
      <w:t>DETERMINATION ON THE</w:t>
    </w:r>
    <w:r>
      <w:rPr>
        <w:rFonts w:ascii="Arial" w:hAnsi="Arial" w:cs="Arial"/>
        <w:sz w:val="32"/>
      </w:rPr>
      <w:t xml:space="preserve"> </w:t>
    </w:r>
    <w:r w:rsidR="00A10BFE" w:rsidRPr="00DB364A">
      <w:rPr>
        <w:rFonts w:ascii="Arial" w:hAnsi="Arial" w:cs="Arial"/>
        <w:sz w:val="32"/>
        <w:szCs w:val="32"/>
      </w:rPr>
      <w:t>STAGO STA® COMPACT®</w:t>
    </w:r>
  </w:p>
  <w:p w:rsidR="003805DB" w:rsidRPr="00A10BFE" w:rsidRDefault="003805DB" w:rsidP="00BF7E09">
    <w:pPr>
      <w:rPr>
        <w:rFonts w:ascii="Arial" w:hAnsi="Arial" w:cs="Arial"/>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2634"/>
    <w:multiLevelType w:val="hybridMultilevel"/>
    <w:tmpl w:val="AA6C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1E95"/>
    <w:multiLevelType w:val="singleLevel"/>
    <w:tmpl w:val="BC442D66"/>
    <w:lvl w:ilvl="0">
      <w:start w:val="1"/>
      <w:numFmt w:val="bullet"/>
      <w:lvlText w:val=""/>
      <w:lvlJc w:val="left"/>
      <w:pPr>
        <w:tabs>
          <w:tab w:val="num" w:pos="720"/>
        </w:tabs>
        <w:ind w:left="720" w:hanging="360"/>
      </w:pPr>
      <w:rPr>
        <w:rFonts w:ascii="Symbol" w:hAnsi="Symbol" w:hint="default"/>
        <w:sz w:val="20"/>
        <w:szCs w:val="20"/>
      </w:rPr>
    </w:lvl>
  </w:abstractNum>
  <w:abstractNum w:abstractNumId="2" w15:restartNumberingAfterBreak="0">
    <w:nsid w:val="0B777B2D"/>
    <w:multiLevelType w:val="hybridMultilevel"/>
    <w:tmpl w:val="8CF8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4" w15:restartNumberingAfterBreak="0">
    <w:nsid w:val="11337263"/>
    <w:multiLevelType w:val="singleLevel"/>
    <w:tmpl w:val="F6141954"/>
    <w:lvl w:ilvl="0">
      <w:start w:val="1"/>
      <w:numFmt w:val="bullet"/>
      <w:lvlText w:val=""/>
      <w:lvlJc w:val="left"/>
      <w:pPr>
        <w:tabs>
          <w:tab w:val="num" w:pos="360"/>
        </w:tabs>
        <w:ind w:left="360" w:hanging="360"/>
      </w:pPr>
      <w:rPr>
        <w:rFonts w:ascii="Symbol" w:hAnsi="Symbol" w:hint="default"/>
        <w:sz w:val="20"/>
        <w:szCs w:val="20"/>
      </w:rPr>
    </w:lvl>
  </w:abstractNum>
  <w:abstractNum w:abstractNumId="5" w15:restartNumberingAfterBreak="0">
    <w:nsid w:val="13461417"/>
    <w:multiLevelType w:val="hybridMultilevel"/>
    <w:tmpl w:val="EAD454B0"/>
    <w:lvl w:ilvl="0" w:tplc="C62E7670">
      <w:start w:val="1"/>
      <w:numFmt w:val="decimal"/>
      <w:lvlText w:val="%1."/>
      <w:lvlJc w:val="left"/>
      <w:pPr>
        <w:tabs>
          <w:tab w:val="num" w:pos="1138"/>
        </w:tabs>
        <w:ind w:left="1138" w:hanging="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EB3780"/>
    <w:multiLevelType w:val="hybridMultilevel"/>
    <w:tmpl w:val="E368A0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AA01167"/>
    <w:multiLevelType w:val="hybridMultilevel"/>
    <w:tmpl w:val="E8860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42738F"/>
    <w:multiLevelType w:val="hybridMultilevel"/>
    <w:tmpl w:val="B18CD8AA"/>
    <w:lvl w:ilvl="0" w:tplc="04090001">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1FA00060"/>
    <w:multiLevelType w:val="multilevel"/>
    <w:tmpl w:val="A6F0C1FC"/>
    <w:lvl w:ilvl="0">
      <w:start w:val="1"/>
      <w:numFmt w:val="bullet"/>
      <w:lvlText w:val=""/>
      <w:lvlJc w:val="left"/>
      <w:pPr>
        <w:tabs>
          <w:tab w:val="num" w:pos="1530"/>
        </w:tabs>
        <w:ind w:left="1357"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B276AB"/>
    <w:multiLevelType w:val="hybridMultilevel"/>
    <w:tmpl w:val="5A86378E"/>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1" w15:restartNumberingAfterBreak="0">
    <w:nsid w:val="2C852EDA"/>
    <w:multiLevelType w:val="hybridMultilevel"/>
    <w:tmpl w:val="4E50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4701D"/>
    <w:multiLevelType w:val="hybridMultilevel"/>
    <w:tmpl w:val="EF48543A"/>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C60A71"/>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6A3BA8"/>
    <w:multiLevelType w:val="hybridMultilevel"/>
    <w:tmpl w:val="320C54DA"/>
    <w:lvl w:ilvl="0" w:tplc="1200F41C">
      <w:start w:val="1"/>
      <w:numFmt w:val="decimal"/>
      <w:lvlText w:val="%1."/>
      <w:lvlJc w:val="left"/>
      <w:pPr>
        <w:tabs>
          <w:tab w:val="num" w:pos="1138"/>
        </w:tabs>
        <w:ind w:left="1138" w:hanging="418"/>
      </w:pPr>
      <w:rPr>
        <w:rFonts w:hint="default"/>
        <w:caps w:val="0"/>
        <w:strike w:val="0"/>
        <w:dstrike w:val="0"/>
        <w:outlin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1948"/>
        </w:tabs>
        <w:ind w:left="1948" w:hanging="418"/>
      </w:pPr>
      <w:rPr>
        <w:rFonts w:ascii="Symbol" w:hAnsi="Symbol" w:hint="default"/>
        <w:caps w:val="0"/>
        <w:strike w:val="0"/>
        <w:dstrike w:val="0"/>
        <w:outline w:val="0"/>
        <w:shadow w:val="0"/>
        <w:emboss w:val="0"/>
        <w:imprint w:val="0"/>
        <w:vanish w:val="0"/>
        <w:vertAlign w:val="base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2F42DC"/>
    <w:multiLevelType w:val="hybridMultilevel"/>
    <w:tmpl w:val="5E6854A2"/>
    <w:lvl w:ilvl="0" w:tplc="04090001">
      <w:start w:val="1"/>
      <w:numFmt w:val="bullet"/>
      <w:lvlText w:val=""/>
      <w:lvlJc w:val="left"/>
      <w:pPr>
        <w:tabs>
          <w:tab w:val="num" w:pos="1588"/>
        </w:tabs>
        <w:ind w:left="1588" w:hanging="418"/>
      </w:pPr>
      <w:rPr>
        <w:rFonts w:ascii="Symbol" w:hAnsi="Symbol"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6" w15:restartNumberingAfterBreak="0">
    <w:nsid w:val="440000A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49992CBB"/>
    <w:multiLevelType w:val="hybridMultilevel"/>
    <w:tmpl w:val="4810F45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4A1D0885"/>
    <w:multiLevelType w:val="hybridMultilevel"/>
    <w:tmpl w:val="63B8EAE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70685BE">
      <w:start w:val="1"/>
      <w:numFmt w:val="bullet"/>
      <w:lvlText w:val=""/>
      <w:lvlJc w:val="left"/>
      <w:pPr>
        <w:ind w:left="3150" w:hanging="360"/>
      </w:pPr>
      <w:rPr>
        <w:rFonts w:ascii="Symbol" w:hAnsi="Symbol"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40C05"/>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00976"/>
    <w:multiLevelType w:val="multilevel"/>
    <w:tmpl w:val="A6F0C1FC"/>
    <w:lvl w:ilvl="0">
      <w:start w:val="1"/>
      <w:numFmt w:val="bullet"/>
      <w:lvlText w:val=""/>
      <w:lvlJc w:val="left"/>
      <w:pPr>
        <w:tabs>
          <w:tab w:val="num" w:pos="547"/>
        </w:tabs>
        <w:ind w:left="374"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F66C15"/>
    <w:multiLevelType w:val="hybridMultilevel"/>
    <w:tmpl w:val="BB4CC948"/>
    <w:lvl w:ilvl="0" w:tplc="44361922">
      <w:start w:val="1"/>
      <w:numFmt w:val="bullet"/>
      <w:lvlText w:val=""/>
      <w:lvlJc w:val="left"/>
      <w:pPr>
        <w:tabs>
          <w:tab w:val="num" w:pos="360"/>
        </w:tabs>
        <w:ind w:left="84" w:hanging="84"/>
      </w:pPr>
      <w:rPr>
        <w:rFonts w:ascii="Symbol" w:hAnsi="Symbol" w:hint="default"/>
        <w:sz w:val="20"/>
      </w:rPr>
    </w:lvl>
    <w:lvl w:ilvl="1" w:tplc="08203650">
      <w:start w:val="1"/>
      <w:numFmt w:val="bullet"/>
      <w:lvlText w:val=""/>
      <w:lvlJc w:val="left"/>
      <w:pPr>
        <w:tabs>
          <w:tab w:val="num" w:pos="1380"/>
        </w:tabs>
        <w:ind w:left="1104" w:hanging="84"/>
      </w:pPr>
      <w:rPr>
        <w:rFonts w:ascii="Symbol" w:hAnsi="Symbol" w:hint="default"/>
        <w:sz w:val="20"/>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2" w15:restartNumberingAfterBreak="0">
    <w:nsid w:val="5C9638AF"/>
    <w:multiLevelType w:val="hybridMultilevel"/>
    <w:tmpl w:val="B0D4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24" w15:restartNumberingAfterBreak="0">
    <w:nsid w:val="63AE673A"/>
    <w:multiLevelType w:val="singleLevel"/>
    <w:tmpl w:val="CD1C39C8"/>
    <w:lvl w:ilvl="0">
      <w:start w:val="1"/>
      <w:numFmt w:val="decimal"/>
      <w:lvlText w:val="%1."/>
      <w:legacy w:legacy="1" w:legacySpace="0" w:legacyIndent="0"/>
      <w:lvlJc w:val="left"/>
      <w:rPr>
        <w:rFonts w:ascii="Times New Roman" w:hAnsi="Times New Roman" w:cs="Times New Roman" w:hint="default"/>
        <w:b w:val="0"/>
      </w:rPr>
    </w:lvl>
  </w:abstractNum>
  <w:abstractNum w:abstractNumId="25" w15:restartNumberingAfterBreak="0">
    <w:nsid w:val="67840E85"/>
    <w:multiLevelType w:val="hybridMultilevel"/>
    <w:tmpl w:val="6A48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547D15"/>
    <w:multiLevelType w:val="hybridMultilevel"/>
    <w:tmpl w:val="D5580D3C"/>
    <w:lvl w:ilvl="0" w:tplc="04090001">
      <w:start w:val="1"/>
      <w:numFmt w:val="bullet"/>
      <w:lvlText w:val=""/>
      <w:lvlJc w:val="left"/>
      <w:pPr>
        <w:tabs>
          <w:tab w:val="num" w:pos="1858"/>
        </w:tabs>
        <w:ind w:left="1858" w:hanging="418"/>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3"/>
  </w:num>
  <w:num w:numId="2">
    <w:abstractNumId w:val="3"/>
  </w:num>
  <w:num w:numId="3">
    <w:abstractNumId w:val="21"/>
  </w:num>
  <w:num w:numId="4">
    <w:abstractNumId w:val="8"/>
  </w:num>
  <w:num w:numId="5">
    <w:abstractNumId w:val="4"/>
  </w:num>
  <w:num w:numId="6">
    <w:abstractNumId w:val="1"/>
  </w:num>
  <w:num w:numId="7">
    <w:abstractNumId w:val="25"/>
  </w:num>
  <w:num w:numId="8">
    <w:abstractNumId w:val="12"/>
  </w:num>
  <w:num w:numId="9">
    <w:abstractNumId w:val="13"/>
  </w:num>
  <w:num w:numId="10">
    <w:abstractNumId w:val="24"/>
  </w:num>
  <w:num w:numId="11">
    <w:abstractNumId w:val="2"/>
  </w:num>
  <w:num w:numId="12">
    <w:abstractNumId w:val="22"/>
  </w:num>
  <w:num w:numId="13">
    <w:abstractNumId w:val="5"/>
  </w:num>
  <w:num w:numId="14">
    <w:abstractNumId w:val="17"/>
  </w:num>
  <w:num w:numId="15">
    <w:abstractNumId w:val="11"/>
  </w:num>
  <w:num w:numId="16">
    <w:abstractNumId w:val="0"/>
  </w:num>
  <w:num w:numId="17">
    <w:abstractNumId w:val="18"/>
  </w:num>
  <w:num w:numId="18">
    <w:abstractNumId w:val="16"/>
  </w:num>
  <w:num w:numId="19">
    <w:abstractNumId w:val="26"/>
  </w:num>
  <w:num w:numId="20">
    <w:abstractNumId w:val="14"/>
  </w:num>
  <w:num w:numId="21">
    <w:abstractNumId w:val="6"/>
  </w:num>
  <w:num w:numId="22">
    <w:abstractNumId w:val="15"/>
  </w:num>
  <w:num w:numId="23">
    <w:abstractNumId w:val="19"/>
  </w:num>
  <w:num w:numId="24">
    <w:abstractNumId w:val="9"/>
  </w:num>
  <w:num w:numId="25">
    <w:abstractNumId w:val="10"/>
  </w:num>
  <w:num w:numId="26">
    <w:abstractNumId w:val="7"/>
  </w:num>
  <w:num w:numId="2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62"/>
    <w:rsid w:val="00005F30"/>
    <w:rsid w:val="000174C7"/>
    <w:rsid w:val="00036CF5"/>
    <w:rsid w:val="00056877"/>
    <w:rsid w:val="000728C4"/>
    <w:rsid w:val="0009129B"/>
    <w:rsid w:val="000953A5"/>
    <w:rsid w:val="0009630B"/>
    <w:rsid w:val="000C3FDD"/>
    <w:rsid w:val="000D0F87"/>
    <w:rsid w:val="000E02B8"/>
    <w:rsid w:val="000E2796"/>
    <w:rsid w:val="000E3F47"/>
    <w:rsid w:val="000F3098"/>
    <w:rsid w:val="00101B9E"/>
    <w:rsid w:val="00103AE5"/>
    <w:rsid w:val="0010773B"/>
    <w:rsid w:val="0010795C"/>
    <w:rsid w:val="00130C26"/>
    <w:rsid w:val="00130D9F"/>
    <w:rsid w:val="00133FA5"/>
    <w:rsid w:val="00134C53"/>
    <w:rsid w:val="00137FEF"/>
    <w:rsid w:val="001406A5"/>
    <w:rsid w:val="00147952"/>
    <w:rsid w:val="00153BF4"/>
    <w:rsid w:val="0017610A"/>
    <w:rsid w:val="00192DE5"/>
    <w:rsid w:val="001972E2"/>
    <w:rsid w:val="001A14EE"/>
    <w:rsid w:val="00207CFE"/>
    <w:rsid w:val="00211546"/>
    <w:rsid w:val="00222FE8"/>
    <w:rsid w:val="00232E81"/>
    <w:rsid w:val="002363E4"/>
    <w:rsid w:val="00270793"/>
    <w:rsid w:val="00273CCB"/>
    <w:rsid w:val="002968EE"/>
    <w:rsid w:val="002A0EA3"/>
    <w:rsid w:val="002C1AC8"/>
    <w:rsid w:val="002C3C99"/>
    <w:rsid w:val="002C46A4"/>
    <w:rsid w:val="002D3970"/>
    <w:rsid w:val="002E0623"/>
    <w:rsid w:val="00302013"/>
    <w:rsid w:val="003114DA"/>
    <w:rsid w:val="003166A2"/>
    <w:rsid w:val="00317E79"/>
    <w:rsid w:val="00334141"/>
    <w:rsid w:val="00337991"/>
    <w:rsid w:val="003454E3"/>
    <w:rsid w:val="00346DB9"/>
    <w:rsid w:val="003471B5"/>
    <w:rsid w:val="00354C6C"/>
    <w:rsid w:val="00365A64"/>
    <w:rsid w:val="00377806"/>
    <w:rsid w:val="003805DB"/>
    <w:rsid w:val="003812BA"/>
    <w:rsid w:val="00384A92"/>
    <w:rsid w:val="0039647B"/>
    <w:rsid w:val="00397DEF"/>
    <w:rsid w:val="003A7308"/>
    <w:rsid w:val="003C508E"/>
    <w:rsid w:val="003C6786"/>
    <w:rsid w:val="003E40F0"/>
    <w:rsid w:val="003F0A0D"/>
    <w:rsid w:val="004049B8"/>
    <w:rsid w:val="004160B3"/>
    <w:rsid w:val="00433D1F"/>
    <w:rsid w:val="00440B6B"/>
    <w:rsid w:val="00452AA8"/>
    <w:rsid w:val="00454667"/>
    <w:rsid w:val="0046102B"/>
    <w:rsid w:val="00471432"/>
    <w:rsid w:val="00475EAC"/>
    <w:rsid w:val="004802BC"/>
    <w:rsid w:val="00480580"/>
    <w:rsid w:val="00482A53"/>
    <w:rsid w:val="0048686C"/>
    <w:rsid w:val="004965AA"/>
    <w:rsid w:val="004B2090"/>
    <w:rsid w:val="004B4377"/>
    <w:rsid w:val="004C1667"/>
    <w:rsid w:val="004C1AD2"/>
    <w:rsid w:val="004C1B71"/>
    <w:rsid w:val="004C4D75"/>
    <w:rsid w:val="004D66F0"/>
    <w:rsid w:val="004D787D"/>
    <w:rsid w:val="004F16E7"/>
    <w:rsid w:val="00500793"/>
    <w:rsid w:val="0050196E"/>
    <w:rsid w:val="00504B96"/>
    <w:rsid w:val="0050518A"/>
    <w:rsid w:val="005133FE"/>
    <w:rsid w:val="00515E0C"/>
    <w:rsid w:val="0052435E"/>
    <w:rsid w:val="005308A9"/>
    <w:rsid w:val="00544E86"/>
    <w:rsid w:val="005A6643"/>
    <w:rsid w:val="005A6EE9"/>
    <w:rsid w:val="005B1E7F"/>
    <w:rsid w:val="005B4D06"/>
    <w:rsid w:val="005D53C9"/>
    <w:rsid w:val="005D61A4"/>
    <w:rsid w:val="005F2ABD"/>
    <w:rsid w:val="005F3E96"/>
    <w:rsid w:val="00607E81"/>
    <w:rsid w:val="0061079E"/>
    <w:rsid w:val="00620A2D"/>
    <w:rsid w:val="00633012"/>
    <w:rsid w:val="00677481"/>
    <w:rsid w:val="006A107B"/>
    <w:rsid w:val="006A72CD"/>
    <w:rsid w:val="006C3BC7"/>
    <w:rsid w:val="006D60D0"/>
    <w:rsid w:val="006E67E1"/>
    <w:rsid w:val="00700D63"/>
    <w:rsid w:val="00706B6E"/>
    <w:rsid w:val="00707CAE"/>
    <w:rsid w:val="007167DB"/>
    <w:rsid w:val="00725245"/>
    <w:rsid w:val="0072737B"/>
    <w:rsid w:val="0075494B"/>
    <w:rsid w:val="00760854"/>
    <w:rsid w:val="00763747"/>
    <w:rsid w:val="00774558"/>
    <w:rsid w:val="00781F79"/>
    <w:rsid w:val="007902C0"/>
    <w:rsid w:val="0079785C"/>
    <w:rsid w:val="00797B8C"/>
    <w:rsid w:val="007A5962"/>
    <w:rsid w:val="007B0208"/>
    <w:rsid w:val="007B069A"/>
    <w:rsid w:val="007B606D"/>
    <w:rsid w:val="007B620E"/>
    <w:rsid w:val="007B698C"/>
    <w:rsid w:val="007B70A1"/>
    <w:rsid w:val="007C1C2C"/>
    <w:rsid w:val="007D3D83"/>
    <w:rsid w:val="007D6E39"/>
    <w:rsid w:val="007E0843"/>
    <w:rsid w:val="007E2A47"/>
    <w:rsid w:val="007E651E"/>
    <w:rsid w:val="007F5E2E"/>
    <w:rsid w:val="00801686"/>
    <w:rsid w:val="00803536"/>
    <w:rsid w:val="00821E6D"/>
    <w:rsid w:val="008415B6"/>
    <w:rsid w:val="008432AD"/>
    <w:rsid w:val="008641D7"/>
    <w:rsid w:val="00873093"/>
    <w:rsid w:val="0088237F"/>
    <w:rsid w:val="00883D0A"/>
    <w:rsid w:val="0088433C"/>
    <w:rsid w:val="00885E0C"/>
    <w:rsid w:val="008C29BB"/>
    <w:rsid w:val="008C45FE"/>
    <w:rsid w:val="008D4E7A"/>
    <w:rsid w:val="0092229D"/>
    <w:rsid w:val="00936C1B"/>
    <w:rsid w:val="0094018B"/>
    <w:rsid w:val="009451A0"/>
    <w:rsid w:val="00947B7E"/>
    <w:rsid w:val="00965FC6"/>
    <w:rsid w:val="00966189"/>
    <w:rsid w:val="00971F62"/>
    <w:rsid w:val="00972031"/>
    <w:rsid w:val="0097329A"/>
    <w:rsid w:val="00976FCA"/>
    <w:rsid w:val="00977422"/>
    <w:rsid w:val="00983B6D"/>
    <w:rsid w:val="00986158"/>
    <w:rsid w:val="009A491F"/>
    <w:rsid w:val="009B088D"/>
    <w:rsid w:val="009C10D5"/>
    <w:rsid w:val="009C4605"/>
    <w:rsid w:val="009D59FC"/>
    <w:rsid w:val="009E0BB9"/>
    <w:rsid w:val="009E6162"/>
    <w:rsid w:val="00A10B4E"/>
    <w:rsid w:val="00A10BFE"/>
    <w:rsid w:val="00A14DC0"/>
    <w:rsid w:val="00A14F18"/>
    <w:rsid w:val="00A2202A"/>
    <w:rsid w:val="00A22497"/>
    <w:rsid w:val="00A35AA8"/>
    <w:rsid w:val="00A3670D"/>
    <w:rsid w:val="00A60B08"/>
    <w:rsid w:val="00A6192E"/>
    <w:rsid w:val="00A66379"/>
    <w:rsid w:val="00A8143D"/>
    <w:rsid w:val="00AA43BD"/>
    <w:rsid w:val="00AB4889"/>
    <w:rsid w:val="00AC231D"/>
    <w:rsid w:val="00AD1CD4"/>
    <w:rsid w:val="00AD6204"/>
    <w:rsid w:val="00AE303D"/>
    <w:rsid w:val="00AF10E7"/>
    <w:rsid w:val="00B03F26"/>
    <w:rsid w:val="00B045E7"/>
    <w:rsid w:val="00B14A3D"/>
    <w:rsid w:val="00B1537F"/>
    <w:rsid w:val="00B15A21"/>
    <w:rsid w:val="00B16284"/>
    <w:rsid w:val="00B413C2"/>
    <w:rsid w:val="00B50BFF"/>
    <w:rsid w:val="00B559BC"/>
    <w:rsid w:val="00B57DAA"/>
    <w:rsid w:val="00B71F0C"/>
    <w:rsid w:val="00B768CE"/>
    <w:rsid w:val="00B83E97"/>
    <w:rsid w:val="00B9218C"/>
    <w:rsid w:val="00B965B8"/>
    <w:rsid w:val="00BA7F6C"/>
    <w:rsid w:val="00BB0F09"/>
    <w:rsid w:val="00BB1DD4"/>
    <w:rsid w:val="00BD2A18"/>
    <w:rsid w:val="00BD5810"/>
    <w:rsid w:val="00BE0457"/>
    <w:rsid w:val="00BE1ADD"/>
    <w:rsid w:val="00BF0DF7"/>
    <w:rsid w:val="00BF7178"/>
    <w:rsid w:val="00BF7E09"/>
    <w:rsid w:val="00C0550A"/>
    <w:rsid w:val="00C1330E"/>
    <w:rsid w:val="00C14D20"/>
    <w:rsid w:val="00C1738D"/>
    <w:rsid w:val="00C311E2"/>
    <w:rsid w:val="00C33311"/>
    <w:rsid w:val="00C528EA"/>
    <w:rsid w:val="00C60114"/>
    <w:rsid w:val="00C604D8"/>
    <w:rsid w:val="00C66F6C"/>
    <w:rsid w:val="00C75F4B"/>
    <w:rsid w:val="00C80C96"/>
    <w:rsid w:val="00C84E28"/>
    <w:rsid w:val="00C87487"/>
    <w:rsid w:val="00C918A7"/>
    <w:rsid w:val="00CA0A63"/>
    <w:rsid w:val="00CA67B8"/>
    <w:rsid w:val="00CA7A8E"/>
    <w:rsid w:val="00CC02CC"/>
    <w:rsid w:val="00CC0ED8"/>
    <w:rsid w:val="00CC6651"/>
    <w:rsid w:val="00CD5EBD"/>
    <w:rsid w:val="00CD6FE3"/>
    <w:rsid w:val="00CE1C69"/>
    <w:rsid w:val="00CE462F"/>
    <w:rsid w:val="00CE4A7F"/>
    <w:rsid w:val="00D01157"/>
    <w:rsid w:val="00D033EB"/>
    <w:rsid w:val="00D05042"/>
    <w:rsid w:val="00D0664E"/>
    <w:rsid w:val="00D20336"/>
    <w:rsid w:val="00D205F2"/>
    <w:rsid w:val="00D239DF"/>
    <w:rsid w:val="00D24697"/>
    <w:rsid w:val="00D26AE2"/>
    <w:rsid w:val="00D32C36"/>
    <w:rsid w:val="00D36D80"/>
    <w:rsid w:val="00D44AFA"/>
    <w:rsid w:val="00D6360E"/>
    <w:rsid w:val="00D64FEA"/>
    <w:rsid w:val="00D8329C"/>
    <w:rsid w:val="00DA1F32"/>
    <w:rsid w:val="00DC2A7C"/>
    <w:rsid w:val="00DC3744"/>
    <w:rsid w:val="00DD53EF"/>
    <w:rsid w:val="00DE1930"/>
    <w:rsid w:val="00DE223A"/>
    <w:rsid w:val="00E27D7F"/>
    <w:rsid w:val="00E301AE"/>
    <w:rsid w:val="00E42FE4"/>
    <w:rsid w:val="00E50BBB"/>
    <w:rsid w:val="00E51458"/>
    <w:rsid w:val="00E5453D"/>
    <w:rsid w:val="00E61CD5"/>
    <w:rsid w:val="00E733D6"/>
    <w:rsid w:val="00E75365"/>
    <w:rsid w:val="00E95E83"/>
    <w:rsid w:val="00EB027B"/>
    <w:rsid w:val="00EB50D8"/>
    <w:rsid w:val="00EC0EFC"/>
    <w:rsid w:val="00EC7C99"/>
    <w:rsid w:val="00ED1A8C"/>
    <w:rsid w:val="00EE0F07"/>
    <w:rsid w:val="00EE16B0"/>
    <w:rsid w:val="00EE396F"/>
    <w:rsid w:val="00EE3CFA"/>
    <w:rsid w:val="00EE6D86"/>
    <w:rsid w:val="00EF2A00"/>
    <w:rsid w:val="00F06D93"/>
    <w:rsid w:val="00F06DB2"/>
    <w:rsid w:val="00F342AB"/>
    <w:rsid w:val="00F36A3F"/>
    <w:rsid w:val="00F47F67"/>
    <w:rsid w:val="00F5406C"/>
    <w:rsid w:val="00F56C49"/>
    <w:rsid w:val="00F56EFF"/>
    <w:rsid w:val="00F73178"/>
    <w:rsid w:val="00F80BE8"/>
    <w:rsid w:val="00F81614"/>
    <w:rsid w:val="00F94602"/>
    <w:rsid w:val="00FA472E"/>
    <w:rsid w:val="00FB1920"/>
    <w:rsid w:val="00FE18DC"/>
    <w:rsid w:val="00FE2E18"/>
    <w:rsid w:val="00F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23CD39A8-E6F0-4E15-B231-8F3F5D2D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link w:val="Heading5Char"/>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pPr>
      <w:jc w:val="center"/>
    </w:pPr>
  </w:style>
  <w:style w:type="paragraph" w:customStyle="1" w:styleId="BulletText1">
    <w:name w:val="Bullet Text 1"/>
    <w:basedOn w:val="Normal"/>
    <w:pPr>
      <w:numPr>
        <w:numId w:val="1"/>
      </w:numPr>
      <w:tabs>
        <w:tab w:val="clear" w:pos="360"/>
      </w:tabs>
      <w:ind w:left="187" w:hanging="187"/>
    </w:pPr>
  </w:style>
  <w:style w:type="paragraph" w:customStyle="1" w:styleId="BulletText2">
    <w:name w:val="Bullet Text 2"/>
    <w:basedOn w:val="BulletText1"/>
    <w:pPr>
      <w:numPr>
        <w:numId w:val="2"/>
      </w:numPr>
      <w:tabs>
        <w:tab w:val="clear" w:pos="533"/>
      </w:tabs>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sz w:val="22"/>
    </w:rPr>
  </w:style>
  <w:style w:type="paragraph" w:customStyle="1" w:styleId="MapTitleContinued">
    <w:name w:val="Map Title. Continued"/>
    <w:basedOn w:val="Normal"/>
    <w:pPr>
      <w:spacing w:after="240"/>
    </w:pPr>
    <w:rPr>
      <w:rFonts w:ascii="Arial" w:hAnsi="Arial"/>
      <w:b/>
      <w:sz w:val="32"/>
    </w:rPr>
  </w:style>
  <w:style w:type="paragraph" w:customStyle="1" w:styleId="MemoLine">
    <w:name w:val="Memo Line"/>
    <w:basedOn w:val="BlockLine"/>
    <w:next w:val="Normal"/>
    <w:pPr>
      <w:ind w:left="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pPr>
      <w:ind w:left="2040"/>
    </w:pPr>
  </w:style>
  <w:style w:type="paragraph" w:styleId="BodyText">
    <w:name w:val="Body Text"/>
    <w:basedOn w:val="Normal"/>
    <w:link w:val="BodyTextChar"/>
    <w:rPr>
      <w:b/>
      <w:sz w:val="28"/>
    </w:rPr>
  </w:style>
  <w:style w:type="paragraph" w:styleId="BodyTextIndent2">
    <w:name w:val="Body Text Indent 2"/>
    <w:basedOn w:val="Normal"/>
    <w:pPr>
      <w:ind w:left="187"/>
    </w:pPr>
    <w:rPr>
      <w:b/>
      <w:bCs/>
      <w:i/>
      <w:iCs/>
    </w:rPr>
  </w:style>
  <w:style w:type="paragraph" w:styleId="DocumentMap">
    <w:name w:val="Document Map"/>
    <w:basedOn w:val="Normal"/>
    <w:semiHidden/>
    <w:pPr>
      <w:shd w:val="clear" w:color="auto" w:fill="000080"/>
    </w:pPr>
    <w:rPr>
      <w:rFonts w:ascii="Tahoma" w:hAnsi="Tahoma" w:cs="Tahoma"/>
    </w:rPr>
  </w:style>
  <w:style w:type="paragraph" w:customStyle="1" w:styleId="HeadingBase">
    <w:name w:val="Heading Base"/>
    <w:basedOn w:val="BodyText"/>
    <w:next w:val="BodyText"/>
    <w:pPr>
      <w:keepNext/>
      <w:keepLines/>
      <w:spacing w:line="220" w:lineRule="atLeast"/>
      <w:jc w:val="both"/>
    </w:pPr>
    <w:rPr>
      <w:rFonts w:ascii="Arial Black" w:hAnsi="Arial Black"/>
      <w:b w:val="0"/>
      <w:spacing w:val="-10"/>
      <w:kern w:val="20"/>
      <w:sz w:val="20"/>
    </w:rPr>
  </w:style>
  <w:style w:type="character" w:customStyle="1" w:styleId="Heading4Char">
    <w:name w:val="Heading 4 Char"/>
    <w:aliases w:val="Map Title Char"/>
    <w:basedOn w:val="DefaultParagraphFont"/>
    <w:rPr>
      <w:rFonts w:ascii="Arial" w:hAnsi="Arial"/>
      <w:b/>
      <w:sz w:val="32"/>
      <w:lang w:val="en-US" w:eastAsia="en-US" w:bidi="ar-SA"/>
    </w:rPr>
  </w:style>
  <w:style w:type="paragraph" w:styleId="BodyText2">
    <w:name w:val="Body Text 2"/>
    <w:basedOn w:val="Normal"/>
    <w:rPr>
      <w:sz w:val="20"/>
      <w:szCs w:val="16"/>
    </w:rPr>
  </w:style>
  <w:style w:type="paragraph" w:styleId="BodyText3">
    <w:name w:val="Body Text 3"/>
    <w:basedOn w:val="Normal"/>
    <w:rPr>
      <w:b/>
      <w:bCs/>
      <w:sz w:val="20"/>
    </w:rPr>
  </w:style>
  <w:style w:type="table" w:styleId="TableGrid">
    <w:name w:val="Table Grid"/>
    <w:basedOn w:val="TableNormal"/>
    <w:rsid w:val="00C3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67B8"/>
  </w:style>
  <w:style w:type="paragraph" w:styleId="ListParagraph">
    <w:name w:val="List Paragraph"/>
    <w:basedOn w:val="Normal"/>
    <w:uiPriority w:val="34"/>
    <w:qFormat/>
    <w:rsid w:val="00C1738D"/>
    <w:pPr>
      <w:ind w:left="720"/>
      <w:contextualSpacing/>
    </w:pPr>
  </w:style>
  <w:style w:type="character" w:customStyle="1" w:styleId="Heading5Char">
    <w:name w:val="Heading 5 Char"/>
    <w:aliases w:val="Block Label Char"/>
    <w:basedOn w:val="DefaultParagraphFont"/>
    <w:link w:val="Heading5"/>
    <w:rsid w:val="00ED1A8C"/>
    <w:rPr>
      <w:b/>
      <w:sz w:val="22"/>
    </w:rPr>
  </w:style>
  <w:style w:type="character" w:customStyle="1" w:styleId="BodyTextChar">
    <w:name w:val="Body Text Char"/>
    <w:basedOn w:val="DefaultParagraphFont"/>
    <w:link w:val="BodyText"/>
    <w:rsid w:val="00ED1A8C"/>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21148">
      <w:bodyDiv w:val="1"/>
      <w:marLeft w:val="0"/>
      <w:marRight w:val="0"/>
      <w:marTop w:val="0"/>
      <w:marBottom w:val="0"/>
      <w:divBdr>
        <w:top w:val="none" w:sz="0" w:space="0" w:color="auto"/>
        <w:left w:val="none" w:sz="0" w:space="0" w:color="auto"/>
        <w:bottom w:val="none" w:sz="0" w:space="0" w:color="auto"/>
        <w:right w:val="none" w:sz="0" w:space="0" w:color="auto"/>
      </w:divBdr>
    </w:div>
    <w:div w:id="736971862">
      <w:bodyDiv w:val="1"/>
      <w:marLeft w:val="0"/>
      <w:marRight w:val="0"/>
      <w:marTop w:val="0"/>
      <w:marBottom w:val="0"/>
      <w:divBdr>
        <w:top w:val="none" w:sz="0" w:space="0" w:color="auto"/>
        <w:left w:val="none" w:sz="0" w:space="0" w:color="auto"/>
        <w:bottom w:val="none" w:sz="0" w:space="0" w:color="auto"/>
        <w:right w:val="none" w:sz="0" w:space="0" w:color="auto"/>
      </w:divBdr>
    </w:div>
    <w:div w:id="9160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82273\AppData\Local\Temp\notes873927\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INFOMAP</Template>
  <TotalTime>459</TotalTime>
  <Pages>9</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Procedure for Digene HPV Hybrid Capture II</vt:lpstr>
    </vt:vector>
  </TitlesOfParts>
  <Company>Kaiser Permanente</Company>
  <LinksUpToDate>false</LinksUpToDate>
  <CharactersWithSpaces>12815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Digene HPV Hybrid Capture II</dc:title>
  <dc:creator>KP_User</dc:creator>
  <cp:lastModifiedBy>Rosalie I. Fajardo</cp:lastModifiedBy>
  <cp:revision>59</cp:revision>
  <cp:lastPrinted>2011-03-21T23:09:00Z</cp:lastPrinted>
  <dcterms:created xsi:type="dcterms:W3CDTF">2016-07-13T15:12:00Z</dcterms:created>
  <dcterms:modified xsi:type="dcterms:W3CDTF">2016-11-02T22:46:00Z</dcterms:modified>
</cp:coreProperties>
</file>