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r w:rsidR="0012257B">
              <w:t xml:space="preserve">                                </w:t>
            </w:r>
            <w:r w:rsidR="00414108">
              <w:t xml:space="preserve">           </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414108">
              <w:t>performing Fibrinogen</w:t>
            </w:r>
            <w:r w:rsidR="002968EE">
              <w:t xml:space="preserve"> assay.</w:t>
            </w:r>
          </w:p>
          <w:p w:rsidR="002968EE" w:rsidRDefault="002968EE" w:rsidP="006A107B"/>
          <w:p w:rsidR="0012257B" w:rsidRDefault="0012257B" w:rsidP="0012257B">
            <w:pPr>
              <w:ind w:left="1440" w:hanging="1440"/>
              <w:rPr>
                <w:szCs w:val="24"/>
              </w:rPr>
            </w:pPr>
          </w:p>
          <w:p w:rsidR="0012257B" w:rsidRDefault="0012257B" w:rsidP="0012257B">
            <w:pPr>
              <w:ind w:left="1440" w:hanging="1440"/>
              <w:rPr>
                <w:szCs w:val="24"/>
              </w:rPr>
            </w:pPr>
            <w:r w:rsidRPr="0012257B">
              <w:rPr>
                <w:szCs w:val="24"/>
              </w:rPr>
              <w:t xml:space="preserve">The clotting method of </w:t>
            </w:r>
            <w:proofErr w:type="spellStart"/>
            <w:r w:rsidRPr="0012257B">
              <w:rPr>
                <w:szCs w:val="24"/>
              </w:rPr>
              <w:t>Clauss</w:t>
            </w:r>
            <w:proofErr w:type="spellEnd"/>
            <w:r w:rsidRPr="0012257B">
              <w:rPr>
                <w:szCs w:val="24"/>
              </w:rPr>
              <w:t xml:space="preserve"> is employed in the quantitative determination of </w:t>
            </w:r>
          </w:p>
          <w:p w:rsidR="0012257B" w:rsidRDefault="0012257B" w:rsidP="0012257B">
            <w:pPr>
              <w:ind w:left="1440" w:hanging="1440"/>
              <w:rPr>
                <w:szCs w:val="24"/>
              </w:rPr>
            </w:pPr>
            <w:proofErr w:type="gramStart"/>
            <w:r w:rsidRPr="0012257B">
              <w:rPr>
                <w:szCs w:val="24"/>
              </w:rPr>
              <w:t>fibrinogen</w:t>
            </w:r>
            <w:proofErr w:type="gramEnd"/>
            <w:r w:rsidRPr="0012257B">
              <w:rPr>
                <w:szCs w:val="24"/>
              </w:rPr>
              <w:t>.  In the presence of an excess of thrombin, the clotting time of diluted</w:t>
            </w:r>
          </w:p>
          <w:p w:rsidR="0012257B" w:rsidRDefault="0012257B" w:rsidP="0012257B">
            <w:pPr>
              <w:ind w:left="1440" w:hanging="1440"/>
              <w:rPr>
                <w:szCs w:val="24"/>
              </w:rPr>
            </w:pPr>
            <w:proofErr w:type="gramStart"/>
            <w:r w:rsidRPr="0012257B">
              <w:rPr>
                <w:szCs w:val="24"/>
              </w:rPr>
              <w:t>plasma</w:t>
            </w:r>
            <w:proofErr w:type="gramEnd"/>
            <w:r w:rsidRPr="0012257B">
              <w:rPr>
                <w:szCs w:val="24"/>
              </w:rPr>
              <w:t xml:space="preserve"> is inversely proportional to the level of plasma fibrinogen.  The clot is</w:t>
            </w:r>
          </w:p>
          <w:p w:rsidR="0012257B" w:rsidRDefault="0012257B" w:rsidP="0012257B">
            <w:pPr>
              <w:ind w:left="1440" w:hanging="1440"/>
              <w:rPr>
                <w:szCs w:val="24"/>
              </w:rPr>
            </w:pPr>
            <w:r w:rsidRPr="0012257B">
              <w:rPr>
                <w:szCs w:val="24"/>
              </w:rPr>
              <w:t>detected by the STA-R Evolution</w:t>
            </w:r>
            <w:r w:rsidRPr="0012257B">
              <w:rPr>
                <w:szCs w:val="24"/>
                <w:vertAlign w:val="superscript"/>
              </w:rPr>
              <w:t>®</w:t>
            </w:r>
            <w:r w:rsidRPr="0012257B">
              <w:rPr>
                <w:szCs w:val="24"/>
              </w:rPr>
              <w:t xml:space="preserve">, a fully automated coagulation instrument, </w:t>
            </w:r>
          </w:p>
          <w:p w:rsidR="0012257B" w:rsidRDefault="0012257B" w:rsidP="0012257B">
            <w:pPr>
              <w:ind w:left="1440" w:hanging="1440"/>
              <w:rPr>
                <w:szCs w:val="24"/>
              </w:rPr>
            </w:pPr>
            <w:proofErr w:type="gramStart"/>
            <w:r w:rsidRPr="0012257B">
              <w:rPr>
                <w:szCs w:val="24"/>
              </w:rPr>
              <w:t>which</w:t>
            </w:r>
            <w:proofErr w:type="gramEnd"/>
            <w:r w:rsidRPr="0012257B">
              <w:rPr>
                <w:szCs w:val="24"/>
              </w:rPr>
              <w:t xml:space="preserve"> uses an electromagnetic mechanical clot detection system.  The oscillation</w:t>
            </w:r>
          </w:p>
          <w:p w:rsidR="0012257B" w:rsidRDefault="0012257B" w:rsidP="0012257B">
            <w:pPr>
              <w:ind w:left="1440" w:hanging="1440"/>
              <w:rPr>
                <w:szCs w:val="24"/>
              </w:rPr>
            </w:pPr>
            <w:r w:rsidRPr="0012257B">
              <w:rPr>
                <w:szCs w:val="24"/>
              </w:rPr>
              <w:t xml:space="preserve">of a steel ball within the cuvette with the thrombin and diluted plasma is </w:t>
            </w:r>
          </w:p>
          <w:p w:rsidR="0012257B" w:rsidRDefault="0012257B" w:rsidP="0012257B">
            <w:pPr>
              <w:ind w:left="1440" w:hanging="1440"/>
              <w:rPr>
                <w:szCs w:val="24"/>
              </w:rPr>
            </w:pPr>
            <w:proofErr w:type="gramStart"/>
            <w:r w:rsidRPr="0012257B">
              <w:rPr>
                <w:szCs w:val="24"/>
              </w:rPr>
              <w:t>monitored</w:t>
            </w:r>
            <w:proofErr w:type="gramEnd"/>
            <w:r w:rsidRPr="0012257B">
              <w:rPr>
                <w:szCs w:val="24"/>
              </w:rPr>
              <w:t xml:space="preserve"> by the</w:t>
            </w:r>
            <w:r w:rsidRPr="0012257B">
              <w:rPr>
                <w:color w:val="0000FF"/>
                <w:szCs w:val="24"/>
              </w:rPr>
              <w:t xml:space="preserve"> </w:t>
            </w:r>
            <w:r w:rsidRPr="0012257B">
              <w:rPr>
                <w:szCs w:val="24"/>
              </w:rPr>
              <w:t>STA-R Evolution</w:t>
            </w:r>
            <w:r w:rsidRPr="0012257B">
              <w:rPr>
                <w:szCs w:val="24"/>
                <w:vertAlign w:val="superscript"/>
              </w:rPr>
              <w:t>®</w:t>
            </w:r>
            <w:r w:rsidRPr="0012257B">
              <w:rPr>
                <w:color w:val="0000FF"/>
                <w:szCs w:val="24"/>
              </w:rPr>
              <w:t xml:space="preserve">.  </w:t>
            </w:r>
            <w:r w:rsidRPr="0012257B">
              <w:rPr>
                <w:szCs w:val="24"/>
              </w:rPr>
              <w:t xml:space="preserve">When the oscillation of the steel ball is </w:t>
            </w:r>
          </w:p>
          <w:p w:rsidR="0012257B" w:rsidRDefault="0012257B" w:rsidP="0012257B">
            <w:pPr>
              <w:ind w:left="1440" w:hanging="1440"/>
              <w:rPr>
                <w:szCs w:val="24"/>
              </w:rPr>
            </w:pPr>
            <w:proofErr w:type="gramStart"/>
            <w:r w:rsidRPr="0012257B">
              <w:rPr>
                <w:szCs w:val="24"/>
              </w:rPr>
              <w:t>slowed</w:t>
            </w:r>
            <w:proofErr w:type="gramEnd"/>
            <w:r w:rsidRPr="0012257B">
              <w:rPr>
                <w:szCs w:val="24"/>
              </w:rPr>
              <w:t xml:space="preserve"> by clot formation, the sensor determines the time in seconds</w:t>
            </w:r>
            <w:r w:rsidRPr="0012257B">
              <w:rPr>
                <w:color w:val="0000FF"/>
                <w:szCs w:val="24"/>
              </w:rPr>
              <w:t>.</w:t>
            </w:r>
            <w:r w:rsidRPr="0012257B">
              <w:rPr>
                <w:szCs w:val="24"/>
              </w:rPr>
              <w:t xml:space="preserve"> The time is </w:t>
            </w:r>
          </w:p>
          <w:p w:rsidR="002968EE" w:rsidRPr="002968EE" w:rsidRDefault="0012257B" w:rsidP="0012257B">
            <w:pPr>
              <w:ind w:left="1440" w:hanging="1440"/>
            </w:pPr>
            <w:proofErr w:type="gramStart"/>
            <w:r w:rsidRPr="0012257B">
              <w:rPr>
                <w:szCs w:val="24"/>
              </w:rPr>
              <w:t>read</w:t>
            </w:r>
            <w:proofErr w:type="gramEnd"/>
            <w:r w:rsidRPr="0012257B">
              <w:rPr>
                <w:szCs w:val="24"/>
              </w:rPr>
              <w:t xml:space="preserve"> from a stored curve on the STA-R Evolution</w:t>
            </w:r>
            <w:r w:rsidRPr="0012257B">
              <w:rPr>
                <w:szCs w:val="24"/>
                <w:vertAlign w:val="superscript"/>
              </w:rPr>
              <w:t>®</w:t>
            </w:r>
            <w:r w:rsidRPr="0012257B">
              <w:rPr>
                <w:szCs w:val="24"/>
              </w:rPr>
              <w:t xml:space="preserve">.  </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2968EE"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w:t>
            </w:r>
            <w:r w:rsidR="005B6639">
              <w:t xml:space="preserve"> performing the Fibrinogen</w:t>
            </w:r>
            <w:r w:rsidR="002968EE">
              <w:t xml:space="preserve"> assay.</w:t>
            </w:r>
          </w:p>
          <w:p w:rsidR="005B6639" w:rsidRPr="002968EE" w:rsidRDefault="005B6639" w:rsidP="002968EE">
            <w:r>
              <w:t xml:space="preserve">This Procedure replaces </w:t>
            </w:r>
            <w:proofErr w:type="spellStart"/>
            <w:r>
              <w:t>LCoM</w:t>
            </w:r>
            <w:proofErr w:type="spellEnd"/>
            <w:r>
              <w:t xml:space="preserve"> 219 STA-R Evolution Quality Control and </w:t>
            </w:r>
            <w:proofErr w:type="spellStart"/>
            <w:r>
              <w:t>LCoM</w:t>
            </w:r>
            <w:proofErr w:type="spellEnd"/>
            <w:r>
              <w:t xml:space="preserve"> 221 STA-R Evolution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 xml:space="preserve">Refer to </w:t>
            </w:r>
            <w:proofErr w:type="spellStart"/>
            <w:r>
              <w:rPr>
                <w:szCs w:val="24"/>
              </w:rPr>
              <w:t>LPhM</w:t>
            </w:r>
            <w:proofErr w:type="spellEnd"/>
            <w:r>
              <w:rPr>
                <w:szCs w:val="24"/>
              </w:rPr>
              <w:t xml:space="preserve">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A9432D" w:rsidRDefault="0039647B" w:rsidP="00C1738D">
            <w:r w:rsidRPr="00A9432D">
              <w:t>Whole blood or p</w:t>
            </w:r>
            <w:r w:rsidR="00C1738D" w:rsidRPr="00A9432D">
              <w:t xml:space="preserve">lasma can be stored at 20 </w:t>
            </w:r>
            <w:r w:rsidR="00C1738D" w:rsidRPr="00A9432D">
              <w:rPr>
                <w:u w:val="single"/>
              </w:rPr>
              <w:t>+</w:t>
            </w:r>
            <w:r w:rsidR="00F06D93" w:rsidRPr="00A9432D">
              <w:t xml:space="preserve"> </w:t>
            </w:r>
            <w:r w:rsidRPr="00A9432D">
              <w:t>5◦ C for 8 hours.</w:t>
            </w:r>
          </w:p>
          <w:p w:rsidR="00C1738D" w:rsidRPr="00C1738D" w:rsidRDefault="00C1738D" w:rsidP="00C1738D">
            <w:r w:rsidRPr="00A9432D">
              <w:t xml:space="preserve">Do not store </w:t>
            </w:r>
            <w:r w:rsidR="00BB1DD4" w:rsidRPr="00A9432D">
              <w:t xml:space="preserve">whole blood </w:t>
            </w:r>
            <w:r w:rsidR="00BB1DD4">
              <w:t xml:space="preserve">or </w:t>
            </w:r>
            <w:r w:rsidRPr="00C1738D">
              <w:t>plasma at 2-8◦ C</w:t>
            </w: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7F7CD2" w:rsidRPr="007F7CD2" w:rsidRDefault="00C1738D" w:rsidP="007F7CD2">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Equipment</w:t>
            </w:r>
          </w:p>
        </w:tc>
        <w:tc>
          <w:tcPr>
            <w:tcW w:w="8010" w:type="dxa"/>
          </w:tcPr>
          <w:p w:rsidR="009451A0" w:rsidRDefault="005D53C9" w:rsidP="00803536">
            <w:pPr>
              <w:pStyle w:val="BodyText"/>
              <w:numPr>
                <w:ilvl w:val="0"/>
                <w:numId w:val="9"/>
              </w:numPr>
              <w:tabs>
                <w:tab w:val="num" w:pos="360"/>
              </w:tabs>
              <w:ind w:hanging="392"/>
              <w:rPr>
                <w:b w:val="0"/>
                <w:sz w:val="24"/>
              </w:rPr>
            </w:pPr>
            <w:proofErr w:type="spellStart"/>
            <w:r>
              <w:rPr>
                <w:b w:val="0"/>
                <w:sz w:val="24"/>
              </w:rPr>
              <w:t>Stago</w:t>
            </w:r>
            <w:proofErr w:type="spellEnd"/>
            <w:r>
              <w:rPr>
                <w:b w:val="0"/>
                <w:sz w:val="24"/>
              </w:rPr>
              <w:t xml:space="preserve"> STA-R Evolution</w:t>
            </w:r>
          </w:p>
          <w:p w:rsidR="0072737B" w:rsidRPr="005D53C9" w:rsidRDefault="0072737B" w:rsidP="00803536">
            <w:pPr>
              <w:pStyle w:val="BodyText"/>
              <w:numPr>
                <w:ilvl w:val="0"/>
                <w:numId w:val="9"/>
              </w:numPr>
              <w:tabs>
                <w:tab w:val="num" w:pos="360"/>
              </w:tabs>
              <w:ind w:hanging="392"/>
              <w:rPr>
                <w:b w:val="0"/>
                <w:sz w:val="24"/>
              </w:rPr>
            </w:pPr>
            <w:r>
              <w:rPr>
                <w:b w:val="0"/>
                <w:sz w:val="24"/>
              </w:rPr>
              <w:t>Centrifuge</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Material and supplies</w:t>
            </w:r>
          </w:p>
        </w:tc>
        <w:tc>
          <w:tcPr>
            <w:tcW w:w="8010" w:type="dxa"/>
          </w:tcPr>
          <w:p w:rsidR="009451A0" w:rsidRDefault="005D53C9" w:rsidP="009451A0">
            <w:pPr>
              <w:pStyle w:val="BodyText"/>
              <w:numPr>
                <w:ilvl w:val="0"/>
                <w:numId w:val="9"/>
              </w:numPr>
              <w:tabs>
                <w:tab w:val="num" w:pos="360"/>
              </w:tabs>
              <w:ind w:hanging="392"/>
              <w:rPr>
                <w:b w:val="0"/>
                <w:sz w:val="24"/>
              </w:rPr>
            </w:pPr>
            <w:r>
              <w:rPr>
                <w:b w:val="0"/>
                <w:sz w:val="24"/>
              </w:rPr>
              <w:t>Pipettes</w:t>
            </w:r>
          </w:p>
          <w:p w:rsidR="009451A0" w:rsidRDefault="005D53C9" w:rsidP="009451A0">
            <w:pPr>
              <w:pStyle w:val="BodyText"/>
              <w:numPr>
                <w:ilvl w:val="0"/>
                <w:numId w:val="9"/>
              </w:numPr>
              <w:tabs>
                <w:tab w:val="num" w:pos="360"/>
              </w:tabs>
              <w:ind w:hanging="392"/>
              <w:rPr>
                <w:b w:val="0"/>
                <w:sz w:val="24"/>
              </w:rPr>
            </w:pPr>
            <w:r>
              <w:rPr>
                <w:b w:val="0"/>
                <w:sz w:val="24"/>
              </w:rPr>
              <w:t>Pipette tips</w:t>
            </w:r>
          </w:p>
          <w:p w:rsidR="009451A0" w:rsidRPr="004049B8" w:rsidRDefault="004049B8" w:rsidP="009451A0">
            <w:pPr>
              <w:pStyle w:val="BodyText"/>
              <w:numPr>
                <w:ilvl w:val="0"/>
                <w:numId w:val="9"/>
              </w:numPr>
              <w:tabs>
                <w:tab w:val="num" w:pos="360"/>
              </w:tabs>
              <w:ind w:hanging="392"/>
              <w:rPr>
                <w:b w:val="0"/>
                <w:sz w:val="24"/>
              </w:rPr>
            </w:pPr>
            <w:r>
              <w:rPr>
                <w:b w:val="0"/>
                <w:sz w:val="24"/>
              </w:rPr>
              <w:t>Cuvette Roll-1000</w:t>
            </w:r>
          </w:p>
          <w:p w:rsidR="009451A0" w:rsidRPr="004049B8" w:rsidRDefault="004049B8" w:rsidP="009451A0">
            <w:pPr>
              <w:pStyle w:val="BodyText"/>
              <w:numPr>
                <w:ilvl w:val="0"/>
                <w:numId w:val="9"/>
              </w:numPr>
              <w:tabs>
                <w:tab w:val="num" w:pos="360"/>
              </w:tabs>
              <w:ind w:hanging="392"/>
              <w:rPr>
                <w:b w:val="0"/>
                <w:sz w:val="24"/>
              </w:rPr>
            </w:pPr>
            <w:r>
              <w:rPr>
                <w:b w:val="0"/>
                <w:sz w:val="24"/>
              </w:rPr>
              <w:t>Magnetic Stir Bars</w:t>
            </w:r>
          </w:p>
          <w:p w:rsidR="009451A0" w:rsidRDefault="004049B8" w:rsidP="009451A0">
            <w:pPr>
              <w:pStyle w:val="BodyText"/>
              <w:numPr>
                <w:ilvl w:val="0"/>
                <w:numId w:val="9"/>
              </w:numPr>
              <w:tabs>
                <w:tab w:val="num" w:pos="360"/>
              </w:tabs>
              <w:ind w:hanging="392"/>
              <w:rPr>
                <w:b w:val="0"/>
                <w:sz w:val="24"/>
              </w:rPr>
            </w:pPr>
            <w:r w:rsidRPr="004049B8">
              <w:rPr>
                <w:b w:val="0"/>
                <w:sz w:val="24"/>
              </w:rPr>
              <w:t>STA</w:t>
            </w:r>
            <w:r w:rsidRPr="004049B8">
              <w:rPr>
                <w:b w:val="0"/>
                <w:sz w:val="20"/>
                <w:vertAlign w:val="superscript"/>
              </w:rPr>
              <w:t>®</w:t>
            </w:r>
            <w:r>
              <w:rPr>
                <w:b w:val="0"/>
                <w:sz w:val="24"/>
              </w:rPr>
              <w:t xml:space="preserve"> Reducer</w:t>
            </w:r>
          </w:p>
          <w:p w:rsidR="004049B8" w:rsidRDefault="004049B8" w:rsidP="009451A0">
            <w:pPr>
              <w:pStyle w:val="BodyText"/>
              <w:numPr>
                <w:ilvl w:val="0"/>
                <w:numId w:val="9"/>
              </w:numPr>
              <w:tabs>
                <w:tab w:val="num" w:pos="360"/>
              </w:tabs>
              <w:ind w:hanging="392"/>
              <w:rPr>
                <w:b w:val="0"/>
                <w:sz w:val="24"/>
              </w:rPr>
            </w:pPr>
            <w:r>
              <w:rPr>
                <w:b w:val="0"/>
                <w:sz w:val="24"/>
              </w:rPr>
              <w:t>Reagent Grade Water</w:t>
            </w:r>
          </w:p>
          <w:p w:rsidR="004049B8" w:rsidRDefault="004049B8" w:rsidP="009451A0">
            <w:pPr>
              <w:pStyle w:val="BodyText"/>
              <w:numPr>
                <w:ilvl w:val="0"/>
                <w:numId w:val="9"/>
              </w:numPr>
              <w:tabs>
                <w:tab w:val="num" w:pos="360"/>
              </w:tabs>
              <w:ind w:hanging="392"/>
              <w:rPr>
                <w:b w:val="0"/>
                <w:sz w:val="24"/>
              </w:rPr>
            </w:pPr>
            <w:r w:rsidRPr="004049B8">
              <w:rPr>
                <w:b w:val="0"/>
                <w:sz w:val="24"/>
              </w:rPr>
              <w:t>STA – DESORB U</w:t>
            </w:r>
          </w:p>
          <w:p w:rsidR="009451A0" w:rsidRPr="007F7CD2" w:rsidRDefault="004049B8" w:rsidP="00803536">
            <w:pPr>
              <w:pStyle w:val="BodyText"/>
              <w:numPr>
                <w:ilvl w:val="0"/>
                <w:numId w:val="9"/>
              </w:numPr>
              <w:tabs>
                <w:tab w:val="num" w:pos="360"/>
              </w:tabs>
              <w:ind w:hanging="392"/>
              <w:rPr>
                <w:b w:val="0"/>
                <w:sz w:val="24"/>
                <w:szCs w:val="24"/>
              </w:rPr>
            </w:pPr>
            <w:r w:rsidRPr="004049B8">
              <w:rPr>
                <w:b w:val="0"/>
                <w:sz w:val="24"/>
                <w:szCs w:val="24"/>
              </w:rPr>
              <w:t>STA</w:t>
            </w:r>
            <w:r w:rsidRPr="004049B8">
              <w:rPr>
                <w:b w:val="0"/>
                <w:sz w:val="24"/>
                <w:szCs w:val="24"/>
                <w:vertAlign w:val="superscript"/>
              </w:rPr>
              <w:t xml:space="preserve">® </w:t>
            </w:r>
            <w:r w:rsidRPr="004049B8">
              <w:rPr>
                <w:b w:val="0"/>
                <w:sz w:val="24"/>
                <w:szCs w:val="24"/>
              </w:rPr>
              <w:t>- Cleaner Solution</w:t>
            </w:r>
          </w:p>
        </w:tc>
      </w:tr>
    </w:tbl>
    <w:p w:rsidR="009451A0" w:rsidRDefault="00C1738D" w:rsidP="009451A0">
      <w:pPr>
        <w:pStyle w:val="BlockLine"/>
        <w:jc w:val="right"/>
        <w:rPr>
          <w:i/>
          <w:sz w:val="20"/>
        </w:rPr>
      </w:pPr>
      <w:r>
        <w:rPr>
          <w:i/>
          <w:sz w:val="20"/>
        </w:rPr>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0123BF">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4049B8" w:rsidRPr="000123BF" w:rsidRDefault="000123BF" w:rsidP="000123BF">
            <w:pPr>
              <w:rPr>
                <w:szCs w:val="24"/>
              </w:rPr>
            </w:pPr>
            <w:r w:rsidRPr="000123BF">
              <w:t>STA</w:t>
            </w:r>
            <w:r w:rsidRPr="000123BF">
              <w:rPr>
                <w:vertAlign w:val="superscript"/>
              </w:rPr>
              <w:t>®</w:t>
            </w:r>
            <w:r w:rsidRPr="000123BF">
              <w:t xml:space="preserve"> - Fibrinogen</w:t>
            </w:r>
          </w:p>
        </w:tc>
        <w:tc>
          <w:tcPr>
            <w:tcW w:w="3000" w:type="dxa"/>
            <w:tcBorders>
              <w:top w:val="single" w:sz="4" w:space="0" w:color="auto"/>
              <w:left w:val="single" w:sz="4" w:space="0" w:color="auto"/>
              <w:bottom w:val="single" w:sz="4" w:space="0" w:color="auto"/>
              <w:right w:val="single" w:sz="4" w:space="0" w:color="auto"/>
            </w:tcBorders>
          </w:tcPr>
          <w:p w:rsidR="000123BF" w:rsidRDefault="000123BF" w:rsidP="00515E0C">
            <w:r w:rsidRPr="000123BF">
              <w:t>Reconstitute each vial with 5.0 ml of reagent grade water. Let stand 30 minutes at room temperature.  Swirl gently. Replace the perforated plastic cap on the vial.</w:t>
            </w:r>
          </w:p>
          <w:p w:rsidR="004049B8" w:rsidRPr="000123BF" w:rsidRDefault="0072737B" w:rsidP="00515E0C">
            <w:r w:rsidRPr="000123BF">
              <w:t>Write the date and initial on the vial</w:t>
            </w:r>
            <w:r w:rsidR="007B70A1" w:rsidRPr="000123BF">
              <w:t xml:space="preserve"> before loading on the instrument</w:t>
            </w:r>
            <w:r w:rsidRPr="000123BF">
              <w:t>.</w:t>
            </w:r>
          </w:p>
        </w:tc>
        <w:tc>
          <w:tcPr>
            <w:tcW w:w="2340" w:type="dxa"/>
            <w:tcBorders>
              <w:top w:val="single" w:sz="4" w:space="0" w:color="auto"/>
              <w:left w:val="single" w:sz="4" w:space="0" w:color="auto"/>
              <w:bottom w:val="single" w:sz="4" w:space="0" w:color="auto"/>
              <w:right w:val="single" w:sz="4" w:space="0" w:color="auto"/>
            </w:tcBorders>
          </w:tcPr>
          <w:p w:rsidR="004049B8" w:rsidRPr="005A4D02" w:rsidRDefault="005A4D02" w:rsidP="005A4D02">
            <w:pPr>
              <w:tabs>
                <w:tab w:val="left" w:pos="0"/>
              </w:tabs>
            </w:pPr>
            <w:r>
              <w:t>5 days on the</w:t>
            </w:r>
            <w:r w:rsidRPr="005A4D02">
              <w:rPr>
                <w:szCs w:val="24"/>
              </w:rPr>
              <w:t xml:space="preserve"> </w:t>
            </w:r>
            <w:r w:rsidRPr="005A4D02">
              <w:t>STA-R Evolution</w:t>
            </w:r>
            <w:r w:rsidRPr="005A4D02">
              <w:rPr>
                <w:vertAlign w:val="superscript"/>
              </w:rPr>
              <w:t xml:space="preserve">® </w:t>
            </w:r>
            <w:r w:rsidRPr="005A4D02">
              <w:t>with the perforated cap in place</w:t>
            </w:r>
          </w:p>
        </w:tc>
      </w:tr>
      <w:tr w:rsidR="00F70888" w:rsidTr="007B698C">
        <w:trPr>
          <w:cantSplit/>
          <w:trHeight w:val="345"/>
        </w:trPr>
        <w:tc>
          <w:tcPr>
            <w:tcW w:w="1728" w:type="dxa"/>
            <w:tcBorders>
              <w:right w:val="single" w:sz="4" w:space="0" w:color="auto"/>
            </w:tcBorders>
          </w:tcPr>
          <w:p w:rsidR="00F70888" w:rsidRDefault="00F7088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F70888" w:rsidRPr="00F70888" w:rsidRDefault="00F70888" w:rsidP="000123BF">
            <w:r w:rsidRPr="00F70888">
              <w:rPr>
                <w:szCs w:val="24"/>
              </w:rPr>
              <w:t>STA</w:t>
            </w:r>
            <w:r w:rsidRPr="00F70888">
              <w:rPr>
                <w:szCs w:val="24"/>
                <w:vertAlign w:val="superscript"/>
              </w:rPr>
              <w:t>®</w:t>
            </w:r>
            <w:r w:rsidRPr="00F70888">
              <w:rPr>
                <w:szCs w:val="24"/>
              </w:rPr>
              <w:t xml:space="preserve"> - </w:t>
            </w:r>
            <w:proofErr w:type="spellStart"/>
            <w:r w:rsidRPr="00F70888">
              <w:rPr>
                <w:szCs w:val="24"/>
              </w:rPr>
              <w:t>Owren-Koller</w:t>
            </w:r>
            <w:proofErr w:type="spellEnd"/>
            <w:r w:rsidRPr="00F70888">
              <w:rPr>
                <w:szCs w:val="24"/>
              </w:rPr>
              <w:t xml:space="preserve"> Buffer</w:t>
            </w:r>
          </w:p>
        </w:tc>
        <w:tc>
          <w:tcPr>
            <w:tcW w:w="3000" w:type="dxa"/>
            <w:tcBorders>
              <w:top w:val="single" w:sz="4" w:space="0" w:color="auto"/>
              <w:left w:val="single" w:sz="4" w:space="0" w:color="auto"/>
              <w:bottom w:val="single" w:sz="4" w:space="0" w:color="auto"/>
              <w:right w:val="single" w:sz="4" w:space="0" w:color="auto"/>
            </w:tcBorders>
          </w:tcPr>
          <w:p w:rsidR="00F70888" w:rsidRDefault="00F70888" w:rsidP="00515E0C">
            <w:r w:rsidRPr="00F70888">
              <w:rPr>
                <w:szCs w:val="24"/>
              </w:rPr>
              <w:t>Ready</w:t>
            </w:r>
            <w:r w:rsidRPr="00F70888">
              <w:t xml:space="preserve"> to use buffer. Used by the </w:t>
            </w:r>
            <w:r w:rsidRPr="00F70888">
              <w:rPr>
                <w:szCs w:val="24"/>
              </w:rPr>
              <w:t>STA-R Evolution</w:t>
            </w:r>
            <w:r w:rsidRPr="00F70888">
              <w:rPr>
                <w:szCs w:val="24"/>
                <w:vertAlign w:val="superscript"/>
              </w:rPr>
              <w:t>®</w:t>
            </w:r>
            <w:r w:rsidRPr="00F70888">
              <w:rPr>
                <w:szCs w:val="24"/>
              </w:rPr>
              <w:t xml:space="preserve"> </w:t>
            </w:r>
            <w:r w:rsidRPr="00F70888">
              <w:t>to perform dilutions of controls and patients’ plasmas.</w:t>
            </w:r>
          </w:p>
          <w:p w:rsidR="007F7CD2" w:rsidRPr="000123BF" w:rsidRDefault="007F7CD2" w:rsidP="00515E0C">
            <w:r w:rsidRPr="000123BF">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F70888" w:rsidRDefault="00F70888" w:rsidP="005A4D02">
            <w:pPr>
              <w:tabs>
                <w:tab w:val="left" w:pos="0"/>
              </w:tabs>
            </w:pPr>
            <w:r>
              <w:t>72 hours on the</w:t>
            </w:r>
            <w:r w:rsidRPr="005A4D02">
              <w:rPr>
                <w:szCs w:val="24"/>
              </w:rPr>
              <w:t xml:space="preserve"> </w:t>
            </w:r>
            <w:r>
              <w:rPr>
                <w:szCs w:val="24"/>
              </w:rPr>
              <w:t xml:space="preserve"> </w:t>
            </w:r>
            <w:r w:rsidRPr="005A4D02">
              <w:t>STA-R Evolution</w:t>
            </w:r>
            <w:r w:rsidRPr="005A4D02">
              <w:rPr>
                <w:vertAlign w:val="superscript"/>
              </w:rPr>
              <w:t>®</w:t>
            </w:r>
          </w:p>
        </w:tc>
      </w:tr>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gridSpan w:val="3"/>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proofErr w:type="gramStart"/>
            <w:r>
              <w:t>and</w:t>
            </w:r>
            <w:proofErr w:type="gramEnd"/>
            <w:r>
              <w:t xml:space="preserve">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w:t>
            </w:r>
            <w:proofErr w:type="gramStart"/>
            <w:r>
              <w:t>equipment</w:t>
            </w:r>
            <w:proofErr w:type="gramEnd"/>
            <w:r>
              <w:t xml:space="preserve">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 xml:space="preserve">For proper </w:t>
            </w:r>
            <w:proofErr w:type="spellStart"/>
            <w:r>
              <w:t>handwashing</w:t>
            </w:r>
            <w:proofErr w:type="spellEnd"/>
            <w:r>
              <w:t xml:space="preserve">, see LGM 8010, specifically, not limited to, proper </w:t>
            </w:r>
            <w:proofErr w:type="spellStart"/>
            <w:r>
              <w:t>handwqashing</w:t>
            </w:r>
            <w:proofErr w:type="spellEnd"/>
            <w:r>
              <w:t>.</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 xml:space="preserve">For proper handling of regular and infectious waste, see LGM 8006, specifically, but not limited to, proper disposal of regular and </w:t>
            </w:r>
            <w:proofErr w:type="spellStart"/>
            <w:r>
              <w:t>biohazardous</w:t>
            </w:r>
            <w:proofErr w:type="spellEnd"/>
            <w:r>
              <w:t xml:space="preserve"> waste.</w:t>
            </w:r>
          </w:p>
          <w:p w:rsidR="007D6E39" w:rsidRDefault="007D6E39" w:rsidP="007D6E39">
            <w:pPr>
              <w:pStyle w:val="ListParagraph"/>
              <w:numPr>
                <w:ilvl w:val="0"/>
                <w:numId w:val="16"/>
              </w:numPr>
            </w:pPr>
            <w:r>
              <w:t xml:space="preserve">For proper cleaning of work area, see LGM </w:t>
            </w:r>
            <w:proofErr w:type="gramStart"/>
            <w:r>
              <w:t>8007  –</w:t>
            </w:r>
            <w:proofErr w:type="gramEnd"/>
            <w:r>
              <w:t xml:space="preserve">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gridSpan w:val="3"/>
          </w:tcPr>
          <w:p w:rsidR="007D6E39" w:rsidRDefault="007D6E39" w:rsidP="007D6E39"/>
        </w:tc>
      </w:tr>
    </w:tbl>
    <w:p w:rsidR="005A6EE9" w:rsidRDefault="005A6EE9" w:rsidP="005A6EE9">
      <w:pPr>
        <w:pStyle w:val="BlockLine"/>
      </w:pPr>
    </w:p>
    <w:p w:rsidR="00EE6DD2" w:rsidRDefault="007D6E39" w:rsidP="00EE6DD2">
      <w:r w:rsidRPr="00EE6DD2">
        <w:rPr>
          <w:b/>
        </w:rPr>
        <w:t>Calibration</w:t>
      </w:r>
      <w:r w:rsidR="00337991" w:rsidRPr="00EE6DD2">
        <w:rPr>
          <w:b/>
        </w:rPr>
        <w:tab/>
      </w:r>
      <w:r w:rsidR="00EE6DD2">
        <w:rPr>
          <w:b/>
        </w:rPr>
        <w:t xml:space="preserve">       </w:t>
      </w:r>
      <w:r w:rsidR="00EE6DD2" w:rsidRPr="00EE6DD2">
        <w:t xml:space="preserve">The kit reagents are pre-calibrated: this calibration is identical for all reagents of </w:t>
      </w:r>
    </w:p>
    <w:p w:rsidR="00EE6DD2" w:rsidRDefault="00EE6DD2" w:rsidP="00EE6DD2">
      <w:pPr>
        <w:tabs>
          <w:tab w:val="num" w:pos="1140"/>
        </w:tabs>
        <w:ind w:left="1560"/>
      </w:pPr>
      <w:r>
        <w:t xml:space="preserve">     </w:t>
      </w:r>
      <w:proofErr w:type="gramStart"/>
      <w:r w:rsidRPr="00EE6DD2">
        <w:t>each</w:t>
      </w:r>
      <w:proofErr w:type="gramEnd"/>
      <w:r w:rsidRPr="00EE6DD2">
        <w:t xml:space="preserve"> lot. </w:t>
      </w:r>
    </w:p>
    <w:p w:rsidR="00EE6DD2" w:rsidRDefault="00EE6DD2" w:rsidP="00EE6DD2">
      <w:pPr>
        <w:tabs>
          <w:tab w:val="num" w:pos="1140"/>
        </w:tabs>
        <w:ind w:left="1560"/>
      </w:pPr>
    </w:p>
    <w:p w:rsidR="00EE6DD2" w:rsidRDefault="00EE6DD2" w:rsidP="00EE6DD2">
      <w:pPr>
        <w:tabs>
          <w:tab w:val="num" w:pos="1140"/>
        </w:tabs>
        <w:ind w:left="1560"/>
      </w:pPr>
      <w:r>
        <w:t xml:space="preserve">     </w:t>
      </w:r>
      <w:r w:rsidRPr="00EE6DD2">
        <w:t xml:space="preserve">Entering the data for the calibration curve: When the operator scans a new lot of </w:t>
      </w:r>
    </w:p>
    <w:p w:rsidR="00EE6DD2" w:rsidRDefault="00EE6DD2" w:rsidP="00EE6DD2">
      <w:pPr>
        <w:tabs>
          <w:tab w:val="num" w:pos="1140"/>
        </w:tabs>
        <w:ind w:left="1560"/>
      </w:pPr>
      <w:r>
        <w:t xml:space="preserve">     </w:t>
      </w:r>
      <w:proofErr w:type="gramStart"/>
      <w:r w:rsidRPr="00EE6DD2">
        <w:t>fibrinogen</w:t>
      </w:r>
      <w:proofErr w:type="gramEnd"/>
      <w:r w:rsidRPr="00EE6DD2">
        <w:t xml:space="preserve"> reagent, the </w:t>
      </w:r>
      <w:r w:rsidRPr="00EE6DD2">
        <w:rPr>
          <w:szCs w:val="24"/>
        </w:rPr>
        <w:t>STA-R Evolution</w:t>
      </w:r>
      <w:r w:rsidRPr="00EE6DD2">
        <w:rPr>
          <w:szCs w:val="24"/>
          <w:vertAlign w:val="superscript"/>
        </w:rPr>
        <w:t>®</w:t>
      </w:r>
      <w:r w:rsidRPr="00EE6DD2">
        <w:rPr>
          <w:szCs w:val="24"/>
        </w:rPr>
        <w:t xml:space="preserve"> </w:t>
      </w:r>
      <w:r w:rsidRPr="00EE6DD2">
        <w:t xml:space="preserve">will request the operator to scan the </w:t>
      </w:r>
    </w:p>
    <w:p w:rsidR="00707762" w:rsidRDefault="00EE6DD2" w:rsidP="00707762">
      <w:pPr>
        <w:ind w:left="1140"/>
        <w:rPr>
          <w:szCs w:val="24"/>
        </w:rPr>
      </w:pPr>
      <w:r>
        <w:t xml:space="preserve">     </w:t>
      </w:r>
      <w:r w:rsidR="00707762">
        <w:t xml:space="preserve">       </w:t>
      </w:r>
      <w:proofErr w:type="gramStart"/>
      <w:r w:rsidRPr="00EE6DD2">
        <w:t>barcode</w:t>
      </w:r>
      <w:proofErr w:type="gramEnd"/>
      <w:r w:rsidRPr="00EE6DD2">
        <w:t xml:space="preserve"> printed on the barcode insert across the barcode reader.</w:t>
      </w:r>
      <w:r w:rsidR="00707762" w:rsidRPr="00707762">
        <w:rPr>
          <w:szCs w:val="24"/>
        </w:rPr>
        <w:t xml:space="preserve"> </w:t>
      </w:r>
    </w:p>
    <w:p w:rsidR="00DB4B03" w:rsidRDefault="00DB4B03" w:rsidP="00707762">
      <w:pPr>
        <w:ind w:left="1140"/>
        <w:rPr>
          <w:szCs w:val="24"/>
        </w:rPr>
      </w:pPr>
    </w:p>
    <w:p w:rsidR="00DB4B03" w:rsidRDefault="00DB4B03" w:rsidP="00707762">
      <w:pPr>
        <w:ind w:left="1140"/>
        <w:rPr>
          <w:szCs w:val="24"/>
        </w:rPr>
      </w:pPr>
    </w:p>
    <w:p w:rsidR="00DB4B03" w:rsidRDefault="00DB4B03" w:rsidP="00707762">
      <w:pPr>
        <w:ind w:left="1140"/>
        <w:rPr>
          <w:szCs w:val="24"/>
        </w:rPr>
      </w:pPr>
    </w:p>
    <w:p w:rsidR="00DB4B03" w:rsidRDefault="00DB4B03" w:rsidP="00707762">
      <w:pPr>
        <w:ind w:left="1140"/>
        <w:rPr>
          <w:szCs w:val="24"/>
        </w:rPr>
      </w:pPr>
    </w:p>
    <w:p w:rsidR="00DB4B03" w:rsidRDefault="00DB4B03" w:rsidP="00707762">
      <w:pPr>
        <w:ind w:left="1140"/>
        <w:rPr>
          <w:szCs w:val="24"/>
        </w:rPr>
      </w:pPr>
    </w:p>
    <w:p w:rsidR="00707762" w:rsidRPr="00707762" w:rsidRDefault="00707762" w:rsidP="00707762">
      <w:pPr>
        <w:ind w:left="1140"/>
      </w:pPr>
    </w:p>
    <w:p w:rsidR="00707762" w:rsidRPr="00707762" w:rsidRDefault="00707762" w:rsidP="00707762">
      <w:pPr>
        <w:ind w:left="1140"/>
      </w:pPr>
    </w:p>
    <w:p w:rsidR="00707762" w:rsidRPr="00707762" w:rsidRDefault="00707762" w:rsidP="00707762">
      <w:pPr>
        <w:ind w:left="1140"/>
      </w:pPr>
    </w:p>
    <w:p w:rsidR="00707762" w:rsidRPr="00707762" w:rsidRDefault="00707762" w:rsidP="00707762">
      <w:pPr>
        <w:numPr>
          <w:ilvl w:val="0"/>
          <w:numId w:val="20"/>
        </w:numPr>
        <w:tabs>
          <w:tab w:val="num" w:pos="1140"/>
        </w:tabs>
      </w:pPr>
      <w:r>
        <w:lastRenderedPageBreak/>
        <w:t xml:space="preserve">   </w:t>
      </w:r>
      <w:r w:rsidR="00027A48">
        <w:rPr>
          <w:szCs w:val="24"/>
        </w:rPr>
        <w:t>Follow the steps below to</w:t>
      </w:r>
      <w:r w:rsidRPr="00707762">
        <w:rPr>
          <w:szCs w:val="24"/>
        </w:rPr>
        <w:t xml:space="preserve"> view the calibration curve:</w:t>
      </w:r>
    </w:p>
    <w:p w:rsidR="00707762" w:rsidRPr="00707762" w:rsidRDefault="00707762" w:rsidP="00707762">
      <w:pPr>
        <w:ind w:left="1560"/>
        <w:rPr>
          <w:szCs w:val="24"/>
        </w:rPr>
      </w:pPr>
    </w:p>
    <w:tbl>
      <w:tblPr>
        <w:tblW w:w="0" w:type="auto"/>
        <w:tblInd w:w="1829" w:type="dxa"/>
        <w:tblLayout w:type="fixed"/>
        <w:tblLook w:val="0000" w:firstRow="0" w:lastRow="0" w:firstColumn="0" w:lastColumn="0" w:noHBand="0" w:noVBand="0"/>
      </w:tblPr>
      <w:tblGrid>
        <w:gridCol w:w="878"/>
        <w:gridCol w:w="6670"/>
      </w:tblGrid>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Step</w:t>
            </w:r>
          </w:p>
        </w:tc>
        <w:tc>
          <w:tcPr>
            <w:tcW w:w="6670" w:type="dxa"/>
            <w:tcBorders>
              <w:top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Action</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1</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bCs/>
                <w:szCs w:val="24"/>
              </w:rPr>
            </w:pPr>
            <w:r w:rsidRPr="00707762">
              <w:rPr>
                <w:bCs/>
                <w:sz w:val="22"/>
              </w:rPr>
              <w:t>Click on Calibration menu</w:t>
            </w:r>
            <w:r w:rsidRPr="00707762">
              <w:rPr>
                <w:bCs/>
                <w:szCs w:val="24"/>
              </w:rPr>
              <w:t xml:space="preserve"> </w:t>
            </w:r>
            <w:r w:rsidR="005B6639">
              <w:rPr>
                <w:bCs/>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fillcolor="window">
                  <v:imagedata r:id="rId7" o:title=""/>
                </v:shape>
              </w:pict>
            </w:r>
            <w:r w:rsidRPr="00707762">
              <w:rPr>
                <w:bCs/>
                <w:szCs w:val="24"/>
              </w:rPr>
              <w:t xml:space="preserve">  </w:t>
            </w:r>
            <w:r w:rsidRPr="00707762">
              <w:rPr>
                <w:bCs/>
                <w:sz w:val="22"/>
              </w:rPr>
              <w:t>icon</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2</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szCs w:val="24"/>
              </w:rPr>
            </w:pPr>
            <w:r w:rsidRPr="00707762">
              <w:rPr>
                <w:szCs w:val="24"/>
              </w:rPr>
              <w:t xml:space="preserve">Click </w:t>
            </w:r>
            <w:r w:rsidRPr="00707762">
              <w:rPr>
                <w:b/>
                <w:szCs w:val="24"/>
              </w:rPr>
              <w:t xml:space="preserve">FIB TEST </w:t>
            </w:r>
            <w:r w:rsidRPr="00707762">
              <w:rPr>
                <w:bCs/>
                <w:szCs w:val="24"/>
              </w:rPr>
              <w:t>(on the test abbreviation)</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3</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bCs/>
                <w:sz w:val="22"/>
              </w:rPr>
            </w:pPr>
            <w:r w:rsidRPr="00707762">
              <w:rPr>
                <w:szCs w:val="24"/>
              </w:rPr>
              <w:t>Calibration screen includes current calibration curves and product information</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4</w:t>
            </w:r>
          </w:p>
        </w:tc>
        <w:tc>
          <w:tcPr>
            <w:tcW w:w="6670" w:type="dxa"/>
            <w:tcBorders>
              <w:top w:val="single" w:sz="6" w:space="0" w:color="auto"/>
              <w:bottom w:val="single" w:sz="6" w:space="0" w:color="auto"/>
              <w:right w:val="single" w:sz="6" w:space="0" w:color="auto"/>
            </w:tcBorders>
          </w:tcPr>
          <w:p w:rsidR="00707762" w:rsidRPr="00707762" w:rsidRDefault="00707762" w:rsidP="00707762">
            <w:pPr>
              <w:tabs>
                <w:tab w:val="num" w:pos="2520"/>
              </w:tabs>
              <w:rPr>
                <w:szCs w:val="24"/>
              </w:rPr>
            </w:pPr>
            <w:r w:rsidRPr="00707762">
              <w:rPr>
                <w:szCs w:val="24"/>
              </w:rPr>
              <w:t>Position for two different lots of reagent are available</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5</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szCs w:val="24"/>
              </w:rPr>
            </w:pPr>
            <w:r w:rsidRPr="00707762">
              <w:rPr>
                <w:szCs w:val="24"/>
              </w:rPr>
              <w:t xml:space="preserve">Click on the calibration icon </w:t>
            </w:r>
            <w:r w:rsidRPr="00707762">
              <w:rPr>
                <w:noProof/>
                <w:szCs w:val="24"/>
              </w:rPr>
              <w:drawing>
                <wp:inline distT="0" distB="0" distL="0" distR="0">
                  <wp:extent cx="396875" cy="2159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215900"/>
                          </a:xfrm>
                          <a:prstGeom prst="rect">
                            <a:avLst/>
                          </a:prstGeom>
                          <a:noFill/>
                          <a:ln>
                            <a:noFill/>
                          </a:ln>
                        </pic:spPr>
                      </pic:pic>
                    </a:graphicData>
                  </a:graphic>
                </wp:inline>
              </w:drawing>
            </w:r>
            <w:r w:rsidRPr="00707762">
              <w:rPr>
                <w:szCs w:val="24"/>
              </w:rPr>
              <w:t xml:space="preserve"> or calibration icon </w:t>
            </w:r>
            <w:r w:rsidRPr="00707762">
              <w:rPr>
                <w:noProof/>
                <w:szCs w:val="24"/>
              </w:rPr>
              <w:drawing>
                <wp:inline distT="0" distB="0" distL="0" distR="0">
                  <wp:extent cx="396875" cy="2159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215900"/>
                          </a:xfrm>
                          <a:prstGeom prst="rect">
                            <a:avLst/>
                          </a:prstGeom>
                          <a:noFill/>
                          <a:ln>
                            <a:noFill/>
                          </a:ln>
                        </pic:spPr>
                      </pic:pic>
                    </a:graphicData>
                  </a:graphic>
                </wp:inline>
              </w:drawing>
            </w:r>
            <w:r w:rsidRPr="00707762">
              <w:rPr>
                <w:szCs w:val="24"/>
              </w:rPr>
              <w:t xml:space="preserve"> </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6</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szCs w:val="24"/>
              </w:rPr>
            </w:pPr>
            <w:r w:rsidRPr="00707762">
              <w:rPr>
                <w:szCs w:val="24"/>
              </w:rPr>
              <w:t xml:space="preserve">Confirm by clicking on </w:t>
            </w:r>
            <w:r w:rsidRPr="00707762">
              <w:rPr>
                <w:b/>
                <w:szCs w:val="24"/>
              </w:rPr>
              <w:t>Calibrat</w:t>
            </w:r>
            <w:r w:rsidRPr="00707762">
              <w:rPr>
                <w:b/>
                <w:bCs/>
                <w:szCs w:val="24"/>
              </w:rPr>
              <w:t>e</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7</w:t>
            </w:r>
          </w:p>
        </w:tc>
        <w:tc>
          <w:tcPr>
            <w:tcW w:w="6670" w:type="dxa"/>
            <w:tcBorders>
              <w:top w:val="single" w:sz="6" w:space="0" w:color="auto"/>
              <w:bottom w:val="single" w:sz="6" w:space="0" w:color="auto"/>
              <w:right w:val="single" w:sz="6" w:space="0" w:color="auto"/>
            </w:tcBorders>
          </w:tcPr>
          <w:p w:rsidR="00707762" w:rsidRPr="00707762" w:rsidRDefault="00707762" w:rsidP="00707762">
            <w:pPr>
              <w:rPr>
                <w:b/>
                <w:bCs/>
                <w:sz w:val="22"/>
              </w:rPr>
            </w:pPr>
            <w:r w:rsidRPr="00707762">
              <w:rPr>
                <w:bCs/>
                <w:szCs w:val="24"/>
              </w:rPr>
              <w:t xml:space="preserve">Select the lot # to be calibrated </w:t>
            </w:r>
            <w:r w:rsidRPr="00707762">
              <w:rPr>
                <w:bCs/>
                <w:noProof/>
                <w:sz w:val="22"/>
              </w:rPr>
              <w:drawing>
                <wp:inline distT="0" distB="0" distL="0" distR="0">
                  <wp:extent cx="681355" cy="3448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344805"/>
                          </a:xfrm>
                          <a:prstGeom prst="rect">
                            <a:avLst/>
                          </a:prstGeom>
                          <a:noFill/>
                          <a:ln>
                            <a:noFill/>
                          </a:ln>
                        </pic:spPr>
                      </pic:pic>
                    </a:graphicData>
                  </a:graphic>
                </wp:inline>
              </w:drawing>
            </w:r>
            <w:r w:rsidRPr="00707762">
              <w:rPr>
                <w:bCs/>
                <w:sz w:val="22"/>
              </w:rPr>
              <w:t xml:space="preserve"> (the one highlighted in green)</w:t>
            </w:r>
          </w:p>
        </w:tc>
      </w:tr>
      <w:tr w:rsidR="003D2A63"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3D2A63" w:rsidRPr="00707762" w:rsidRDefault="003D2A63" w:rsidP="00707762">
            <w:pPr>
              <w:jc w:val="center"/>
              <w:rPr>
                <w:b/>
              </w:rPr>
            </w:pPr>
            <w:r>
              <w:rPr>
                <w:b/>
              </w:rPr>
              <w:t>8</w:t>
            </w:r>
          </w:p>
        </w:tc>
        <w:tc>
          <w:tcPr>
            <w:tcW w:w="6670" w:type="dxa"/>
            <w:tcBorders>
              <w:top w:val="single" w:sz="6" w:space="0" w:color="auto"/>
              <w:bottom w:val="single" w:sz="6" w:space="0" w:color="auto"/>
              <w:right w:val="single" w:sz="6" w:space="0" w:color="auto"/>
            </w:tcBorders>
          </w:tcPr>
          <w:p w:rsidR="003D2A63" w:rsidRPr="00707762" w:rsidRDefault="003D2A63" w:rsidP="00707762">
            <w:pPr>
              <w:rPr>
                <w:bCs/>
                <w:szCs w:val="24"/>
              </w:rPr>
            </w:pPr>
            <w:r>
              <w:rPr>
                <w:bCs/>
                <w:szCs w:val="24"/>
              </w:rPr>
              <w:t>Click the Print icon</w:t>
            </w:r>
          </w:p>
        </w:tc>
      </w:tr>
    </w:tbl>
    <w:p w:rsidR="00EE6DD2" w:rsidRDefault="00EE6DD2" w:rsidP="00EE6DD2">
      <w:pPr>
        <w:tabs>
          <w:tab w:val="num" w:pos="1140"/>
        </w:tabs>
        <w:ind w:left="1560"/>
      </w:pPr>
    </w:p>
    <w:p w:rsidR="003D2A63" w:rsidRDefault="003D2A63" w:rsidP="003D2A63">
      <w:pPr>
        <w:tabs>
          <w:tab w:val="num" w:pos="1560"/>
        </w:tabs>
      </w:pPr>
      <w:r>
        <w:t xml:space="preserve">                             T</w:t>
      </w:r>
      <w:r w:rsidR="00027A48" w:rsidRPr="00027A48">
        <w:t xml:space="preserve">he calibration curve will be validated for the lot being used when the two </w:t>
      </w:r>
    </w:p>
    <w:p w:rsidR="003D2A63" w:rsidRDefault="003D2A63" w:rsidP="003D2A63">
      <w:pPr>
        <w:tabs>
          <w:tab w:val="num" w:pos="1560"/>
        </w:tabs>
      </w:pPr>
      <w:r>
        <w:t xml:space="preserve">                             </w:t>
      </w:r>
      <w:r w:rsidR="00027A48" w:rsidRPr="00027A48">
        <w:t xml:space="preserve">fibrinogen control levels have been run. If the validation controls are outside the </w:t>
      </w:r>
    </w:p>
    <w:p w:rsidR="003D2A63" w:rsidRDefault="003D2A63" w:rsidP="003D2A63">
      <w:pPr>
        <w:tabs>
          <w:tab w:val="num" w:pos="1560"/>
        </w:tabs>
      </w:pPr>
      <w:r>
        <w:t xml:space="preserve">                             </w:t>
      </w:r>
      <w:r w:rsidR="00027A48" w:rsidRPr="00027A48">
        <w:t xml:space="preserve">assayed range, the </w:t>
      </w:r>
      <w:r w:rsidR="00027A48" w:rsidRPr="00027A48">
        <w:rPr>
          <w:szCs w:val="24"/>
        </w:rPr>
        <w:t>STA-R Evolution</w:t>
      </w:r>
      <w:r w:rsidR="00027A48" w:rsidRPr="00027A48">
        <w:rPr>
          <w:szCs w:val="24"/>
          <w:vertAlign w:val="superscript"/>
        </w:rPr>
        <w:t xml:space="preserve">® </w:t>
      </w:r>
      <w:r w:rsidR="00027A48" w:rsidRPr="00027A48">
        <w:t xml:space="preserve">will not run fibrinogen until the controls are </w:t>
      </w:r>
    </w:p>
    <w:p w:rsidR="00707762" w:rsidRPr="00EE6DD2" w:rsidRDefault="003D2A63" w:rsidP="003D2A63">
      <w:pPr>
        <w:tabs>
          <w:tab w:val="num" w:pos="1560"/>
        </w:tabs>
      </w:pPr>
      <w:r>
        <w:t xml:space="preserve">                             validated.</w:t>
      </w:r>
      <w:r w:rsidR="00707762">
        <w:t xml:space="preserve"> </w:t>
      </w:r>
    </w:p>
    <w:p w:rsidR="00EE6DD2" w:rsidRPr="00EE6DD2" w:rsidRDefault="00EE6DD2" w:rsidP="00EE6DD2">
      <w:pPr>
        <w:rPr>
          <w:b/>
        </w:rPr>
      </w:pPr>
      <w:r>
        <w:t xml:space="preserve">                              </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BD2A18" w:rsidRPr="00BE199C" w:rsidRDefault="00C95B79" w:rsidP="00BD2A18">
      <w:pPr>
        <w:ind w:left="1440"/>
      </w:pPr>
      <w:r>
        <w:t>Fibrinogen</w:t>
      </w:r>
      <w:r w:rsidR="00BD2A18" w:rsidRPr="00BD2A18">
        <w:t xml:space="preserve"> Controls must be ran at least once per shift using the</w:t>
      </w:r>
      <w:r w:rsidR="00BD2A18">
        <w:rPr>
          <w:b/>
        </w:rPr>
        <w:t xml:space="preserve"> </w:t>
      </w:r>
      <w:r w:rsidR="00BD2A18" w:rsidRPr="00FE18DC">
        <w:t>STA</w:t>
      </w:r>
      <w:r w:rsidR="00BD2A18" w:rsidRPr="00FE18DC">
        <w:rPr>
          <w:sz w:val="20"/>
          <w:vertAlign w:val="superscript"/>
        </w:rPr>
        <w:t>®</w:t>
      </w:r>
      <w:r w:rsidR="00BD2A18">
        <w:t xml:space="preserve"> </w:t>
      </w:r>
      <w:r w:rsidR="00873093">
        <w:t xml:space="preserve">Control N+ABN Contol.  </w:t>
      </w:r>
      <w:r w:rsidR="00873093" w:rsidRPr="00BE199C">
        <w:t xml:space="preserve">When Quality Control </w:t>
      </w:r>
      <w:r w:rsidR="00BD2A18" w:rsidRPr="00BE199C">
        <w:t xml:space="preserve">tolerance limits are  </w:t>
      </w:r>
    </w:p>
    <w:p w:rsidR="00873093" w:rsidRPr="00BE199C" w:rsidRDefault="00BB1DD4" w:rsidP="00BD2A18">
      <w:pPr>
        <w:ind w:left="1440"/>
      </w:pPr>
      <w:r w:rsidRPr="00BE199C">
        <w:t xml:space="preserve">      e</w:t>
      </w:r>
      <w:r w:rsidR="00BD2A18" w:rsidRPr="00BE199C">
        <w:t>xceeded</w:t>
      </w:r>
      <w:r w:rsidR="00873093" w:rsidRPr="00BE199C">
        <w:t xml:space="preserve"> based on the QC criteria defined in LGM 2022 Qulaity Control (QC)</w:t>
      </w:r>
    </w:p>
    <w:p w:rsidR="00BD2A18" w:rsidRPr="00BE199C" w:rsidRDefault="00873093" w:rsidP="00BD2A18">
      <w:pPr>
        <w:ind w:left="1440"/>
      </w:pPr>
      <w:r w:rsidRPr="00BE199C">
        <w:t xml:space="preserve">      Policy</w:t>
      </w:r>
      <w:r w:rsidR="00BD2A18" w:rsidRPr="00BE199C">
        <w:t xml:space="preserve">, corrective action must be taken and documented before analyzing </w:t>
      </w:r>
    </w:p>
    <w:p w:rsidR="00C528EA" w:rsidRPr="00BE199C" w:rsidRDefault="00BD2A18" w:rsidP="00BD2A18">
      <w:pPr>
        <w:ind w:left="1440"/>
      </w:pPr>
      <w:r w:rsidRPr="00BE199C">
        <w:t xml:space="preserve">      patient samples</w:t>
      </w:r>
      <w:r w:rsidR="00873093" w:rsidRPr="00BE199C">
        <w:t>.</w:t>
      </w:r>
      <w:r w:rsidR="00C528EA" w:rsidRPr="00BE199C">
        <w:tab/>
      </w:r>
      <w:r w:rsidR="00C528EA" w:rsidRPr="00BE199C">
        <w:tab/>
      </w:r>
      <w:r w:rsidR="00C528EA" w:rsidRPr="00BE199C">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D32C36">
        <w:trPr>
          <w:cantSplit/>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965FC6" w:rsidRDefault="00965FC6" w:rsidP="00965FC6">
                  <w:pPr>
                    <w:rPr>
                      <w:szCs w:val="24"/>
                    </w:rPr>
                  </w:pPr>
                  <w:r w:rsidRPr="00965FC6">
                    <w:t>STA</w:t>
                  </w:r>
                  <w:r w:rsidRPr="00965FC6">
                    <w:rPr>
                      <w:sz w:val="20"/>
                      <w:vertAlign w:val="superscript"/>
                    </w:rPr>
                    <w:t>®</w:t>
                  </w:r>
                  <w:r w:rsidRPr="00965FC6">
                    <w:t xml:space="preserve"> Coag Control </w:t>
                  </w:r>
                  <w:r w:rsidRPr="00965FC6">
                    <w:rPr>
                      <w:rFonts w:ascii="Arial Unicode MS" w:eastAsia="Arial Unicode MS" w:hAnsi="Arial Unicode MS" w:cs="Arial Unicode MS" w:hint="eastAsia"/>
                    </w:rPr>
                    <w:t>Ⓝ</w:t>
                  </w:r>
                  <w:r w:rsidRPr="00965FC6">
                    <w:t>+</w:t>
                  </w:r>
                  <w:r w:rsidRPr="00965FC6">
                    <w:rPr>
                      <w:sz w:val="20"/>
                    </w:rPr>
                    <w:t>ABN</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814596">
                    <w:t>Write the date and initial on the vial</w:t>
                  </w:r>
                  <w:r w:rsidR="007B70A1" w:rsidRPr="00814596">
                    <w:t xml:space="preserve"> after reconstitution</w:t>
                  </w:r>
                  <w:r w:rsidR="0072737B" w:rsidRPr="00814596">
                    <w:t>.</w:t>
                  </w:r>
                </w:p>
              </w:tc>
              <w:tc>
                <w:tcPr>
                  <w:tcW w:w="2593" w:type="dxa"/>
                </w:tcPr>
                <w:p w:rsidR="00965FC6" w:rsidRDefault="00965FC6" w:rsidP="00965FC6">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5A6EE9" w:rsidRDefault="005A6EE9" w:rsidP="00FE18DC">
            <w:pPr>
              <w:rPr>
                <w:b/>
              </w:rPr>
            </w:pPr>
          </w:p>
          <w:p w:rsidR="00E53340" w:rsidRDefault="00E53340" w:rsidP="00FE18DC">
            <w:pPr>
              <w:rPr>
                <w:b/>
              </w:rPr>
            </w:pPr>
          </w:p>
          <w:p w:rsidR="00E53340" w:rsidRDefault="00E53340" w:rsidP="00FE18DC">
            <w:pPr>
              <w:rPr>
                <w:b/>
              </w:rPr>
            </w:pPr>
          </w:p>
          <w:p w:rsidR="00E27D7F" w:rsidRPr="00FE18DC" w:rsidRDefault="00E27D7F" w:rsidP="00E27D7F">
            <w:pPr>
              <w:pStyle w:val="ListParagraph"/>
              <w:numPr>
                <w:ilvl w:val="0"/>
                <w:numId w:val="17"/>
              </w:numPr>
            </w:pPr>
            <w:r>
              <w:t>Follow the ste</w:t>
            </w:r>
            <w:r w:rsidR="00C95B79">
              <w:t>ps below to run Fibrinogen Quality Control</w:t>
            </w:r>
          </w:p>
          <w:p w:rsidR="005A6EE9" w:rsidRPr="00781F79" w:rsidRDefault="005A6EE9" w:rsidP="00803536">
            <w:pPr>
              <w:rPr>
                <w:szCs w:val="24"/>
              </w:rPr>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Pr="007E251B" w:rsidRDefault="00FE18DC" w:rsidP="000D0A9C">
            <w:pPr>
              <w:tabs>
                <w:tab w:val="left" w:pos="1710"/>
              </w:tabs>
            </w:pPr>
            <w:r w:rsidRPr="007E251B">
              <w:t xml:space="preserve">Click the  </w:t>
            </w:r>
            <w:r w:rsidR="005B6639">
              <w:rPr>
                <w:sz w:val="22"/>
              </w:rPr>
              <w:pict>
                <v:shape id="_x0000_i1026" type="#_x0000_t75" style="width:43.5pt;height:28.5pt" fillcolor="window">
                  <v:imagedata r:id="rId11" o:title=""/>
                </v:shape>
              </w:pict>
            </w:r>
            <w:r w:rsidRPr="007E251B">
              <w:rPr>
                <w:sz w:val="22"/>
              </w:rPr>
              <w:t xml:space="preserve">  </w:t>
            </w:r>
            <w:r w:rsidRPr="007E251B">
              <w:t>icon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2</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814596">
              <w:rPr>
                <w:b/>
              </w:rPr>
              <w:t>FIB</w:t>
            </w:r>
            <w:r w:rsidRPr="007E251B">
              <w:t xml:space="preserve"> test abbreviation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3</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 xml:space="preserve">Control Level # </w:t>
            </w:r>
            <w:r w:rsidRPr="007E251B">
              <w:t>tab (#corresponds to the number of the level)</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4</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5B6639">
              <w:rPr>
                <w:sz w:val="22"/>
              </w:rPr>
              <w:pict w14:anchorId="5086B7E1">
                <v:shape id="_x0000_i1027" type="#_x0000_t75" style="width:21.75pt;height:21.75pt" fillcolor="window">
                  <v:imagedata r:id="rId12" o:title=""/>
                </v:shape>
              </w:pict>
            </w:r>
            <w:r w:rsidRPr="007E251B">
              <w:rPr>
                <w:sz w:val="22"/>
              </w:rPr>
              <w:t xml:space="preserve">  </w:t>
            </w:r>
            <w:r w:rsidRPr="007E251B">
              <w:t>button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5</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Confirm by clicking </w:t>
            </w:r>
            <w:r w:rsidRPr="007E251B">
              <w:rPr>
                <w:b/>
              </w:rPr>
              <w:t xml:space="preserve">OK </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6</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left" w:pos="1710"/>
              </w:tabs>
            </w:pPr>
            <w:r w:rsidRPr="000E5B67">
              <w:t>Repeat for each level</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7</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num" w:pos="1560"/>
              </w:tabs>
            </w:pPr>
            <w:r w:rsidRPr="000E5B67">
              <w:t xml:space="preserve">All control ranges are monitored automatically by the </w:t>
            </w:r>
            <w:r w:rsidRPr="000E5B67">
              <w:rPr>
                <w:szCs w:val="24"/>
              </w:rPr>
              <w:t>STA–R Evolution</w:t>
            </w:r>
            <w:r w:rsidRPr="000E5B67">
              <w:rPr>
                <w:szCs w:val="24"/>
                <w:vertAlign w:val="superscript"/>
              </w:rPr>
              <w:t>®</w:t>
            </w:r>
            <w:r w:rsidRPr="000E5B67">
              <w:t xml:space="preserve">. Control results are automatically filed in the </w:t>
            </w:r>
            <w:r w:rsidRPr="000E5B67">
              <w:rPr>
                <w:szCs w:val="24"/>
              </w:rPr>
              <w:t>STA–R Evolution</w:t>
            </w:r>
            <w:r w:rsidRPr="000E5B67">
              <w:rPr>
                <w:szCs w:val="24"/>
                <w:vertAlign w:val="superscript"/>
              </w:rPr>
              <w:t>®</w:t>
            </w:r>
            <w:r w:rsidRPr="000E5B67">
              <w:t xml:space="preserve"> QC file.  All results for a 24-hour period will be converted to a “mean” value at midnight.  This mean is used in the statistical data and is plotted on the Levy-Jennings chart as a daily mean.  Each point can be viewed on the Levy-Jennings Daily control chart by clicking on the left arrow. </w:t>
            </w:r>
          </w:p>
        </w:tc>
      </w:tr>
    </w:tbl>
    <w:p w:rsidR="00BD2A18" w:rsidRDefault="00BD2A18"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E53340" w:rsidRDefault="00E53340" w:rsidP="00BD2A18"/>
    <w:p w:rsidR="00E53340" w:rsidRDefault="00E53340" w:rsidP="00BD2A18"/>
    <w:p w:rsidR="00E53340" w:rsidRDefault="00E53340" w:rsidP="00BD2A18"/>
    <w:p w:rsidR="004C4D75" w:rsidRDefault="004C4D75" w:rsidP="00BD2A18"/>
    <w:p w:rsidR="004C4D75" w:rsidRDefault="004C4D75" w:rsidP="00BD2A18"/>
    <w:p w:rsidR="004C4D75" w:rsidRDefault="004C4D75" w:rsidP="00BD2A18"/>
    <w:p w:rsidR="004C4D75" w:rsidRDefault="004C4D75" w:rsidP="004C4D75">
      <w:pPr>
        <w:pStyle w:val="BlockLine"/>
      </w:pPr>
    </w:p>
    <w:p w:rsidR="00BD2A18" w:rsidRPr="00FE18DC" w:rsidRDefault="00147952" w:rsidP="00147952">
      <w:pPr>
        <w:pStyle w:val="ListParagraph"/>
        <w:numPr>
          <w:ilvl w:val="0"/>
          <w:numId w:val="17"/>
        </w:numPr>
        <w:jc w:val="center"/>
      </w:pPr>
      <w:r>
        <w:lastRenderedPageBreak/>
        <w:t>Follow the step</w:t>
      </w:r>
      <w:r w:rsidR="00BD2A18">
        <w:t xml:space="preserve"> below to Display Daily Controls</w:t>
      </w:r>
    </w:p>
    <w:p w:rsidR="00FE18DC" w:rsidRDefault="00FE18DC" w:rsidP="00BD2A18">
      <w:pPr>
        <w:pStyle w:val="ListParagraph"/>
        <w:ind w:left="2880"/>
        <w:jc w:val="both"/>
      </w:pPr>
    </w:p>
    <w:tbl>
      <w:tblPr>
        <w:tblW w:w="0" w:type="auto"/>
        <w:tblLayout w:type="fixed"/>
        <w:tblLook w:val="0000" w:firstRow="0" w:lastRow="0" w:firstColumn="0" w:lastColumn="0" w:noHBand="0" w:noVBand="0"/>
      </w:tblPr>
      <w:tblGrid>
        <w:gridCol w:w="1728"/>
        <w:gridCol w:w="101"/>
        <w:gridCol w:w="878"/>
        <w:gridCol w:w="6670"/>
        <w:gridCol w:w="361"/>
      </w:tblGrid>
      <w:tr w:rsidR="00FE18DC"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55198"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Default="00FE18DC" w:rsidP="000D0A9C">
            <w:pPr>
              <w:pStyle w:val="TableText"/>
            </w:pPr>
            <w:r>
              <w:t>Click on the</w:t>
            </w:r>
            <w:r w:rsidRPr="00755198">
              <w:rPr>
                <w:noProof/>
              </w:rPr>
              <w:drawing>
                <wp:inline distT="0" distB="0" distL="0" distR="0">
                  <wp:extent cx="447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FE18DC" w:rsidRDefault="00FE18DC" w:rsidP="000D0A9C">
            <w:pPr>
              <w:pStyle w:val="TableText"/>
            </w:pPr>
            <w:r>
              <w:t xml:space="preserve">     The </w:t>
            </w:r>
            <w:r>
              <w:rPr>
                <w:b/>
              </w:rPr>
              <w:t xml:space="preserve">Daily controls </w:t>
            </w:r>
            <w:r>
              <w:t>screen is displayed:</w:t>
            </w:r>
          </w:p>
          <w:p w:rsidR="00FE18DC" w:rsidRPr="00FE5333" w:rsidRDefault="00FE18DC" w:rsidP="000D0A9C">
            <w:pPr>
              <w:pStyle w:val="TableText"/>
            </w:pPr>
            <w:r>
              <w:t xml:space="preserve">             </w:t>
            </w:r>
            <w:r w:rsidRPr="00FE5333">
              <w:rPr>
                <w:noProof/>
              </w:rPr>
              <w:drawing>
                <wp:inline distT="0" distB="0" distL="0" distR="0">
                  <wp:extent cx="3457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1905000"/>
                          </a:xfrm>
                          <a:prstGeom prst="rect">
                            <a:avLst/>
                          </a:prstGeom>
                          <a:noFill/>
                          <a:ln>
                            <a:noFill/>
                          </a:ln>
                        </pic:spPr>
                      </pic:pic>
                    </a:graphicData>
                  </a:graphic>
                </wp:inline>
              </w:drawing>
            </w:r>
          </w:p>
          <w:p w:rsidR="00FE18DC" w:rsidRPr="00755198" w:rsidRDefault="00FE18DC" w:rsidP="000D0A9C">
            <w:pPr>
              <w:pStyle w:val="TableText"/>
            </w:pPr>
            <w:r>
              <w:t xml:space="preserve">          </w:t>
            </w:r>
          </w:p>
        </w:tc>
      </w:tr>
      <w:tr w:rsidR="005A6EE9" w:rsidTr="00E27D7F">
        <w:trPr>
          <w:cantSplit/>
        </w:trPr>
        <w:tc>
          <w:tcPr>
            <w:tcW w:w="1728" w:type="dxa"/>
          </w:tcPr>
          <w:p w:rsidR="005A6EE9" w:rsidRDefault="005A6EE9" w:rsidP="00803536">
            <w:pPr>
              <w:pStyle w:val="Heading5"/>
            </w:pPr>
          </w:p>
        </w:tc>
        <w:tc>
          <w:tcPr>
            <w:tcW w:w="8010" w:type="dxa"/>
            <w:gridSpan w:val="4"/>
          </w:tcPr>
          <w:p w:rsidR="00BD2A18" w:rsidRDefault="00BD2A18" w:rsidP="00BD2A18">
            <w:pPr>
              <w:rPr>
                <w:szCs w:val="24"/>
              </w:rPr>
            </w:pPr>
          </w:p>
          <w:p w:rsidR="00BD2A18" w:rsidRPr="00E53340" w:rsidRDefault="004D66F0" w:rsidP="00803536">
            <w:pPr>
              <w:pStyle w:val="ListParagraph"/>
              <w:numPr>
                <w:ilvl w:val="0"/>
                <w:numId w:val="17"/>
              </w:numPr>
            </w:pPr>
            <w:r w:rsidRPr="00E53340">
              <w:t>For Quality control result &gt;2SD, the value will be flagged ‘To Validate’.  ‘To Validate’ denotes that the result must be reviewed and accepted or appropriate action taken such as repeating the quality control run.  Follow the step below to validate the quality control result.</w:t>
            </w:r>
          </w:p>
          <w:p w:rsidR="00BD2A18" w:rsidRPr="00781F79" w:rsidRDefault="00BD2A18" w:rsidP="00803536">
            <w:pPr>
              <w:rPr>
                <w:szCs w:val="24"/>
              </w:rPr>
            </w:pPr>
          </w:p>
        </w:tc>
      </w:tr>
      <w:tr w:rsidR="00E27D7F"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E53340" w:rsidRDefault="00E27D7F" w:rsidP="000D0A9C">
            <w:pPr>
              <w:pStyle w:val="TableText"/>
            </w:pPr>
            <w:r>
              <w:t xml:space="preserve">From the </w:t>
            </w:r>
            <w:r w:rsidRPr="00E27D7F">
              <w:rPr>
                <w:b/>
              </w:rPr>
              <w:t>Daily Control</w:t>
            </w:r>
            <w:r>
              <w:t xml:space="preserve"> </w:t>
            </w:r>
            <w:r w:rsidRPr="00E27D7F">
              <w:rPr>
                <w:b/>
              </w:rPr>
              <w:t>screen</w:t>
            </w:r>
            <w:r>
              <w:t xml:space="preserve">, </w:t>
            </w:r>
            <w:r>
              <w:rPr>
                <w:b/>
              </w:rPr>
              <w:t>double click</w:t>
            </w:r>
            <w:r>
              <w:t xml:space="preserve"> on the quality control to be validated.</w:t>
            </w:r>
            <w:r w:rsidR="008641D7">
              <w:t xml:space="preserve">  </w:t>
            </w:r>
            <w:r w:rsidR="008641D7" w:rsidRPr="00E53340">
              <w:t>The following options will display:</w:t>
            </w:r>
          </w:p>
          <w:p w:rsidR="008641D7" w:rsidRPr="00E53340" w:rsidRDefault="008641D7" w:rsidP="008641D7">
            <w:pPr>
              <w:pStyle w:val="TableText"/>
              <w:numPr>
                <w:ilvl w:val="0"/>
                <w:numId w:val="17"/>
              </w:numPr>
            </w:pPr>
            <w:r w:rsidRPr="00E53340">
              <w:t>Validate</w:t>
            </w:r>
          </w:p>
          <w:p w:rsidR="008641D7" w:rsidRPr="00E53340" w:rsidRDefault="008641D7" w:rsidP="008641D7">
            <w:pPr>
              <w:pStyle w:val="TableText"/>
              <w:numPr>
                <w:ilvl w:val="0"/>
                <w:numId w:val="17"/>
              </w:numPr>
            </w:pPr>
            <w:r w:rsidRPr="00E53340">
              <w:t>Rerun</w:t>
            </w:r>
          </w:p>
          <w:p w:rsidR="008641D7" w:rsidRPr="00FE5333" w:rsidRDefault="008641D7" w:rsidP="008641D7">
            <w:pPr>
              <w:pStyle w:val="TableText"/>
              <w:numPr>
                <w:ilvl w:val="0"/>
                <w:numId w:val="17"/>
              </w:numPr>
            </w:pPr>
            <w:r w:rsidRPr="00E53340">
              <w:t>Delete</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8641D7" w:rsidP="000D0A9C">
            <w:pPr>
              <w:pStyle w:val="TableText"/>
              <w:jc w:val="center"/>
            </w:pPr>
            <w:r>
              <w:t>2</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p>
          <w:tbl>
            <w:tblPr>
              <w:tblStyle w:val="TableGrid"/>
              <w:tblW w:w="0" w:type="auto"/>
              <w:tblLayout w:type="fixed"/>
              <w:tblLook w:val="04A0" w:firstRow="1" w:lastRow="0" w:firstColumn="1" w:lastColumn="0" w:noHBand="0" w:noVBand="1"/>
            </w:tblPr>
            <w:tblGrid>
              <w:gridCol w:w="3219"/>
              <w:gridCol w:w="3220"/>
            </w:tblGrid>
            <w:tr w:rsidR="00C918A7" w:rsidTr="007465A4">
              <w:tc>
                <w:tcPr>
                  <w:tcW w:w="3219" w:type="dxa"/>
                </w:tcPr>
                <w:p w:rsidR="00C918A7" w:rsidRDefault="00C918A7" w:rsidP="00C918A7">
                  <w:pPr>
                    <w:pStyle w:val="TableText"/>
                  </w:pPr>
                  <w:r>
                    <w:rPr>
                      <w:b/>
                    </w:rPr>
                    <w:t>If…</w:t>
                  </w:r>
                </w:p>
              </w:tc>
              <w:tc>
                <w:tcPr>
                  <w:tcW w:w="3220" w:type="dxa"/>
                </w:tcPr>
                <w:p w:rsidR="00C918A7" w:rsidRDefault="00C918A7" w:rsidP="00C918A7">
                  <w:pPr>
                    <w:pStyle w:val="TableText"/>
                  </w:pPr>
                  <w:r>
                    <w:rPr>
                      <w:b/>
                    </w:rPr>
                    <w:t>Then…</w:t>
                  </w:r>
                </w:p>
              </w:tc>
            </w:tr>
            <w:tr w:rsidR="00E53340" w:rsidRPr="00E53340" w:rsidTr="007465A4">
              <w:tc>
                <w:tcPr>
                  <w:tcW w:w="3219" w:type="dxa"/>
                </w:tcPr>
                <w:p w:rsidR="00C918A7" w:rsidRPr="00E53340" w:rsidRDefault="00C918A7" w:rsidP="00C918A7">
                  <w:pPr>
                    <w:pStyle w:val="TableText"/>
                  </w:pPr>
                  <w:r w:rsidRPr="00E53340">
                    <w:t>The quality control result is acceptable</w:t>
                  </w:r>
                </w:p>
              </w:tc>
              <w:tc>
                <w:tcPr>
                  <w:tcW w:w="3220" w:type="dxa"/>
                </w:tcPr>
                <w:p w:rsidR="00C918A7" w:rsidRPr="00E53340" w:rsidRDefault="00C918A7" w:rsidP="00C918A7">
                  <w:pPr>
                    <w:pStyle w:val="TableText"/>
                  </w:pPr>
                  <w:r w:rsidRPr="00E53340">
                    <w:t>Choose ‘Validate’</w:t>
                  </w:r>
                </w:p>
              </w:tc>
            </w:tr>
            <w:tr w:rsidR="00E53340" w:rsidRPr="00E53340" w:rsidTr="007465A4">
              <w:tc>
                <w:tcPr>
                  <w:tcW w:w="3219" w:type="dxa"/>
                </w:tcPr>
                <w:p w:rsidR="00C918A7" w:rsidRPr="00E53340" w:rsidRDefault="00C918A7" w:rsidP="00C918A7">
                  <w:pPr>
                    <w:pStyle w:val="TableText"/>
                  </w:pPr>
                  <w:r w:rsidRPr="00E53340">
                    <w:t>The quality control requires repeat or rerun</w:t>
                  </w:r>
                </w:p>
              </w:tc>
              <w:tc>
                <w:tcPr>
                  <w:tcW w:w="3220" w:type="dxa"/>
                </w:tcPr>
                <w:p w:rsidR="00C918A7" w:rsidRPr="00E53340" w:rsidRDefault="00C918A7" w:rsidP="00C918A7">
                  <w:pPr>
                    <w:pStyle w:val="TableText"/>
                  </w:pPr>
                  <w:r w:rsidRPr="00E53340">
                    <w:t>Choose ‘Rerun’</w:t>
                  </w:r>
                </w:p>
              </w:tc>
            </w:tr>
            <w:tr w:rsidR="00E53340" w:rsidRPr="00E53340" w:rsidTr="007465A4">
              <w:tc>
                <w:tcPr>
                  <w:tcW w:w="3219" w:type="dxa"/>
                </w:tcPr>
                <w:p w:rsidR="00C918A7" w:rsidRPr="00E53340" w:rsidRDefault="00C918A7" w:rsidP="00C918A7">
                  <w:pPr>
                    <w:pStyle w:val="TableText"/>
                  </w:pPr>
                  <w:r w:rsidRPr="00E53340">
                    <w:t>The quality control needs to be excluded from the daily statistical data.</w:t>
                  </w:r>
                </w:p>
              </w:tc>
              <w:tc>
                <w:tcPr>
                  <w:tcW w:w="3220" w:type="dxa"/>
                </w:tcPr>
                <w:p w:rsidR="00C918A7" w:rsidRPr="00E53340" w:rsidRDefault="00C918A7" w:rsidP="00C918A7">
                  <w:pPr>
                    <w:pStyle w:val="TableText"/>
                  </w:pPr>
                  <w:r w:rsidRPr="00E53340">
                    <w:t>Choose ‘Delete’</w:t>
                  </w:r>
                </w:p>
              </w:tc>
            </w:tr>
          </w:tbl>
          <w:p w:rsidR="00C918A7" w:rsidRPr="00E53340" w:rsidRDefault="00C918A7" w:rsidP="000D0A9C">
            <w:pPr>
              <w:pStyle w:val="TableText"/>
            </w:pPr>
          </w:p>
          <w:p w:rsidR="00C918A7" w:rsidRDefault="00C918A7" w:rsidP="000D0A9C">
            <w:pPr>
              <w:pStyle w:val="TableText"/>
            </w:pPr>
          </w:p>
        </w:tc>
      </w:tr>
    </w:tbl>
    <w:p w:rsidR="00E27D7F" w:rsidRDefault="00147952" w:rsidP="00E27D7F">
      <w:r>
        <w:lastRenderedPageBreak/>
        <w:tab/>
      </w:r>
      <w:r>
        <w:tab/>
      </w:r>
      <w:r>
        <w:tab/>
      </w:r>
    </w:p>
    <w:p w:rsidR="00147952" w:rsidRPr="004D66F0" w:rsidRDefault="00147952" w:rsidP="004D66F0">
      <w:pPr>
        <w:pStyle w:val="ListParagraph"/>
        <w:numPr>
          <w:ilvl w:val="3"/>
          <w:numId w:val="17"/>
        </w:numPr>
        <w:rPr>
          <w:color w:val="FF0000"/>
        </w:rPr>
      </w:pPr>
      <w:r>
        <w:t>Follow the step below to print daily Quality Control results</w:t>
      </w:r>
      <w:r w:rsidR="004D66F0">
        <w:t>.</w:t>
      </w:r>
    </w:p>
    <w:p w:rsidR="00E27D7F" w:rsidRPr="00E27D7F" w:rsidRDefault="00E27D7F" w:rsidP="00E27D7F">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E27D7F"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FE5333" w:rsidRDefault="00E27D7F" w:rsidP="000D0A9C">
            <w:pPr>
              <w:pStyle w:val="TableText"/>
            </w:pPr>
            <w:r>
              <w:t xml:space="preserve">From the </w:t>
            </w:r>
            <w:r w:rsidRPr="00E27D7F">
              <w:rPr>
                <w:b/>
              </w:rPr>
              <w:t>Daily Control screen</w:t>
            </w:r>
            <w:r>
              <w:t xml:space="preserve">, </w:t>
            </w:r>
            <w:r>
              <w:rPr>
                <w:b/>
              </w:rPr>
              <w:t xml:space="preserve">click </w:t>
            </w:r>
            <w:r>
              <w:t xml:space="preserve">on </w:t>
            </w:r>
            <w:r w:rsidRPr="00FE5333">
              <w:rPr>
                <w:noProof/>
              </w:rPr>
              <w:drawing>
                <wp:inline distT="0" distB="0" distL="0" distR="0">
                  <wp:extent cx="4095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to print </w:t>
            </w:r>
            <w:r w:rsidR="00147952">
              <w:t xml:space="preserve">daily </w:t>
            </w:r>
            <w:r>
              <w:t>quality control results.</w:t>
            </w:r>
          </w:p>
        </w:tc>
      </w:tr>
    </w:tbl>
    <w:p w:rsidR="00E27D7F" w:rsidRPr="00E27D7F" w:rsidRDefault="00E27D7F" w:rsidP="00E27D7F"/>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147952">
        <w:trPr>
          <w:cantSplit/>
        </w:trPr>
        <w:tc>
          <w:tcPr>
            <w:tcW w:w="1728" w:type="dxa"/>
          </w:tcPr>
          <w:p w:rsidR="004D66F0" w:rsidRDefault="004D66F0" w:rsidP="00803536">
            <w:pPr>
              <w:pStyle w:val="Heading5"/>
            </w:pPr>
          </w:p>
          <w:p w:rsidR="004D66F0" w:rsidRDefault="004D66F0" w:rsidP="00803536">
            <w:pPr>
              <w:pStyle w:val="Heading5"/>
            </w:pPr>
          </w:p>
          <w:p w:rsidR="005A6EE9" w:rsidRPr="005A6EE9" w:rsidRDefault="00147952" w:rsidP="00803536">
            <w:pPr>
              <w:pStyle w:val="Heading5"/>
            </w:pPr>
            <w:r>
              <w:t>Procedure</w:t>
            </w:r>
          </w:p>
        </w:tc>
        <w:tc>
          <w:tcPr>
            <w:tcW w:w="8010" w:type="dxa"/>
            <w:gridSpan w:val="4"/>
          </w:tcPr>
          <w:p w:rsidR="004D66F0" w:rsidRDefault="004D66F0" w:rsidP="004D66F0">
            <w:pPr>
              <w:pStyle w:val="ListParagraph"/>
              <w:autoSpaceDE w:val="0"/>
              <w:autoSpaceDN w:val="0"/>
              <w:adjustRightInd w:val="0"/>
              <w:ind w:left="2970"/>
            </w:pPr>
          </w:p>
          <w:p w:rsidR="004D66F0" w:rsidRDefault="004D66F0" w:rsidP="004D66F0">
            <w:pPr>
              <w:autoSpaceDE w:val="0"/>
              <w:autoSpaceDN w:val="0"/>
              <w:adjustRightInd w:val="0"/>
            </w:pPr>
          </w:p>
          <w:p w:rsidR="005A6EE9" w:rsidRDefault="00147952" w:rsidP="004D66F0">
            <w:pPr>
              <w:pStyle w:val="ListParagraph"/>
              <w:numPr>
                <w:ilvl w:val="3"/>
                <w:numId w:val="17"/>
              </w:numPr>
              <w:autoSpaceDE w:val="0"/>
              <w:autoSpaceDN w:val="0"/>
              <w:adjustRightInd w:val="0"/>
            </w:pPr>
            <w:r>
              <w:t>Follow the ste</w:t>
            </w:r>
            <w:r w:rsidR="00E53340">
              <w:t>ps below to run Fibrinogen</w:t>
            </w:r>
            <w:r>
              <w:t xml:space="preserve"> on patient samples</w:t>
            </w:r>
            <w:r w:rsidR="005308A9">
              <w:t>.</w:t>
            </w:r>
          </w:p>
          <w:p w:rsidR="00147952" w:rsidRPr="005A6EE9" w:rsidRDefault="00147952" w:rsidP="00147952">
            <w:pPr>
              <w:autoSpaceDE w:val="0"/>
              <w:autoSpaceDN w:val="0"/>
              <w:adjustRightInd w:val="0"/>
            </w:pP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HeaderText"/>
            </w:pPr>
            <w:r>
              <w:t>Step</w:t>
            </w:r>
          </w:p>
        </w:tc>
        <w:tc>
          <w:tcPr>
            <w:tcW w:w="6670" w:type="dxa"/>
            <w:tcBorders>
              <w:top w:val="single" w:sz="6" w:space="0" w:color="auto"/>
              <w:bottom w:val="single" w:sz="6" w:space="0" w:color="auto"/>
              <w:right w:val="single" w:sz="6" w:space="0" w:color="auto"/>
            </w:tcBorders>
          </w:tcPr>
          <w:p w:rsidR="00147952" w:rsidRDefault="00147952" w:rsidP="00F91C4E">
            <w:pPr>
              <w:pStyle w:val="TableHeaderText"/>
            </w:pPr>
            <w:r>
              <w:t>Action</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1</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tubes in rack</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2</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rack(s) on tray</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3</w:t>
            </w:r>
          </w:p>
        </w:tc>
        <w:tc>
          <w:tcPr>
            <w:tcW w:w="6670" w:type="dxa"/>
            <w:tcBorders>
              <w:top w:val="single" w:sz="6" w:space="0" w:color="auto"/>
              <w:bottom w:val="single" w:sz="6" w:space="0" w:color="auto"/>
              <w:right w:val="single" w:sz="6" w:space="0" w:color="auto"/>
            </w:tcBorders>
          </w:tcPr>
          <w:p w:rsidR="00147952" w:rsidRDefault="00147952" w:rsidP="005308A9">
            <w:pPr>
              <w:pStyle w:val="TableText"/>
            </w:pPr>
            <w:r>
              <w:t>Place tray on STA-R</w:t>
            </w:r>
            <w:r w:rsidR="005308A9">
              <w:t>. Tubes are automatically loaded, their barcoded labels are read, work lists are downloaded from the host computer or the predefined profile is applied according to the chosen option.  Tests are automatically carried out by the analyzer.</w:t>
            </w:r>
          </w:p>
        </w:tc>
      </w:tr>
      <w:tr w:rsidR="005308A9"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5308A9" w:rsidRDefault="00B413C2" w:rsidP="00F91C4E">
            <w:pPr>
              <w:pStyle w:val="TableText"/>
              <w:jc w:val="center"/>
            </w:pPr>
            <w:r>
              <w:t>5</w:t>
            </w:r>
          </w:p>
        </w:tc>
        <w:tc>
          <w:tcPr>
            <w:tcW w:w="6670" w:type="dxa"/>
            <w:tcBorders>
              <w:top w:val="single" w:sz="6" w:space="0" w:color="auto"/>
              <w:bottom w:val="single" w:sz="6" w:space="0" w:color="auto"/>
              <w:right w:val="single" w:sz="6" w:space="0" w:color="auto"/>
            </w:tcBorders>
          </w:tcPr>
          <w:p w:rsidR="00B413C2" w:rsidRDefault="00B413C2" w:rsidP="00B413C2">
            <w:pPr>
              <w:pStyle w:val="TableText"/>
            </w:pPr>
            <w:r>
              <w:rPr>
                <w:b/>
              </w:rPr>
              <w:t xml:space="preserve">Test Panel </w:t>
            </w:r>
          </w:p>
          <w:p w:rsidR="005308A9" w:rsidRDefault="00B413C2" w:rsidP="00B413C2">
            <w:pPr>
              <w:pStyle w:val="TableText"/>
            </w:pPr>
            <w:r>
              <w:t xml:space="preserve">Click on </w:t>
            </w:r>
            <w:r w:rsidRPr="00926C9E">
              <w:rPr>
                <w:noProof/>
              </w:rPr>
              <w:drawing>
                <wp:inline distT="0" distB="0" distL="0" distR="0" wp14:anchorId="2AE3C2A5" wp14:editId="7EAEFC65">
                  <wp:extent cx="6762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tc>
      </w:tr>
      <w:tr w:rsidR="00147952" w:rsidRPr="007C142F"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6</w:t>
            </w:r>
          </w:p>
        </w:tc>
        <w:tc>
          <w:tcPr>
            <w:tcW w:w="6670" w:type="dxa"/>
            <w:tcBorders>
              <w:top w:val="single" w:sz="6" w:space="0" w:color="auto"/>
              <w:bottom w:val="single" w:sz="6" w:space="0" w:color="auto"/>
              <w:right w:val="single" w:sz="6" w:space="0" w:color="auto"/>
            </w:tcBorders>
          </w:tcPr>
          <w:p w:rsidR="005308A9" w:rsidRDefault="005308A9" w:rsidP="005308A9">
            <w:pPr>
              <w:pStyle w:val="TableText"/>
            </w:pPr>
            <w:r>
              <w:t xml:space="preserve">If the instrument is unable to read the barcode, the automatic unloading of not read tubes is selected  </w:t>
            </w:r>
            <w:r w:rsidRPr="009A76B8">
              <w:rPr>
                <w:noProof/>
              </w:rPr>
              <w:drawing>
                <wp:inline distT="0" distB="0" distL="0" distR="0">
                  <wp:extent cx="409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t xml:space="preserve"> and all tubes which are not read are automatically unloaded.</w:t>
            </w:r>
          </w:p>
          <w:p w:rsidR="00147952" w:rsidRDefault="005308A9" w:rsidP="005308A9">
            <w:pPr>
              <w:pStyle w:val="TableText"/>
            </w:pPr>
            <w:r>
              <w:t xml:space="preserve">The </w:t>
            </w:r>
            <w:r>
              <w:rPr>
                <w:b/>
              </w:rPr>
              <w:t>Manual Input of Patient ID’s</w:t>
            </w:r>
            <w:r>
              <w:t xml:space="preserve"> window is displayed for re-identification.</w:t>
            </w:r>
          </w:p>
          <w:p w:rsidR="005308A9" w:rsidRPr="007C142F" w:rsidRDefault="005308A9" w:rsidP="005308A9">
            <w:pPr>
              <w:pStyle w:val="TableText"/>
              <w:rPr>
                <w:b/>
              </w:rPr>
            </w:pPr>
            <w:r w:rsidRPr="00141BBD">
              <w:rPr>
                <w:noProof/>
              </w:rPr>
              <w:drawing>
                <wp:inline distT="0" distB="0" distL="0" distR="0">
                  <wp:extent cx="242887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7</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Enter the sample ID</w:t>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lastRenderedPageBreak/>
              <w:t>8</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 xml:space="preserve">Click on </w:t>
            </w:r>
            <w:r w:rsidRPr="00141BBD">
              <w:rPr>
                <w:noProof/>
              </w:rPr>
              <w:drawing>
                <wp:inline distT="0" distB="0" distL="0" distR="0">
                  <wp:extent cx="44767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to load the rack</w:t>
            </w:r>
          </w:p>
        </w:tc>
      </w:tr>
      <w:tr w:rsidR="0060498B"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60498B" w:rsidRDefault="0060498B" w:rsidP="00F91C4E">
            <w:pPr>
              <w:pStyle w:val="TableText"/>
              <w:jc w:val="center"/>
            </w:pPr>
            <w:r>
              <w:t>9</w:t>
            </w:r>
          </w:p>
          <w:p w:rsidR="0060498B" w:rsidRDefault="0060498B" w:rsidP="00F91C4E">
            <w:pPr>
              <w:pStyle w:val="TableText"/>
              <w:jc w:val="center"/>
            </w:pPr>
          </w:p>
          <w:p w:rsidR="0060498B" w:rsidRDefault="0060498B" w:rsidP="0060498B">
            <w:pPr>
              <w:pStyle w:val="TableText"/>
            </w:pPr>
          </w:p>
        </w:tc>
        <w:tc>
          <w:tcPr>
            <w:tcW w:w="6670" w:type="dxa"/>
            <w:tcBorders>
              <w:top w:val="single" w:sz="6" w:space="0" w:color="auto"/>
              <w:bottom w:val="single" w:sz="6" w:space="0" w:color="auto"/>
              <w:right w:val="single" w:sz="6" w:space="0" w:color="auto"/>
            </w:tcBorders>
          </w:tcPr>
          <w:p w:rsidR="0060498B" w:rsidRPr="00A70F45" w:rsidRDefault="0060498B" w:rsidP="0060498B">
            <w:pPr>
              <w:pStyle w:val="TableText"/>
            </w:pPr>
            <w:r w:rsidRPr="0060498B">
              <w:rPr>
                <w:b/>
              </w:rPr>
              <w:t>Note:</w:t>
            </w:r>
            <w:r>
              <w:t xml:space="preserve">  The r</w:t>
            </w:r>
            <w:r w:rsidRPr="00A70F45">
              <w:t>esults &gt;Mmax and &lt;Mmin are prompted on raw data (sec) and FIB is reported in concentration (mg/dL or g/L). The Fibrinogen curve is an inverse curve, thus:</w:t>
            </w:r>
          </w:p>
          <w:p w:rsidR="0060498B" w:rsidRPr="00A70F45" w:rsidRDefault="0060498B" w:rsidP="0060498B">
            <w:pPr>
              <w:numPr>
                <w:ilvl w:val="0"/>
                <w:numId w:val="22"/>
              </w:numPr>
              <w:tabs>
                <w:tab w:val="num" w:pos="1138"/>
                <w:tab w:val="num" w:pos="1858"/>
              </w:tabs>
            </w:pPr>
            <w:r w:rsidRPr="00A70F45">
              <w:t>On the</w:t>
            </w:r>
            <w:r w:rsidRPr="00A70F45">
              <w:rPr>
                <w:szCs w:val="24"/>
              </w:rPr>
              <w:t xml:space="preserve"> STA-R Evolution</w:t>
            </w:r>
            <w:r w:rsidRPr="00A70F45">
              <w:rPr>
                <w:szCs w:val="24"/>
                <w:vertAlign w:val="superscript"/>
              </w:rPr>
              <w:t>®</w:t>
            </w:r>
            <w:r w:rsidRPr="00A70F45">
              <w:rPr>
                <w:szCs w:val="24"/>
              </w:rPr>
              <w:t xml:space="preserve"> </w:t>
            </w:r>
            <w:r w:rsidRPr="00A70F45">
              <w:t xml:space="preserve">a result of </w:t>
            </w:r>
            <w:r w:rsidRPr="00A70F45">
              <w:rPr>
                <w:b/>
                <w:sz w:val="28"/>
                <w:szCs w:val="28"/>
              </w:rPr>
              <w:t>&gt;</w:t>
            </w:r>
            <w:r w:rsidRPr="00A70F45">
              <w:rPr>
                <w:b/>
              </w:rPr>
              <w:t>Vmax</w:t>
            </w:r>
            <w:r w:rsidRPr="00A70F45">
              <w:t xml:space="preserve"> for fibrinogen means the fibrinogen value is </w:t>
            </w:r>
            <w:r w:rsidRPr="00A70F45">
              <w:rPr>
                <w:b/>
              </w:rPr>
              <w:t>extremely low</w:t>
            </w:r>
            <w:r w:rsidRPr="00A70F45">
              <w:t>.</w:t>
            </w:r>
          </w:p>
          <w:p w:rsidR="0060498B" w:rsidRPr="00A70F45" w:rsidRDefault="0060498B" w:rsidP="0060498B">
            <w:pPr>
              <w:numPr>
                <w:ilvl w:val="0"/>
                <w:numId w:val="22"/>
              </w:numPr>
              <w:tabs>
                <w:tab w:val="num" w:pos="1138"/>
                <w:tab w:val="num" w:pos="1858"/>
              </w:tabs>
              <w:rPr>
                <w:szCs w:val="24"/>
              </w:rPr>
            </w:pPr>
            <w:r w:rsidRPr="00A70F45">
              <w:t>On the</w:t>
            </w:r>
            <w:r w:rsidRPr="00A70F45">
              <w:rPr>
                <w:szCs w:val="24"/>
              </w:rPr>
              <w:t xml:space="preserve"> STA-R Evolution</w:t>
            </w:r>
            <w:r w:rsidRPr="00A70F45">
              <w:rPr>
                <w:szCs w:val="24"/>
                <w:vertAlign w:val="superscript"/>
              </w:rPr>
              <w:t>®</w:t>
            </w:r>
            <w:r w:rsidRPr="00A70F45">
              <w:rPr>
                <w:szCs w:val="24"/>
              </w:rPr>
              <w:t xml:space="preserve"> </w:t>
            </w:r>
            <w:r w:rsidRPr="00A70F45">
              <w:t xml:space="preserve">a result of </w:t>
            </w:r>
            <w:r w:rsidRPr="00A70F45">
              <w:rPr>
                <w:b/>
                <w:sz w:val="28"/>
                <w:szCs w:val="28"/>
              </w:rPr>
              <w:t>&lt;</w:t>
            </w:r>
            <w:r w:rsidRPr="00A70F45">
              <w:rPr>
                <w:b/>
              </w:rPr>
              <w:t>Vmin</w:t>
            </w:r>
            <w:r w:rsidRPr="00A70F45">
              <w:t xml:space="preserve"> for fibrinogen means the fibrinogen value is </w:t>
            </w:r>
            <w:r w:rsidRPr="00A70F45">
              <w:rPr>
                <w:b/>
              </w:rPr>
              <w:t>extremely high</w:t>
            </w:r>
            <w:r w:rsidRPr="00A70F45">
              <w:t>.</w:t>
            </w:r>
          </w:p>
          <w:p w:rsidR="0060498B" w:rsidRPr="00A70F45" w:rsidRDefault="0060498B" w:rsidP="0060498B">
            <w:pPr>
              <w:numPr>
                <w:ilvl w:val="0"/>
                <w:numId w:val="22"/>
              </w:numPr>
              <w:tabs>
                <w:tab w:val="num" w:pos="1138"/>
                <w:tab w:val="num" w:pos="1858"/>
              </w:tabs>
              <w:rPr>
                <w:b/>
              </w:rPr>
            </w:pPr>
            <w:r w:rsidRPr="00A70F45">
              <w:t xml:space="preserve">It is possible to have a </w:t>
            </w:r>
            <w:r w:rsidRPr="00A70F45">
              <w:rPr>
                <w:b/>
                <w:sz w:val="28"/>
                <w:szCs w:val="28"/>
              </w:rPr>
              <w:t>&gt;</w:t>
            </w:r>
            <w:r w:rsidRPr="00A70F45">
              <w:rPr>
                <w:b/>
              </w:rPr>
              <w:t>Vmax</w:t>
            </w:r>
            <w:r w:rsidRPr="00A70F45">
              <w:t xml:space="preserve"> or </w:t>
            </w:r>
            <w:r w:rsidRPr="00A70F45">
              <w:rPr>
                <w:b/>
                <w:sz w:val="28"/>
                <w:szCs w:val="28"/>
              </w:rPr>
              <w:t>&lt;</w:t>
            </w:r>
            <w:r w:rsidRPr="00A70F45">
              <w:rPr>
                <w:b/>
              </w:rPr>
              <w:t>Vmin</w:t>
            </w:r>
            <w:r w:rsidRPr="00A70F45">
              <w:t xml:space="preserve"> result </w:t>
            </w:r>
            <w:r w:rsidRPr="00A70F45">
              <w:rPr>
                <w:u w:val="single"/>
              </w:rPr>
              <w:t>after the instrument does the auto redilute.</w:t>
            </w:r>
          </w:p>
          <w:p w:rsidR="0060498B" w:rsidRDefault="0060498B" w:rsidP="00F91C4E">
            <w:pPr>
              <w:pStyle w:val="TableText"/>
            </w:pPr>
          </w:p>
        </w:tc>
      </w:tr>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gridSpan w:val="4"/>
          </w:tcPr>
          <w:p w:rsidR="004F16E7" w:rsidRDefault="004F16E7" w:rsidP="004F16E7">
            <w:pPr>
              <w:pStyle w:val="BlockLine"/>
              <w:ind w:left="0"/>
            </w:pPr>
          </w:p>
          <w:p w:rsidR="00E53340" w:rsidRDefault="00E53340" w:rsidP="00E53340">
            <w:pPr>
              <w:ind w:left="1440" w:hanging="1440"/>
              <w:rPr>
                <w:szCs w:val="24"/>
              </w:rPr>
            </w:pPr>
            <w:r w:rsidRPr="00E53340">
              <w:rPr>
                <w:szCs w:val="24"/>
              </w:rPr>
              <w:t xml:space="preserve">An increase of the fibrinogen level is observed in cases of diabetes, </w:t>
            </w:r>
          </w:p>
          <w:p w:rsidR="00E53340" w:rsidRDefault="00E53340" w:rsidP="00E53340">
            <w:pPr>
              <w:ind w:left="1440" w:hanging="1440"/>
              <w:rPr>
                <w:szCs w:val="24"/>
              </w:rPr>
            </w:pPr>
            <w:r w:rsidRPr="00E53340">
              <w:rPr>
                <w:szCs w:val="24"/>
              </w:rPr>
              <w:t xml:space="preserve">inflammatory syndromes and obesity.  A decrease of the fibrinogen level is </w:t>
            </w:r>
          </w:p>
          <w:p w:rsidR="00E53340" w:rsidRDefault="00E53340" w:rsidP="00E53340">
            <w:pPr>
              <w:ind w:left="1440" w:hanging="1440"/>
              <w:rPr>
                <w:szCs w:val="24"/>
              </w:rPr>
            </w:pPr>
            <w:r w:rsidRPr="00E53340">
              <w:rPr>
                <w:szCs w:val="24"/>
              </w:rPr>
              <w:t xml:space="preserve">observed in DIC, fibrinolysis, thrombolytic therapy and inherited disorders. </w:t>
            </w:r>
          </w:p>
          <w:p w:rsidR="00E53340" w:rsidRDefault="00E53340" w:rsidP="00E53340">
            <w:pPr>
              <w:ind w:left="1440" w:hanging="1440"/>
              <w:rPr>
                <w:szCs w:val="24"/>
              </w:rPr>
            </w:pPr>
            <w:r w:rsidRPr="00E53340">
              <w:rPr>
                <w:szCs w:val="24"/>
              </w:rPr>
              <w:t xml:space="preserve">Fibrinogen seems to be involved in the pathogenicity of thrombotic </w:t>
            </w:r>
          </w:p>
          <w:p w:rsidR="00E53340" w:rsidRPr="00E53340" w:rsidRDefault="00E53340" w:rsidP="00E53340">
            <w:pPr>
              <w:ind w:left="1440" w:hanging="1440"/>
              <w:rPr>
                <w:szCs w:val="24"/>
              </w:rPr>
            </w:pPr>
            <w:r w:rsidRPr="00E53340">
              <w:rPr>
                <w:szCs w:val="24"/>
              </w:rPr>
              <w:t>cardiovascular events.</w:t>
            </w:r>
          </w:p>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gridSpan w:val="4"/>
          </w:tcPr>
          <w:tbl>
            <w:tblPr>
              <w:tblStyle w:val="TableGrid"/>
              <w:tblW w:w="0" w:type="auto"/>
              <w:tblLayout w:type="fixed"/>
              <w:tblLook w:val="04A0" w:firstRow="1" w:lastRow="0" w:firstColumn="1" w:lastColumn="0" w:noHBand="0" w:noVBand="1"/>
            </w:tblPr>
            <w:tblGrid>
              <w:gridCol w:w="3889"/>
              <w:gridCol w:w="3890"/>
            </w:tblGrid>
            <w:tr w:rsidR="00EE16B0" w:rsidTr="00EE16B0">
              <w:tc>
                <w:tcPr>
                  <w:tcW w:w="3889" w:type="dxa"/>
                </w:tcPr>
                <w:p w:rsidR="00EE16B0" w:rsidRDefault="004C0112" w:rsidP="00803536">
                  <w:pPr>
                    <w:rPr>
                      <w:szCs w:val="24"/>
                    </w:rPr>
                  </w:pPr>
                  <w:r>
                    <w:rPr>
                      <w:szCs w:val="24"/>
                    </w:rPr>
                    <w:t>Fibrinogen</w:t>
                  </w:r>
                  <w:r w:rsidR="00EE16B0">
                    <w:rPr>
                      <w:szCs w:val="24"/>
                    </w:rPr>
                    <w:t xml:space="preserve"> Reference Range</w:t>
                  </w:r>
                </w:p>
              </w:tc>
              <w:tc>
                <w:tcPr>
                  <w:tcW w:w="3890" w:type="dxa"/>
                </w:tcPr>
                <w:p w:rsidR="00EE16B0" w:rsidRDefault="0060498B" w:rsidP="00803536">
                  <w:pPr>
                    <w:rPr>
                      <w:szCs w:val="24"/>
                    </w:rPr>
                  </w:pPr>
                  <w:r>
                    <w:rPr>
                      <w:szCs w:val="24"/>
                    </w:rPr>
                    <w:t>218-441 mg/dL</w:t>
                  </w:r>
                </w:p>
              </w:tc>
            </w:tr>
            <w:tr w:rsidR="00F06D93" w:rsidTr="00EE16B0">
              <w:tc>
                <w:tcPr>
                  <w:tcW w:w="3889" w:type="dxa"/>
                </w:tcPr>
                <w:p w:rsidR="00F06D93" w:rsidRDefault="004C0112" w:rsidP="00803536">
                  <w:pPr>
                    <w:rPr>
                      <w:szCs w:val="24"/>
                    </w:rPr>
                  </w:pPr>
                  <w:r>
                    <w:rPr>
                      <w:szCs w:val="24"/>
                    </w:rPr>
                    <w:t>Fibrinogen</w:t>
                  </w:r>
                  <w:r w:rsidR="00F06D93">
                    <w:rPr>
                      <w:szCs w:val="24"/>
                    </w:rPr>
                    <w:t xml:space="preserve"> Clinical Reportable Range</w:t>
                  </w:r>
                </w:p>
              </w:tc>
              <w:tc>
                <w:tcPr>
                  <w:tcW w:w="3890" w:type="dxa"/>
                </w:tcPr>
                <w:p w:rsidR="00F06D93" w:rsidRDefault="0060498B" w:rsidP="00803536">
                  <w:pPr>
                    <w:rPr>
                      <w:szCs w:val="24"/>
                    </w:rPr>
                  </w:pPr>
                  <w:r>
                    <w:rPr>
                      <w:szCs w:val="24"/>
                    </w:rPr>
                    <w:t>60-1800 mg/dL</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r>
              <w:t xml:space="preserve">Interpretation </w:t>
            </w:r>
            <w:r w:rsidR="00F06D93">
              <w:t xml:space="preserve"> Results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4C0112" w:rsidP="00803536">
                  <w:pPr>
                    <w:rPr>
                      <w:szCs w:val="24"/>
                    </w:rPr>
                  </w:pPr>
                  <w:r>
                    <w:rPr>
                      <w:szCs w:val="24"/>
                    </w:rPr>
                    <w:t>Fibrinogen</w:t>
                  </w:r>
                  <w:r w:rsidR="00F06D93">
                    <w:rPr>
                      <w:szCs w:val="24"/>
                    </w:rPr>
                    <w:t xml:space="preserve"> Critical Value</w:t>
                  </w:r>
                </w:p>
              </w:tc>
              <w:tc>
                <w:tcPr>
                  <w:tcW w:w="3890" w:type="dxa"/>
                </w:tcPr>
                <w:p w:rsidR="00F06D93" w:rsidRDefault="00814585" w:rsidP="00803536">
                  <w:pPr>
                    <w:rPr>
                      <w:szCs w:val="24"/>
                    </w:rPr>
                  </w:pPr>
                  <w:r>
                    <w:rPr>
                      <w:szCs w:val="24"/>
                    </w:rPr>
                    <w:t>&lt;</w:t>
                  </w:r>
                  <w:r w:rsidR="0060498B">
                    <w:rPr>
                      <w:szCs w:val="24"/>
                    </w:rPr>
                    <w:t>100 mg/dL</w:t>
                  </w:r>
                </w:p>
              </w:tc>
            </w:tr>
          </w:tbl>
          <w:p w:rsidR="005A6EE9" w:rsidRDefault="005A6EE9" w:rsidP="00803536">
            <w:pPr>
              <w:rPr>
                <w:szCs w:val="24"/>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Default="00A70F45" w:rsidP="00A70F45">
            <w:pPr>
              <w:rPr>
                <w:b/>
              </w:rPr>
            </w:pPr>
          </w:p>
          <w:p w:rsidR="00A70F45" w:rsidRPr="00A70F45" w:rsidRDefault="00A70F45" w:rsidP="00A70F45">
            <w:pPr>
              <w:rPr>
                <w:b/>
              </w:rPr>
            </w:pPr>
          </w:p>
          <w:p w:rsidR="004C0112" w:rsidRPr="00781F79" w:rsidRDefault="004C0112"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4C0112" w:rsidRPr="004C0112" w:rsidRDefault="004C0112" w:rsidP="004C0112">
            <w:pPr>
              <w:numPr>
                <w:ilvl w:val="0"/>
                <w:numId w:val="21"/>
              </w:numPr>
            </w:pPr>
            <w:r w:rsidRPr="004C0112">
              <w:t xml:space="preserve">In patients receiving drugs that affect the fibrinolytic system, the plasma levels of fibrinogen degradation products (FDP) may be extremely high.  FDPs may inhibit both thrombin action of fibrinogen and fibrin polymerization.  At normal fibrinogen concentrations, FDPs have a minimal effect on the fibrinogen assay.  At fibrinogen concentrations below 150 mg/dL, FDPs greater than 130 </w:t>
            </w:r>
            <w:r w:rsidRPr="004C0112">
              <w:sym w:font="Kino MT" w:char="00B5"/>
            </w:r>
            <w:r w:rsidRPr="004C0112">
              <w:t xml:space="preserve">g/mL increasingly inhibit the thrombin clotting rate assay.  High levels of paraproteins may interfere with the polymerization of fibrin monomers. </w:t>
            </w:r>
          </w:p>
          <w:p w:rsidR="004C0112" w:rsidRPr="004C0112" w:rsidRDefault="004C0112" w:rsidP="004C0112">
            <w:pPr>
              <w:numPr>
                <w:ilvl w:val="0"/>
                <w:numId w:val="21"/>
              </w:numPr>
            </w:pPr>
            <w:r w:rsidRPr="004C0112">
              <w:t xml:space="preserve">The clinical use of topical bovine thrombin has led to the generation of antibodies in some patients.  These antibodies may lead to artifactual prolongation of the thrombin clotting rate assay of fibrinogen.  </w:t>
            </w:r>
          </w:p>
          <w:p w:rsidR="004C0112" w:rsidRPr="004C0112" w:rsidRDefault="004C0112" w:rsidP="004C0112">
            <w:pPr>
              <w:numPr>
                <w:ilvl w:val="0"/>
                <w:numId w:val="21"/>
              </w:numPr>
            </w:pPr>
            <w:r w:rsidRPr="004C0112">
              <w:t>Heparin may interfere with this assay.  However, the STA</w:t>
            </w:r>
            <w:r w:rsidRPr="004C0112">
              <w:rPr>
                <w:vertAlign w:val="superscript"/>
              </w:rPr>
              <w:t>®</w:t>
            </w:r>
            <w:r w:rsidRPr="004C0112">
              <w:t xml:space="preserve"> - Fibrinogen reagent contains a specific inhibitor of heparin.  Any prolongation of the assay is therefore, related to a real coagulation factor deficiency of fibrinogen.</w:t>
            </w:r>
          </w:p>
          <w:p w:rsidR="005A6EE9" w:rsidRPr="0060498B" w:rsidRDefault="004C0112" w:rsidP="00803536">
            <w:pPr>
              <w:numPr>
                <w:ilvl w:val="0"/>
                <w:numId w:val="21"/>
              </w:numPr>
              <w:rPr>
                <w:szCs w:val="24"/>
              </w:rPr>
            </w:pPr>
            <w:r w:rsidRPr="004C0112">
              <w:t>The STA</w:t>
            </w:r>
            <w:r w:rsidRPr="004C0112">
              <w:rPr>
                <w:szCs w:val="24"/>
                <w:vertAlign w:val="superscript"/>
              </w:rPr>
              <w:t>®</w:t>
            </w:r>
            <w:r w:rsidRPr="004C0112">
              <w:t xml:space="preserve"> - Fibrinogen procedure is insensitive to the following substances:  fibrin degradation products (up to 130 µg/mL), hirudin (up to 3 µg/mL), and heparin (up to 2 IU/mL).</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09"/>
        <w:gridCol w:w="119"/>
        <w:gridCol w:w="3773"/>
        <w:gridCol w:w="3787"/>
        <w:gridCol w:w="335"/>
      </w:tblGrid>
      <w:tr w:rsidR="00781F79" w:rsidTr="00F06D93">
        <w:trPr>
          <w:cantSplit/>
          <w:trHeight w:val="972"/>
        </w:trPr>
        <w:tc>
          <w:tcPr>
            <w:tcW w:w="1709" w:type="dxa"/>
          </w:tcPr>
          <w:p w:rsidR="00781F79" w:rsidRDefault="00781F79" w:rsidP="0009129B">
            <w:pPr>
              <w:pStyle w:val="Heading5"/>
            </w:pPr>
            <w:r>
              <w:t>Controlled Documents</w:t>
            </w:r>
          </w:p>
        </w:tc>
        <w:tc>
          <w:tcPr>
            <w:tcW w:w="8014" w:type="dxa"/>
            <w:gridSpan w:val="4"/>
          </w:tcPr>
          <w:p w:rsidR="00F06DB2" w:rsidRDefault="00F06D93" w:rsidP="0060498B">
            <w:pPr>
              <w:pStyle w:val="BlockText"/>
              <w:jc w:val="left"/>
            </w:pPr>
            <w:r>
              <w:t xml:space="preserve">The following </w:t>
            </w:r>
            <w:r w:rsidR="00781F79">
              <w:t>non-controlled documents support this p</w:t>
            </w:r>
            <w:r w:rsidR="00D20336">
              <w:t>rocedure</w:t>
            </w:r>
            <w:r w:rsidR="00781F79">
              <w:t>.</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LPhM 200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LSPM 203</w:t>
            </w:r>
          </w:p>
        </w:tc>
        <w:tc>
          <w:tcPr>
            <w:tcW w:w="3787" w:type="dxa"/>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3787" w:type="dxa"/>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E647D5" w:rsidP="0009129B">
            <w:pPr>
              <w:pStyle w:val="Heading5"/>
            </w:pPr>
            <w:r>
              <w:t>Non-</w:t>
            </w:r>
            <w:bookmarkStart w:id="0" w:name="_GoBack"/>
            <w:bookmarkEnd w:id="0"/>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Pr="008E5F27" w:rsidRDefault="00F06D93" w:rsidP="00F91C4E">
            <w:pPr>
              <w:pStyle w:val="TableText"/>
            </w:pPr>
            <w:r>
              <w:t>STA-</w:t>
            </w:r>
            <w:r>
              <w:rPr>
                <w:i/>
              </w:rPr>
              <w:t xml:space="preserve">R </w:t>
            </w:r>
            <w:r>
              <w:t>Evolution Reference Manual</w:t>
            </w:r>
          </w:p>
        </w:tc>
      </w:tr>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20"/>
      <w:headerReference w:type="default" r:id="rId21"/>
      <w:footerReference w:type="even" r:id="rId22"/>
      <w:footerReference w:type="default" r:id="rId23"/>
      <w:headerReference w:type="first" r:id="rId24"/>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E647D5">
      <w:rPr>
        <w:rStyle w:val="PageNumber"/>
        <w:rFonts w:ascii="Arial" w:hAnsi="Arial" w:cs="Arial"/>
        <w:noProof/>
        <w:sz w:val="20"/>
      </w:rPr>
      <w:t>8</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E647D5">
      <w:rPr>
        <w:rStyle w:val="PageNumber"/>
        <w:rFonts w:ascii="Arial" w:hAnsi="Arial" w:cs="Arial"/>
        <w:noProof/>
        <w:sz w:val="20"/>
      </w:rPr>
      <w:t>10</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C1738D" w:rsidRPr="00FE18DC" w:rsidRDefault="00414108" w:rsidP="00C1738D">
    <w:pPr>
      <w:rPr>
        <w:rFonts w:ascii="Arial" w:hAnsi="Arial" w:cs="Arial"/>
        <w:sz w:val="32"/>
      </w:rPr>
    </w:pPr>
    <w:r>
      <w:rPr>
        <w:rFonts w:ascii="Arial" w:hAnsi="Arial" w:cs="Arial"/>
        <w:sz w:val="32"/>
      </w:rPr>
      <w:t>FIBRINOGEN</w:t>
    </w:r>
    <w:r w:rsidR="00354C6C">
      <w:rPr>
        <w:rFonts w:ascii="Arial" w:hAnsi="Arial" w:cs="Arial"/>
        <w:sz w:val="32"/>
      </w:rPr>
      <w:t xml:space="preserve"> </w:t>
    </w:r>
    <w:r w:rsidR="00C1738D" w:rsidRPr="00FE18DC">
      <w:rPr>
        <w:rFonts w:ascii="Arial" w:hAnsi="Arial" w:cs="Arial"/>
        <w:sz w:val="32"/>
      </w:rPr>
      <w:t>DETERMINATION ON THE</w:t>
    </w:r>
  </w:p>
  <w:p w:rsidR="00B9218C" w:rsidRPr="00FE18DC" w:rsidRDefault="00C1738D" w:rsidP="00B9218C">
    <w:pPr>
      <w:pStyle w:val="Heading4"/>
      <w:rPr>
        <w:b w:val="0"/>
      </w:rPr>
    </w:pPr>
    <w:r w:rsidRPr="00FE18DC">
      <w:rPr>
        <w:b w:val="0"/>
      </w:rPr>
      <w:t>STAGO STA®-</w:t>
    </w:r>
    <w:r w:rsidRPr="00FE18DC">
      <w:rPr>
        <w:b w:val="0"/>
        <w:i/>
      </w:rPr>
      <w:t>R</w:t>
    </w:r>
    <w:r w:rsidRPr="00FE18DC">
      <w:rPr>
        <w:b w:val="0"/>
      </w:rPr>
      <w:t xml:space="preserve"> EVOLUTION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414108" w:rsidRDefault="00414108" w:rsidP="00414108">
    <w:pPr>
      <w:rPr>
        <w:rFonts w:ascii="Arial" w:hAnsi="Arial" w:cs="Arial"/>
        <w:sz w:val="32"/>
      </w:rPr>
    </w:pPr>
    <w:proofErr w:type="gramStart"/>
    <w:r>
      <w:rPr>
        <w:rFonts w:ascii="Arial" w:hAnsi="Arial" w:cs="Arial"/>
        <w:sz w:val="32"/>
      </w:rPr>
      <w:t>FIBRINOGEN</w:t>
    </w:r>
    <w:r w:rsidR="002968EE" w:rsidRPr="00FE18DC">
      <w:rPr>
        <w:rFonts w:ascii="Arial" w:hAnsi="Arial" w:cs="Arial"/>
        <w:sz w:val="32"/>
      </w:rPr>
      <w:t xml:space="preserve">  DETERMINATION</w:t>
    </w:r>
    <w:proofErr w:type="gramEnd"/>
    <w:r w:rsidR="002968EE" w:rsidRPr="00FE18DC">
      <w:rPr>
        <w:rFonts w:ascii="Arial" w:hAnsi="Arial" w:cs="Arial"/>
        <w:sz w:val="32"/>
      </w:rPr>
      <w:t xml:space="preserve"> ON THE</w:t>
    </w:r>
    <w:r>
      <w:rPr>
        <w:rFonts w:ascii="Arial" w:hAnsi="Arial" w:cs="Arial"/>
        <w:sz w:val="32"/>
      </w:rPr>
      <w:t xml:space="preserve"> </w:t>
    </w:r>
  </w:p>
  <w:p w:rsidR="003805DB" w:rsidRPr="00414108" w:rsidRDefault="002968EE" w:rsidP="00414108">
    <w:pPr>
      <w:rPr>
        <w:rFonts w:ascii="Arial" w:hAnsi="Arial" w:cs="Arial"/>
        <w:sz w:val="32"/>
      </w:rPr>
    </w:pPr>
    <w:r w:rsidRPr="00414108">
      <w:rPr>
        <w:rFonts w:ascii="Arial" w:hAnsi="Arial" w:cs="Arial"/>
        <w:sz w:val="32"/>
        <w:szCs w:val="32"/>
      </w:rPr>
      <w:t>STAGO STA®-</w:t>
    </w:r>
    <w:r w:rsidRPr="00414108">
      <w:rPr>
        <w:rFonts w:ascii="Arial" w:hAnsi="Arial" w:cs="Arial"/>
        <w:i/>
        <w:sz w:val="32"/>
        <w:szCs w:val="32"/>
      </w:rPr>
      <w:t>R</w:t>
    </w:r>
    <w:r w:rsidRPr="00414108">
      <w:rPr>
        <w:rFonts w:ascii="Arial" w:hAnsi="Arial" w:cs="Arial"/>
        <w:sz w:val="32"/>
        <w:szCs w:val="32"/>
      </w:rPr>
      <w:t xml:space="preserve"> EVOLUTION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D1D6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44691"/>
    <w:multiLevelType w:val="hybridMultilevel"/>
    <w:tmpl w:val="0B52B8E0"/>
    <w:lvl w:ilvl="0" w:tplc="04090001">
      <w:start w:val="1"/>
      <w:numFmt w:val="bullet"/>
      <w:lvlText w:val=""/>
      <w:lvlJc w:val="left"/>
      <w:pPr>
        <w:tabs>
          <w:tab w:val="num" w:pos="3030"/>
        </w:tabs>
        <w:ind w:left="3030" w:hanging="420"/>
      </w:pPr>
      <w:rPr>
        <w:rFonts w:ascii="Symbol" w:hAnsi="Symbol" w:hint="default"/>
      </w:rPr>
    </w:lvl>
    <w:lvl w:ilvl="1" w:tplc="75CA545C">
      <w:start w:val="1"/>
      <w:numFmt w:val="bullet"/>
      <w:lvlText w:val=""/>
      <w:lvlJc w:val="left"/>
      <w:pPr>
        <w:tabs>
          <w:tab w:val="num" w:pos="3690"/>
        </w:tabs>
        <w:ind w:left="3690" w:hanging="360"/>
      </w:pPr>
      <w:rPr>
        <w:rFonts w:ascii="Symbol" w:hAnsi="Symbol" w:hint="default"/>
        <w:sz w:val="24"/>
      </w:rPr>
    </w:lvl>
    <w:lvl w:ilvl="2" w:tplc="0409001B">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058085D"/>
    <w:multiLevelType w:val="hybridMultilevel"/>
    <w:tmpl w:val="6E6A5ED2"/>
    <w:lvl w:ilvl="0" w:tplc="04090001">
      <w:start w:val="1"/>
      <w:numFmt w:val="bullet"/>
      <w:lvlText w:val=""/>
      <w:lvlJc w:val="left"/>
      <w:pPr>
        <w:tabs>
          <w:tab w:val="num" w:pos="1318"/>
        </w:tabs>
        <w:ind w:left="1318" w:hanging="418"/>
      </w:pPr>
      <w:rPr>
        <w:rFonts w:ascii="Symbol" w:hAnsi="Symbol"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25E37E0"/>
    <w:multiLevelType w:val="hybridMultilevel"/>
    <w:tmpl w:val="CF22D7B6"/>
    <w:lvl w:ilvl="0" w:tplc="04090001">
      <w:start w:val="1"/>
      <w:numFmt w:val="bullet"/>
      <w:lvlText w:val=""/>
      <w:lvlJc w:val="left"/>
      <w:pPr>
        <w:tabs>
          <w:tab w:val="num" w:pos="1138"/>
        </w:tabs>
        <w:ind w:left="1138" w:hanging="418"/>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A1D0885"/>
    <w:multiLevelType w:val="hybridMultilevel"/>
    <w:tmpl w:val="41C696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3"/>
  </w:num>
  <w:num w:numId="3">
    <w:abstractNumId w:val="16"/>
  </w:num>
  <w:num w:numId="4">
    <w:abstractNumId w:val="7"/>
  </w:num>
  <w:num w:numId="5">
    <w:abstractNumId w:val="4"/>
  </w:num>
  <w:num w:numId="6">
    <w:abstractNumId w:val="1"/>
  </w:num>
  <w:num w:numId="7">
    <w:abstractNumId w:val="20"/>
  </w:num>
  <w:num w:numId="8">
    <w:abstractNumId w:val="11"/>
  </w:num>
  <w:num w:numId="9">
    <w:abstractNumId w:val="12"/>
  </w:num>
  <w:num w:numId="10">
    <w:abstractNumId w:val="19"/>
  </w:num>
  <w:num w:numId="11">
    <w:abstractNumId w:val="2"/>
  </w:num>
  <w:num w:numId="12">
    <w:abstractNumId w:val="17"/>
  </w:num>
  <w:num w:numId="13">
    <w:abstractNumId w:val="5"/>
  </w:num>
  <w:num w:numId="14">
    <w:abstractNumId w:val="14"/>
  </w:num>
  <w:num w:numId="15">
    <w:abstractNumId w:val="10"/>
  </w:num>
  <w:num w:numId="16">
    <w:abstractNumId w:val="0"/>
  </w:num>
  <w:num w:numId="17">
    <w:abstractNumId w:val="15"/>
  </w:num>
  <w:num w:numId="18">
    <w:abstractNumId w:val="13"/>
  </w:num>
  <w:num w:numId="19">
    <w:abstractNumId w:val="21"/>
  </w:num>
  <w:num w:numId="20">
    <w:abstractNumId w:val="6"/>
  </w:num>
  <w:num w:numId="21">
    <w:abstractNumId w:val="9"/>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23BF"/>
    <w:rsid w:val="000174C7"/>
    <w:rsid w:val="00027A48"/>
    <w:rsid w:val="00036CF5"/>
    <w:rsid w:val="00056877"/>
    <w:rsid w:val="000728C4"/>
    <w:rsid w:val="0009129B"/>
    <w:rsid w:val="000953A5"/>
    <w:rsid w:val="000C3FDD"/>
    <w:rsid w:val="000D0F87"/>
    <w:rsid w:val="000E02B8"/>
    <w:rsid w:val="000E3F47"/>
    <w:rsid w:val="000F3098"/>
    <w:rsid w:val="00101B9E"/>
    <w:rsid w:val="00103AE5"/>
    <w:rsid w:val="0010773B"/>
    <w:rsid w:val="0010795C"/>
    <w:rsid w:val="0012257B"/>
    <w:rsid w:val="00130C26"/>
    <w:rsid w:val="00130D9F"/>
    <w:rsid w:val="00133FA5"/>
    <w:rsid w:val="00134C53"/>
    <w:rsid w:val="00137FEF"/>
    <w:rsid w:val="001406A5"/>
    <w:rsid w:val="00147952"/>
    <w:rsid w:val="0017610A"/>
    <w:rsid w:val="00192DE5"/>
    <w:rsid w:val="001972E2"/>
    <w:rsid w:val="001A14EE"/>
    <w:rsid w:val="00207CFE"/>
    <w:rsid w:val="00211546"/>
    <w:rsid w:val="00222FE8"/>
    <w:rsid w:val="00232E81"/>
    <w:rsid w:val="002363E4"/>
    <w:rsid w:val="00270793"/>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D2A63"/>
    <w:rsid w:val="003E40F0"/>
    <w:rsid w:val="003F0A0D"/>
    <w:rsid w:val="004049B8"/>
    <w:rsid w:val="00414108"/>
    <w:rsid w:val="004160B3"/>
    <w:rsid w:val="00433D1F"/>
    <w:rsid w:val="00440B6B"/>
    <w:rsid w:val="00452AA8"/>
    <w:rsid w:val="00454667"/>
    <w:rsid w:val="00471432"/>
    <w:rsid w:val="00475EAC"/>
    <w:rsid w:val="004802BC"/>
    <w:rsid w:val="00480580"/>
    <w:rsid w:val="00482A53"/>
    <w:rsid w:val="0048686C"/>
    <w:rsid w:val="004965AA"/>
    <w:rsid w:val="004B2090"/>
    <w:rsid w:val="004B4377"/>
    <w:rsid w:val="004C0112"/>
    <w:rsid w:val="004C1667"/>
    <w:rsid w:val="004C1AD2"/>
    <w:rsid w:val="004C1B71"/>
    <w:rsid w:val="004C4D75"/>
    <w:rsid w:val="004D66F0"/>
    <w:rsid w:val="004F16E7"/>
    <w:rsid w:val="0050196E"/>
    <w:rsid w:val="00504B96"/>
    <w:rsid w:val="0050518A"/>
    <w:rsid w:val="005133FE"/>
    <w:rsid w:val="00515E0C"/>
    <w:rsid w:val="005308A9"/>
    <w:rsid w:val="00544E86"/>
    <w:rsid w:val="005A4D02"/>
    <w:rsid w:val="005A6643"/>
    <w:rsid w:val="005A6EE9"/>
    <w:rsid w:val="005B1E7F"/>
    <w:rsid w:val="005B6639"/>
    <w:rsid w:val="005D53C9"/>
    <w:rsid w:val="005D61A4"/>
    <w:rsid w:val="005F2ABD"/>
    <w:rsid w:val="005F3E96"/>
    <w:rsid w:val="0060498B"/>
    <w:rsid w:val="0061079E"/>
    <w:rsid w:val="00620A2D"/>
    <w:rsid w:val="00633012"/>
    <w:rsid w:val="00677481"/>
    <w:rsid w:val="006A107B"/>
    <w:rsid w:val="006A72CD"/>
    <w:rsid w:val="006D60D0"/>
    <w:rsid w:val="006E67E1"/>
    <w:rsid w:val="00700D63"/>
    <w:rsid w:val="00706B6E"/>
    <w:rsid w:val="00707762"/>
    <w:rsid w:val="00707CAE"/>
    <w:rsid w:val="00725245"/>
    <w:rsid w:val="0072737B"/>
    <w:rsid w:val="0075494B"/>
    <w:rsid w:val="00760854"/>
    <w:rsid w:val="00763747"/>
    <w:rsid w:val="00774558"/>
    <w:rsid w:val="00781F79"/>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7F7CD2"/>
    <w:rsid w:val="00801686"/>
    <w:rsid w:val="00803536"/>
    <w:rsid w:val="00814585"/>
    <w:rsid w:val="00814596"/>
    <w:rsid w:val="00821E6D"/>
    <w:rsid w:val="008415B6"/>
    <w:rsid w:val="008432AD"/>
    <w:rsid w:val="008641D7"/>
    <w:rsid w:val="00873093"/>
    <w:rsid w:val="0088237F"/>
    <w:rsid w:val="00883D0A"/>
    <w:rsid w:val="0088433C"/>
    <w:rsid w:val="00885E0C"/>
    <w:rsid w:val="008B5339"/>
    <w:rsid w:val="008C29BB"/>
    <w:rsid w:val="008C45FE"/>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60B08"/>
    <w:rsid w:val="00A6192E"/>
    <w:rsid w:val="00A66379"/>
    <w:rsid w:val="00A70F45"/>
    <w:rsid w:val="00A8143D"/>
    <w:rsid w:val="00A9432D"/>
    <w:rsid w:val="00AB4889"/>
    <w:rsid w:val="00AC231D"/>
    <w:rsid w:val="00AD1CD4"/>
    <w:rsid w:val="00AD6204"/>
    <w:rsid w:val="00AE303D"/>
    <w:rsid w:val="00AF10E7"/>
    <w:rsid w:val="00B03F26"/>
    <w:rsid w:val="00B045E7"/>
    <w:rsid w:val="00B14A3D"/>
    <w:rsid w:val="00B1537F"/>
    <w:rsid w:val="00B15A21"/>
    <w:rsid w:val="00B16284"/>
    <w:rsid w:val="00B413C2"/>
    <w:rsid w:val="00B50BFF"/>
    <w:rsid w:val="00B559BC"/>
    <w:rsid w:val="00B57DAA"/>
    <w:rsid w:val="00B71F0C"/>
    <w:rsid w:val="00B768CE"/>
    <w:rsid w:val="00B83E97"/>
    <w:rsid w:val="00B9218C"/>
    <w:rsid w:val="00B965B8"/>
    <w:rsid w:val="00BA7F6C"/>
    <w:rsid w:val="00BB0F09"/>
    <w:rsid w:val="00BB1DD4"/>
    <w:rsid w:val="00BD2A18"/>
    <w:rsid w:val="00BE0457"/>
    <w:rsid w:val="00BE199C"/>
    <w:rsid w:val="00BE1ADD"/>
    <w:rsid w:val="00BF0DF7"/>
    <w:rsid w:val="00BF7178"/>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95B79"/>
    <w:rsid w:val="00CA0A63"/>
    <w:rsid w:val="00CA67B8"/>
    <w:rsid w:val="00CA7A8E"/>
    <w:rsid w:val="00CC02CC"/>
    <w:rsid w:val="00CC0ED8"/>
    <w:rsid w:val="00CC6651"/>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4AFA"/>
    <w:rsid w:val="00D6360E"/>
    <w:rsid w:val="00D64FEA"/>
    <w:rsid w:val="00D8329C"/>
    <w:rsid w:val="00DA1F32"/>
    <w:rsid w:val="00DB4B03"/>
    <w:rsid w:val="00DC3744"/>
    <w:rsid w:val="00DD53EF"/>
    <w:rsid w:val="00DE223A"/>
    <w:rsid w:val="00E27D7F"/>
    <w:rsid w:val="00E301AE"/>
    <w:rsid w:val="00E42FE4"/>
    <w:rsid w:val="00E50BBB"/>
    <w:rsid w:val="00E51458"/>
    <w:rsid w:val="00E53340"/>
    <w:rsid w:val="00E5453D"/>
    <w:rsid w:val="00E61CD5"/>
    <w:rsid w:val="00E647D5"/>
    <w:rsid w:val="00E733D6"/>
    <w:rsid w:val="00E75365"/>
    <w:rsid w:val="00EB027B"/>
    <w:rsid w:val="00EB50D8"/>
    <w:rsid w:val="00EC0EFC"/>
    <w:rsid w:val="00EC7C99"/>
    <w:rsid w:val="00EE0F07"/>
    <w:rsid w:val="00EE16B0"/>
    <w:rsid w:val="00EE396F"/>
    <w:rsid w:val="00EE3CFA"/>
    <w:rsid w:val="00EE6D86"/>
    <w:rsid w:val="00EE6DD2"/>
    <w:rsid w:val="00EF2A00"/>
    <w:rsid w:val="00F06D93"/>
    <w:rsid w:val="00F06DB2"/>
    <w:rsid w:val="00F342AB"/>
    <w:rsid w:val="00F36A3F"/>
    <w:rsid w:val="00F47F67"/>
    <w:rsid w:val="00F56C49"/>
    <w:rsid w:val="00F56EFF"/>
    <w:rsid w:val="00F70888"/>
    <w:rsid w:val="00F73178"/>
    <w:rsid w:val="00F80BE8"/>
    <w:rsid w:val="00F81614"/>
    <w:rsid w:val="00F94602"/>
    <w:rsid w:val="00FA472E"/>
    <w:rsid w:val="00FB1920"/>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254</TotalTime>
  <Pages>10</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58</cp:revision>
  <cp:lastPrinted>2011-03-21T23:09:00Z</cp:lastPrinted>
  <dcterms:created xsi:type="dcterms:W3CDTF">2016-07-13T15:12:00Z</dcterms:created>
  <dcterms:modified xsi:type="dcterms:W3CDTF">2016-11-02T23:03:00Z</dcterms:modified>
</cp:coreProperties>
</file>