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:rsidTr="000C4B97">
        <w:trPr>
          <w:cantSplit/>
          <w:trHeight w:val="649"/>
        </w:trPr>
        <w:tc>
          <w:tcPr>
            <w:tcW w:w="1728" w:type="dxa"/>
          </w:tcPr>
          <w:p w:rsidR="006A107B" w:rsidRDefault="006A107B" w:rsidP="006A107B">
            <w:pPr>
              <w:pStyle w:val="Heading5"/>
            </w:pPr>
            <w:r>
              <w:t xml:space="preserve">Purpose </w:t>
            </w:r>
          </w:p>
          <w:p w:rsidR="00EB027B" w:rsidRDefault="00EB027B">
            <w:pPr>
              <w:pStyle w:val="Heading5"/>
            </w:pPr>
          </w:p>
          <w:p w:rsidR="00D0664E" w:rsidRPr="00EC7C99" w:rsidRDefault="00D0664E">
            <w:pPr>
              <w:pStyle w:val="Heading5"/>
              <w:rPr>
                <w:szCs w:val="22"/>
              </w:rPr>
            </w:pPr>
          </w:p>
        </w:tc>
        <w:tc>
          <w:tcPr>
            <w:tcW w:w="8010" w:type="dxa"/>
          </w:tcPr>
          <w:p w:rsidR="002A79D0" w:rsidRDefault="000C4B97" w:rsidP="002A79D0">
            <w:pPr>
              <w:rPr>
                <w:szCs w:val="24"/>
              </w:rPr>
            </w:pPr>
            <w:r>
              <w:rPr>
                <w:szCs w:val="24"/>
              </w:rPr>
              <w:t>To provide instructions for the proper handling and labeling of semen specimens submitted for intrauterine inseminations.</w:t>
            </w:r>
          </w:p>
          <w:p w:rsidR="000C4B97" w:rsidRPr="00AB4147" w:rsidRDefault="000C4B97" w:rsidP="002A79D0">
            <w:pPr>
              <w:rPr>
                <w:szCs w:val="24"/>
              </w:rPr>
            </w:pPr>
          </w:p>
        </w:tc>
      </w:tr>
    </w:tbl>
    <w:p w:rsidR="00D0664E" w:rsidRDefault="00D0664E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Tr="000C4B97">
        <w:trPr>
          <w:cantSplit/>
        </w:trPr>
        <w:tc>
          <w:tcPr>
            <w:tcW w:w="1728" w:type="dxa"/>
          </w:tcPr>
          <w:p w:rsidR="00A3670D" w:rsidRDefault="00A3670D" w:rsidP="0009129B">
            <w:pPr>
              <w:pStyle w:val="Heading5"/>
            </w:pPr>
            <w:r>
              <w:t>Policy</w:t>
            </w:r>
          </w:p>
        </w:tc>
        <w:tc>
          <w:tcPr>
            <w:tcW w:w="8010" w:type="dxa"/>
          </w:tcPr>
          <w:p w:rsidR="000C4B97" w:rsidRDefault="000C4B97" w:rsidP="000C4B97">
            <w:pPr>
              <w:pStyle w:val="BlockLine"/>
              <w:ind w:left="0"/>
            </w:pPr>
            <w:r>
              <w:t>All semen samples submitted for intrauterine inseminations (IUI) are handled and labeled according to semen sample handling procedure every time.</w:t>
            </w:r>
          </w:p>
          <w:p w:rsidR="00B60062" w:rsidRPr="00781F79" w:rsidRDefault="00B60062" w:rsidP="0009129B">
            <w:pPr>
              <w:rPr>
                <w:szCs w:val="24"/>
              </w:rPr>
            </w:pPr>
          </w:p>
        </w:tc>
      </w:tr>
    </w:tbl>
    <w:p w:rsidR="006A107B" w:rsidRDefault="006A107B" w:rsidP="006A107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9"/>
        <w:gridCol w:w="8014"/>
      </w:tblGrid>
      <w:tr w:rsidR="00B60062" w:rsidTr="001372D7">
        <w:trPr>
          <w:cantSplit/>
          <w:trHeight w:val="972"/>
        </w:trPr>
        <w:tc>
          <w:tcPr>
            <w:tcW w:w="170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8010"/>
            </w:tblGrid>
            <w:tr w:rsidR="00B60062" w:rsidRPr="00781F79" w:rsidTr="001372D7">
              <w:trPr>
                <w:cantSplit/>
              </w:trPr>
              <w:tc>
                <w:tcPr>
                  <w:tcW w:w="1728" w:type="dxa"/>
                </w:tcPr>
                <w:p w:rsidR="00B60062" w:rsidRPr="006A107B" w:rsidRDefault="00B60062" w:rsidP="001372D7">
                  <w:pPr>
                    <w:pStyle w:val="Heading5"/>
                  </w:pPr>
                  <w:r>
                    <w:t>Safety or Special Safety Precautions</w:t>
                  </w:r>
                </w:p>
              </w:tc>
              <w:tc>
                <w:tcPr>
                  <w:tcW w:w="8010" w:type="dxa"/>
                </w:tcPr>
                <w:p w:rsidR="00B60062" w:rsidRDefault="00B60062" w:rsidP="001372D7">
                  <w:pPr>
                    <w:rPr>
                      <w:szCs w:val="24"/>
                    </w:rPr>
                  </w:pPr>
                </w:p>
                <w:p w:rsidR="00B60062" w:rsidRPr="00781F79" w:rsidRDefault="00B60062" w:rsidP="001372D7">
                  <w:pPr>
                    <w:rPr>
                      <w:szCs w:val="24"/>
                    </w:rPr>
                  </w:pPr>
                  <w:r>
                    <w:rPr>
                      <w:b/>
                      <w:i/>
                      <w:color w:val="FF0000"/>
                    </w:rPr>
                    <w:t>Refer to the safety manual for general safety requirements.</w:t>
                  </w:r>
                </w:p>
              </w:tc>
            </w:tr>
          </w:tbl>
          <w:p w:rsidR="00B60062" w:rsidRDefault="00B60062" w:rsidP="001372D7">
            <w:pPr>
              <w:pStyle w:val="Heading5"/>
            </w:pPr>
          </w:p>
        </w:tc>
        <w:tc>
          <w:tcPr>
            <w:tcW w:w="8014" w:type="dxa"/>
          </w:tcPr>
          <w:p w:rsidR="00B60062" w:rsidRDefault="00B60062" w:rsidP="00D531D1">
            <w:pPr>
              <w:pStyle w:val="BlockText"/>
              <w:tabs>
                <w:tab w:val="left" w:pos="162"/>
              </w:tabs>
              <w:jc w:val="both"/>
            </w:pPr>
            <w: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standard precautions and safety practices in the laboratory;  see </w:t>
            </w:r>
            <w:r w:rsidR="00D531D1" w:rsidRPr="00D531D1">
              <w:rPr>
                <w:b/>
              </w:rPr>
              <w:t>Safety Practices</w:t>
            </w:r>
            <w:r w:rsidR="00D531D1">
              <w:t xml:space="preserve">, </w:t>
            </w:r>
            <w:r>
              <w:t>specifically, but not limited to</w:t>
            </w:r>
            <w:r w:rsidR="00D531D1">
              <w:t xml:space="preserve">, equipment safety, proper body </w:t>
            </w:r>
            <w:r>
              <w:t>mechanics, sharps exposure and proper use of personal protective equipment (PPE).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Universal Body Substance precautions, see </w:t>
            </w:r>
            <w:r w:rsidR="00D531D1" w:rsidRPr="00D531D1">
              <w:rPr>
                <w:b/>
              </w:rPr>
              <w:t>Universal Body Substance Precautions</w:t>
            </w:r>
            <w:r>
              <w:t>, specifically, but not limited to, exposure to body fluids.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hand-washing, see </w:t>
            </w:r>
            <w:r w:rsidR="00D531D1" w:rsidRPr="00D531D1">
              <w:rPr>
                <w:b/>
              </w:rPr>
              <w:t>Hand</w:t>
            </w:r>
            <w:r w:rsidR="00D531D1">
              <w:rPr>
                <w:b/>
              </w:rPr>
              <w:t xml:space="preserve"> </w:t>
            </w:r>
            <w:r w:rsidR="00D531D1" w:rsidRPr="00D531D1">
              <w:rPr>
                <w:b/>
              </w:rPr>
              <w:t>washing Policy</w:t>
            </w:r>
            <w:r>
              <w:t>, specifically, not limited to, proper hand-washing.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infection control, see </w:t>
            </w:r>
            <w:r w:rsidR="00D531D1" w:rsidRPr="00D531D1">
              <w:rPr>
                <w:b/>
              </w:rPr>
              <w:t>Infection Control</w:t>
            </w:r>
            <w:r>
              <w:t>, specifically, but not limited to, proper use of gloves.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handling of regular and infectious waste, see </w:t>
            </w:r>
            <w:r w:rsidR="00D531D1" w:rsidRPr="00D531D1">
              <w:rPr>
                <w:b/>
              </w:rPr>
              <w:t>Handling of Regular and Infectious Waste</w:t>
            </w:r>
            <w:r>
              <w:t xml:space="preserve">, specifically, but not limited to, proper disposal of regular and </w:t>
            </w:r>
            <w:proofErr w:type="spellStart"/>
            <w:r>
              <w:t>biohazardous</w:t>
            </w:r>
            <w:proofErr w:type="spellEnd"/>
            <w:r>
              <w:t xml:space="preserve"> waste.</w:t>
            </w:r>
          </w:p>
          <w:p w:rsidR="00D531D1" w:rsidRDefault="00B60062" w:rsidP="0039218B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cleaning of work area, see </w:t>
            </w:r>
            <w:r w:rsidR="00D531D1" w:rsidRPr="00D531D1">
              <w:rPr>
                <w:b/>
              </w:rPr>
              <w:t>Cleaning Work Areas</w:t>
            </w:r>
            <w:r w:rsidR="00D531D1">
              <w:t>.</w:t>
            </w:r>
          </w:p>
          <w:p w:rsidR="00B60062" w:rsidRDefault="00B60062" w:rsidP="0039218B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>For proper handling of chemicals and reagents, see the Chemical Hygiene Plan.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tabs>
                <w:tab w:val="left" w:pos="162"/>
              </w:tabs>
              <w:ind w:left="523"/>
              <w:jc w:val="both"/>
            </w:pPr>
            <w:r>
              <w:t xml:space="preserve">For proper storage and disposal of chemical hazardous waste, see </w:t>
            </w:r>
            <w:r w:rsidR="00D531D1" w:rsidRPr="00D531D1">
              <w:rPr>
                <w:b/>
              </w:rPr>
              <w:t>Storage &amp; Disposal of Chemical Hazardous Waste</w:t>
            </w:r>
            <w:r>
              <w:t>.</w:t>
            </w:r>
            <w:r w:rsidR="00D531D1">
              <w:t xml:space="preserve"> </w:t>
            </w:r>
            <w:r>
              <w:t>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</w:tc>
      </w:tr>
    </w:tbl>
    <w:p w:rsidR="00B60062" w:rsidRDefault="00B60062" w:rsidP="00B60062"/>
    <w:p w:rsidR="00B60062" w:rsidRDefault="00B60062" w:rsidP="00B60062"/>
    <w:p w:rsidR="00D729C9" w:rsidRPr="00B60062" w:rsidRDefault="00D729C9" w:rsidP="00B6006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A107B" w:rsidTr="00D32C36">
        <w:trPr>
          <w:cantSplit/>
        </w:trPr>
        <w:tc>
          <w:tcPr>
            <w:tcW w:w="1728" w:type="dxa"/>
          </w:tcPr>
          <w:p w:rsidR="006A107B" w:rsidRPr="006A107B" w:rsidRDefault="000C4B97" w:rsidP="00803536">
            <w:pPr>
              <w:pStyle w:val="Heading5"/>
            </w:pPr>
            <w:r>
              <w:lastRenderedPageBreak/>
              <w:t>Responsibility</w:t>
            </w:r>
          </w:p>
        </w:tc>
        <w:tc>
          <w:tcPr>
            <w:tcW w:w="8010" w:type="dxa"/>
          </w:tcPr>
          <w:p w:rsidR="006A107B" w:rsidRDefault="000C4B97" w:rsidP="00803536">
            <w:pPr>
              <w:rPr>
                <w:szCs w:val="24"/>
              </w:rPr>
            </w:pPr>
            <w:r>
              <w:rPr>
                <w:szCs w:val="24"/>
              </w:rPr>
              <w:t xml:space="preserve"> REI MDs, REI RNPs, CLS, LVNs, MAs</w:t>
            </w:r>
          </w:p>
          <w:p w:rsidR="006A107B" w:rsidRPr="00781F79" w:rsidRDefault="006A107B" w:rsidP="00803536">
            <w:pPr>
              <w:rPr>
                <w:szCs w:val="24"/>
              </w:rPr>
            </w:pPr>
          </w:p>
        </w:tc>
      </w:tr>
    </w:tbl>
    <w:p w:rsidR="005A6EE9" w:rsidRDefault="005A6EE9" w:rsidP="005A6EE9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200"/>
      </w:tblGrid>
      <w:tr w:rsidR="005A6EE9" w:rsidTr="00E330CC">
        <w:trPr>
          <w:cantSplit/>
        </w:trPr>
        <w:tc>
          <w:tcPr>
            <w:tcW w:w="1728" w:type="dxa"/>
          </w:tcPr>
          <w:p w:rsidR="005A6EE9" w:rsidRDefault="005A6EE9" w:rsidP="00803536">
            <w:pPr>
              <w:pStyle w:val="Heading5"/>
            </w:pPr>
            <w:r>
              <w:t>Procedure</w:t>
            </w:r>
          </w:p>
        </w:tc>
        <w:tc>
          <w:tcPr>
            <w:tcW w:w="8010" w:type="dxa"/>
            <w:gridSpan w:val="2"/>
          </w:tcPr>
          <w:p w:rsidR="005A6EE9" w:rsidRDefault="000C4B97" w:rsidP="00803536">
            <w:pPr>
              <w:rPr>
                <w:szCs w:val="24"/>
              </w:rPr>
            </w:pPr>
            <w:r>
              <w:t>Follow the instructions below for proper labeling:</w:t>
            </w:r>
          </w:p>
          <w:p w:rsidR="005A6EE9" w:rsidRPr="00781F79" w:rsidRDefault="005A6EE9" w:rsidP="00803536">
            <w:pPr>
              <w:rPr>
                <w:szCs w:val="24"/>
              </w:rPr>
            </w:pPr>
          </w:p>
        </w:tc>
      </w:tr>
      <w:tr w:rsidR="009C10D5" w:rsidTr="00E330CC">
        <w:trPr>
          <w:gridBefore w:val="1"/>
          <w:wBefore w:w="1728" w:type="dxa"/>
          <w:cantSplit/>
        </w:trPr>
        <w:tc>
          <w:tcPr>
            <w:tcW w:w="8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10D5" w:rsidRPr="009C10D5" w:rsidRDefault="00AB4889" w:rsidP="00D32C36">
            <w:pPr>
              <w:pStyle w:val="TableHeaderText"/>
            </w:pPr>
            <w:r>
              <w:t xml:space="preserve">Title </w:t>
            </w:r>
          </w:p>
        </w:tc>
      </w:tr>
      <w:tr w:rsidR="009C10D5" w:rsidTr="00E330C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9C10D5" w:rsidTr="00E330C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D729C9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90" w:rsidRDefault="000C4B97" w:rsidP="000C4B97">
            <w:r w:rsidRPr="00FB016C">
              <w:t xml:space="preserve">Specimen containers will be labeled with an adhesive label stamped with the Kaiser Permanente Card of the female </w:t>
            </w:r>
            <w:r w:rsidR="007C1D1E" w:rsidRPr="00FB016C">
              <w:t xml:space="preserve">patient </w:t>
            </w:r>
            <w:r w:rsidR="007C1D1E">
              <w:t>and</w:t>
            </w:r>
            <w:r w:rsidR="00A6171E">
              <w:t xml:space="preserve"> male donor </w:t>
            </w:r>
            <w:r w:rsidRPr="00FB016C">
              <w:t xml:space="preserve">scheduled for the intrauterine insemination. </w:t>
            </w:r>
            <w:r w:rsidR="00FB016C" w:rsidRPr="00FB016C">
              <w:t>The medical record number and full name must be clearly legible for both the female patient and male donor.</w:t>
            </w:r>
            <w:r w:rsidR="00E330CC">
              <w:t xml:space="preserve"> </w:t>
            </w:r>
          </w:p>
          <w:p w:rsidR="00762690" w:rsidRPr="00762690" w:rsidRDefault="00762690" w:rsidP="000C4B97">
            <w:pPr>
              <w:rPr>
                <w:b/>
                <w:i/>
              </w:rPr>
            </w:pPr>
            <w:r w:rsidRPr="00762690">
              <w:rPr>
                <w:b/>
                <w:i/>
              </w:rPr>
              <w:t>Note:</w:t>
            </w:r>
          </w:p>
          <w:p w:rsidR="009C10D5" w:rsidRDefault="00E330CC" w:rsidP="00762690">
            <w:pPr>
              <w:pStyle w:val="ListParagraph"/>
              <w:numPr>
                <w:ilvl w:val="0"/>
                <w:numId w:val="21"/>
              </w:numPr>
            </w:pPr>
            <w:r>
              <w:t xml:space="preserve">If patient or donor is not a KP member, it is required that a date of birth is indicated on the container. </w:t>
            </w:r>
          </w:p>
          <w:p w:rsidR="00762690" w:rsidRPr="00FB016C" w:rsidRDefault="00762690" w:rsidP="00762690">
            <w:pPr>
              <w:pStyle w:val="ListParagraph"/>
              <w:numPr>
                <w:ilvl w:val="0"/>
                <w:numId w:val="21"/>
              </w:numPr>
            </w:pPr>
            <w:r>
              <w:t>If donor sample is a frozen semen donor, label sample with Donor ID# and frozen date.</w:t>
            </w:r>
          </w:p>
        </w:tc>
      </w:tr>
      <w:tr w:rsidR="00E330CC" w:rsidTr="00E330C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C" w:rsidRPr="00D729C9" w:rsidRDefault="00E330CC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CC" w:rsidRPr="00FB016C" w:rsidRDefault="00E330CC" w:rsidP="00E330CC">
            <w:r>
              <w:t>Nurse receiving the specimen will initiate a chain of custody document and will be reviewed with the patient to ensure proper documentation.</w:t>
            </w:r>
          </w:p>
        </w:tc>
      </w:tr>
      <w:tr w:rsidR="009C10D5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D729C9" w:rsidRDefault="00132B4B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B016C" w:rsidRDefault="00E330CC" w:rsidP="00A6171E">
            <w:pPr>
              <w:tabs>
                <w:tab w:val="left" w:pos="360"/>
              </w:tabs>
            </w:pPr>
            <w:r>
              <w:t xml:space="preserve">Nurse will </w:t>
            </w:r>
            <w:r w:rsidR="007A0607">
              <w:t>be dropping off specimen</w:t>
            </w:r>
            <w:r w:rsidR="00132B4B">
              <w:t>, chain of custody form, and evaluation form</w:t>
            </w:r>
            <w:r w:rsidR="007A0607">
              <w:t xml:space="preserve"> in the laboratory</w:t>
            </w:r>
            <w:r w:rsidR="00611F3E">
              <w:t>,</w:t>
            </w:r>
            <w:r w:rsidR="00A6171E">
              <w:t xml:space="preserve"> all labeled with </w:t>
            </w:r>
            <w:r w:rsidR="00611F3E">
              <w:t>both female</w:t>
            </w:r>
            <w:r w:rsidR="00132B4B">
              <w:t xml:space="preserve"> patient and male donor labels.</w:t>
            </w:r>
            <w:r w:rsidR="007A0607">
              <w:t xml:space="preserve"> </w:t>
            </w:r>
            <w:r w:rsidR="00132B4B">
              <w:t xml:space="preserve"> At least 6 additional adhesive labels stamped with the female identifier and 2 additional adhesive labels stamped with the male donor identifier will be </w:t>
            </w:r>
            <w:r w:rsidR="00A9634B">
              <w:t>included with</w:t>
            </w:r>
            <w:r w:rsidR="00132B4B">
              <w:t xml:space="preserve"> the forms and specimen</w:t>
            </w:r>
            <w:r w:rsidR="00C60ECB">
              <w:t xml:space="preserve"> as extra labels for processing</w:t>
            </w:r>
            <w:r w:rsidR="00132B4B">
              <w:t>.</w:t>
            </w:r>
          </w:p>
        </w:tc>
      </w:tr>
      <w:tr w:rsidR="00132B4B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4B" w:rsidRPr="00D729C9" w:rsidRDefault="00132B4B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4B" w:rsidRDefault="00132B4B" w:rsidP="00A9634B">
            <w:pPr>
              <w:tabs>
                <w:tab w:val="left" w:pos="360"/>
              </w:tabs>
            </w:pPr>
            <w:r>
              <w:t xml:space="preserve">Nurse and laboratory personnel/CLS will review proper documentation on the specimen and forms, and will then sign the chain of custody form </w:t>
            </w:r>
            <w:r w:rsidR="00A9634B">
              <w:t>for accepting the specimen with proper labels in the laboratory.</w:t>
            </w:r>
          </w:p>
        </w:tc>
      </w:tr>
      <w:tr w:rsidR="009C10D5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D729C9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Pr="00FB016C" w:rsidRDefault="007A0607" w:rsidP="0005528B">
            <w:pPr>
              <w:tabs>
                <w:tab w:val="left" w:pos="360"/>
              </w:tabs>
            </w:pPr>
            <w:r>
              <w:t xml:space="preserve">CLS processing specimen will </w:t>
            </w:r>
            <w:r w:rsidR="00925076">
              <w:t xml:space="preserve">label syringe, tube, and </w:t>
            </w:r>
            <w:r w:rsidR="00A9634B">
              <w:t xml:space="preserve">laboratory </w:t>
            </w:r>
            <w:r w:rsidR="00925076">
              <w:t>worksheet form</w:t>
            </w:r>
            <w:r>
              <w:t xml:space="preserve"> </w:t>
            </w:r>
            <w:r w:rsidR="00925076">
              <w:t xml:space="preserve">with </w:t>
            </w:r>
            <w:r>
              <w:t>female patient</w:t>
            </w:r>
            <w:r w:rsidR="0005528B">
              <w:t xml:space="preserve"> labels,</w:t>
            </w:r>
            <w:r w:rsidR="00925076">
              <w:t xml:space="preserve"> </w:t>
            </w:r>
            <w:r>
              <w:t>male donor</w:t>
            </w:r>
            <w:r w:rsidR="00925076">
              <w:t xml:space="preserve"> labels,</w:t>
            </w:r>
            <w:r w:rsidR="00C60ECB">
              <w:t xml:space="preserve"> </w:t>
            </w:r>
            <w:r w:rsidR="0005528B">
              <w:t xml:space="preserve">and </w:t>
            </w:r>
            <w:r w:rsidR="00925076">
              <w:t>with matching color coded labels.</w:t>
            </w:r>
          </w:p>
        </w:tc>
      </w:tr>
      <w:tr w:rsidR="00925076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76" w:rsidRPr="00D729C9" w:rsidRDefault="00925076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76" w:rsidRDefault="00925076" w:rsidP="005011D5">
            <w:pPr>
              <w:tabs>
                <w:tab w:val="left" w:pos="360"/>
              </w:tabs>
            </w:pPr>
            <w:r>
              <w:t xml:space="preserve">After specimen has been processed and is ready for insemination. Lab personnel/CLS </w:t>
            </w:r>
            <w:r w:rsidR="00A9634B">
              <w:t xml:space="preserve">will submit </w:t>
            </w:r>
            <w:r w:rsidR="005011D5">
              <w:t xml:space="preserve">completed </w:t>
            </w:r>
            <w:r w:rsidR="00A9634B">
              <w:t>evaluation form and chain of custody form to the nurse/provider.</w:t>
            </w:r>
          </w:p>
        </w:tc>
      </w:tr>
      <w:tr w:rsidR="00A9634B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4B" w:rsidRPr="00D729C9" w:rsidRDefault="00A9634B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4B" w:rsidRDefault="00A9634B" w:rsidP="009647A8">
            <w:pPr>
              <w:tabs>
                <w:tab w:val="left" w:pos="360"/>
              </w:tabs>
            </w:pPr>
            <w:r>
              <w:t xml:space="preserve">After reviewing the evaluation form, the nurse/provider will </w:t>
            </w:r>
            <w:r w:rsidR="00A6171E">
              <w:t xml:space="preserve">go to the laboratory and </w:t>
            </w:r>
            <w:r>
              <w:t>pick up</w:t>
            </w:r>
            <w:r w:rsidR="005011D5">
              <w:t xml:space="preserve"> processed </w:t>
            </w:r>
            <w:r>
              <w:t>specimen</w:t>
            </w:r>
            <w:r w:rsidR="00A6171E">
              <w:t xml:space="preserve">. Lab personnel/CLS </w:t>
            </w:r>
            <w:r>
              <w:t>will sign out</w:t>
            </w:r>
            <w:r w:rsidR="00A6171E">
              <w:t xml:space="preserve"> the chain of custody form </w:t>
            </w:r>
            <w:r>
              <w:t xml:space="preserve">and review the </w:t>
            </w:r>
            <w:r w:rsidR="00A6171E">
              <w:t xml:space="preserve">prepared </w:t>
            </w:r>
            <w:r>
              <w:t>specimen with the nurse/provider for proper documentation</w:t>
            </w:r>
            <w:r w:rsidR="00A6171E">
              <w:t xml:space="preserve">. </w:t>
            </w:r>
          </w:p>
        </w:tc>
      </w:tr>
      <w:tr w:rsidR="00A4065F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5F" w:rsidRPr="00D729C9" w:rsidRDefault="00D729C9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 w:rsidRPr="00D729C9">
              <w:rPr>
                <w:b/>
              </w:rPr>
              <w:lastRenderedPageBreak/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5F" w:rsidRDefault="00A4065F" w:rsidP="00A9634B">
            <w:pPr>
              <w:tabs>
                <w:tab w:val="left" w:pos="360"/>
              </w:tabs>
            </w:pPr>
            <w:r>
              <w:t xml:space="preserve">Before performing insemination, </w:t>
            </w:r>
            <w:r w:rsidR="00A6171E">
              <w:t>nurse/</w:t>
            </w:r>
            <w:r w:rsidR="00A9634B">
              <w:t>provider</w:t>
            </w:r>
            <w:r>
              <w:t xml:space="preserve"> will review the specimen</w:t>
            </w:r>
            <w:r w:rsidR="005011D5">
              <w:t xml:space="preserve"> and verify</w:t>
            </w:r>
            <w:r>
              <w:t xml:space="preserve"> with the patient by asking patient’s name and date of birth/MRN.</w:t>
            </w:r>
          </w:p>
        </w:tc>
      </w:tr>
    </w:tbl>
    <w:p w:rsidR="00D05042" w:rsidRDefault="00D05042" w:rsidP="00D05042">
      <w:pPr>
        <w:pStyle w:val="BlockLine"/>
        <w:jc w:val="right"/>
        <w:rPr>
          <w:i/>
          <w:iCs/>
          <w:sz w:val="20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7E257B" w:rsidTr="001372D7">
        <w:trPr>
          <w:cantSplit/>
        </w:trPr>
        <w:tc>
          <w:tcPr>
            <w:tcW w:w="1728" w:type="dxa"/>
          </w:tcPr>
          <w:p w:rsidR="007E257B" w:rsidRPr="00781F79" w:rsidRDefault="00D729C9" w:rsidP="001372D7">
            <w:pPr>
              <w:pStyle w:val="Heading5"/>
            </w:pPr>
            <w:r>
              <w:t>Reference</w:t>
            </w:r>
          </w:p>
        </w:tc>
        <w:tc>
          <w:tcPr>
            <w:tcW w:w="801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7E257B" w:rsidTr="001372D7">
              <w:tc>
                <w:tcPr>
                  <w:tcW w:w="2407" w:type="dxa"/>
                  <w:shd w:val="clear" w:color="auto" w:fill="auto"/>
                </w:tcPr>
                <w:p w:rsidR="007E257B" w:rsidRPr="007D3E52" w:rsidRDefault="007E257B" w:rsidP="007E257B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7E257B" w:rsidRPr="007D3E52" w:rsidRDefault="007E257B" w:rsidP="007E257B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Name</w:t>
                  </w:r>
                </w:p>
              </w:tc>
            </w:tr>
            <w:tr w:rsidR="007E257B" w:rsidTr="001372D7">
              <w:tc>
                <w:tcPr>
                  <w:tcW w:w="2407" w:type="dxa"/>
                  <w:shd w:val="clear" w:color="auto" w:fill="auto"/>
                </w:tcPr>
                <w:p w:rsidR="007E257B" w:rsidRDefault="00AB035B" w:rsidP="00AB035B">
                  <w:pPr>
                    <w:pStyle w:val="BlockText"/>
                  </w:pPr>
                  <w: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7E257B" w:rsidRDefault="007E257B" w:rsidP="007E257B">
                  <w:pPr>
                    <w:pStyle w:val="BlockText"/>
                    <w:jc w:val="left"/>
                  </w:pPr>
                  <w:r>
                    <w:t>Safety Practices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 w:rsidRPr="00C01AA8">
                    <w:t>LAMC-PPP-012</w:t>
                  </w:r>
                  <w:r>
                    <w:t>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Infection Control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 w:rsidRPr="00C01AA8">
                    <w:t>LAMC-PPP-012</w:t>
                  </w:r>
                  <w:r>
                    <w:t>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Universal Body Substance Precaution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 w:rsidRPr="00C01AA8">
                    <w:t>LAMC-PPP-012</w:t>
                  </w:r>
                  <w:r>
                    <w:t>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Handling of Regular and Infectious Waste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Cleaning Work Areas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Hand-washing Policy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>
                    <w:t>LAMC-PPP-0</w:t>
                  </w:r>
                  <w:bookmarkStart w:id="0" w:name="_GoBack"/>
                  <w:bookmarkEnd w:id="0"/>
                  <w:r>
                    <w:t>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Storage and Disposal of Chemical Hazardous Waste</w:t>
                  </w:r>
                </w:p>
              </w:tc>
            </w:tr>
          </w:tbl>
          <w:p w:rsidR="007E257B" w:rsidRPr="00D05042" w:rsidRDefault="007E257B" w:rsidP="001372D7">
            <w:pPr>
              <w:rPr>
                <w:szCs w:val="24"/>
              </w:rPr>
            </w:pPr>
          </w:p>
        </w:tc>
      </w:tr>
    </w:tbl>
    <w:p w:rsidR="00D531D1" w:rsidRDefault="00D531D1" w:rsidP="00D531D1"/>
    <w:p w:rsidR="007E257B" w:rsidRDefault="007E257B" w:rsidP="00D531D1"/>
    <w:p w:rsidR="00D531D1" w:rsidRDefault="00D531D1" w:rsidP="00D531D1"/>
    <w:p w:rsidR="00D531D1" w:rsidRDefault="00D531D1" w:rsidP="00D531D1"/>
    <w:p w:rsidR="00D531D1" w:rsidRPr="00D531D1" w:rsidRDefault="00D531D1" w:rsidP="00D531D1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Tr="00A6171E">
        <w:trPr>
          <w:cantSplit/>
        </w:trPr>
        <w:tc>
          <w:tcPr>
            <w:tcW w:w="1728" w:type="dxa"/>
          </w:tcPr>
          <w:p w:rsidR="00F06DB2" w:rsidRPr="00781F79" w:rsidRDefault="00F06DB2" w:rsidP="00F06DB2">
            <w:pPr>
              <w:pStyle w:val="Heading5"/>
            </w:pPr>
            <w:r w:rsidRPr="00781F79">
              <w:t>A</w:t>
            </w:r>
            <w:r>
              <w:t>uthor</w:t>
            </w:r>
            <w:r w:rsidR="00D32C36">
              <w:t>(s)</w:t>
            </w:r>
          </w:p>
        </w:tc>
        <w:tc>
          <w:tcPr>
            <w:tcW w:w="8010" w:type="dxa"/>
          </w:tcPr>
          <w:p w:rsidR="00F06DB2" w:rsidRPr="00D05042" w:rsidRDefault="00A4065F" w:rsidP="00F06DB2">
            <w:pPr>
              <w:rPr>
                <w:szCs w:val="24"/>
              </w:rPr>
            </w:pPr>
            <w:r>
              <w:rPr>
                <w:szCs w:val="24"/>
              </w:rPr>
              <w:t>Alvin Castillo</w:t>
            </w:r>
          </w:p>
          <w:p w:rsidR="00D05042" w:rsidRPr="00D05042" w:rsidRDefault="00D05042" w:rsidP="00F06DB2">
            <w:pPr>
              <w:rPr>
                <w:szCs w:val="24"/>
              </w:rPr>
            </w:pPr>
          </w:p>
        </w:tc>
      </w:tr>
    </w:tbl>
    <w:p w:rsidR="00D26AE2" w:rsidRDefault="00D26AE2" w:rsidP="00D26AE2">
      <w:pPr>
        <w:pStyle w:val="BlockLine"/>
      </w:pPr>
    </w:p>
    <w:p w:rsidR="00F06DB2" w:rsidRDefault="00F06DB2" w:rsidP="00D26AE2"/>
    <w:p w:rsidR="004B28D4" w:rsidRDefault="004B28D4" w:rsidP="00D26AE2"/>
    <w:p w:rsidR="004B28D4" w:rsidRDefault="004B28D4" w:rsidP="00D26AE2"/>
    <w:p w:rsidR="004B28D4" w:rsidRDefault="004B28D4" w:rsidP="00D26AE2"/>
    <w:p w:rsidR="004B28D4" w:rsidRDefault="004B28D4" w:rsidP="00D26AE2"/>
    <w:p w:rsidR="004B28D4" w:rsidRDefault="004B28D4" w:rsidP="00D26AE2"/>
    <w:p w:rsidR="004B28D4" w:rsidRDefault="004B28D4" w:rsidP="00D26AE2"/>
    <w:p w:rsidR="004B28D4" w:rsidRDefault="004B28D4" w:rsidP="00D26AE2"/>
    <w:sectPr w:rsidR="004B28D4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1F" w:rsidRDefault="00163A1F">
      <w:r>
        <w:separator/>
      </w:r>
    </w:p>
  </w:endnote>
  <w:endnote w:type="continuationSeparator" w:id="0">
    <w:p w:rsidR="00163A1F" w:rsidRDefault="0016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6" w:rsidRDefault="0063765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AB035B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AB035B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="00AB035B">
      <w:rPr>
        <w:i/>
        <w:snapToGrid w:val="0"/>
        <w:sz w:val="20"/>
      </w:rPr>
      <w:fldChar w:fldCharType="separate"/>
    </w:r>
    <w:r w:rsidR="00AB035B" w:rsidRPr="00637656">
      <w:rPr>
        <w:i/>
        <w:noProof/>
      </w:rPr>
      <w:t xml:space="preserve"> </w:t>
    </w:r>
    <w:r w:rsidR="00AB035B" w:rsidRPr="00637656">
      <w:rPr>
        <w:i/>
        <w:noProof/>
        <w:snapToGrid w:val="0"/>
        <w:sz w:val="20"/>
      </w:rPr>
      <w:t>Continued on next page</w:t>
    </w:r>
    <w:r w:rsidRPr="00637656">
      <w:rPr>
        <w:i/>
        <w:snapToGrid w:val="0"/>
        <w:sz w:val="20"/>
      </w:rPr>
      <w:fldChar w:fldCharType="end"/>
    </w:r>
  </w:p>
  <w:p w:rsidR="00637656" w:rsidRPr="00637656" w:rsidRDefault="0063765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:rsidR="00D0664E" w:rsidRPr="00C95BA9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AB035B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AB035B">
      <w:rPr>
        <w:rStyle w:val="PageNumber"/>
        <w:rFonts w:ascii="Arial" w:hAnsi="Arial" w:cs="Arial"/>
        <w:noProof/>
        <w:sz w:val="20"/>
      </w:rPr>
      <w:t>3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E1" w:rsidRDefault="00DC5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1F" w:rsidRDefault="00163A1F">
      <w:r>
        <w:separator/>
      </w:r>
    </w:p>
  </w:footnote>
  <w:footnote w:type="continuationSeparator" w:id="0">
    <w:p w:rsidR="00163A1F" w:rsidRDefault="0016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:rsidTr="008D59CB">
      <w:tc>
        <w:tcPr>
          <w:tcW w:w="2605" w:type="dxa"/>
        </w:tcPr>
        <w:p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25757B" w:rsidRPr="00B9218C" w:rsidRDefault="000C4B97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4900 SCPMG Obstetrics and Gynecology - Infertility</w:t>
          </w:r>
        </w:p>
        <w:p w:rsidR="0025757B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AC7F63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B9218C" w:rsidRPr="00C45269" w:rsidRDefault="0027013C" w:rsidP="00B9218C">
    <w:pPr>
      <w:pStyle w:val="Heading4"/>
      <w:rPr>
        <w:szCs w:val="32"/>
      </w:rPr>
    </w:pPr>
    <w:r>
      <w:rPr>
        <w:szCs w:val="32"/>
      </w:rPr>
      <w:t>SEMEN SAMPLE HANDLING PROCEDURE</w:t>
    </w:r>
    <w:r w:rsidR="00DC5BE1">
      <w:rPr>
        <w:szCs w:val="32"/>
      </w:rPr>
      <w:t xml:space="preserve"> – Infertility Laboratory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DB65BD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CCB"/>
    <w:multiLevelType w:val="hybridMultilevel"/>
    <w:tmpl w:val="E5080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17AA0DD3"/>
    <w:multiLevelType w:val="hybridMultilevel"/>
    <w:tmpl w:val="02F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542E"/>
    <w:multiLevelType w:val="hybridMultilevel"/>
    <w:tmpl w:val="44AA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DC4701D"/>
    <w:multiLevelType w:val="hybridMultilevel"/>
    <w:tmpl w:val="229C3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D3BE9A1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3F9D"/>
    <w:multiLevelType w:val="hybridMultilevel"/>
    <w:tmpl w:val="D382BFFC"/>
    <w:lvl w:ilvl="0" w:tplc="ADB0C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B24F0"/>
    <w:multiLevelType w:val="hybridMultilevel"/>
    <w:tmpl w:val="21E80394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65428"/>
    <w:multiLevelType w:val="hybridMultilevel"/>
    <w:tmpl w:val="85F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640E4695"/>
    <w:multiLevelType w:val="multilevel"/>
    <w:tmpl w:val="1ED4E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502883"/>
    <w:multiLevelType w:val="hybridMultilevel"/>
    <w:tmpl w:val="7BD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1D4C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A4339"/>
    <w:multiLevelType w:val="hybridMultilevel"/>
    <w:tmpl w:val="2A10F46E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9727E"/>
    <w:multiLevelType w:val="hybridMultilevel"/>
    <w:tmpl w:val="20F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E3BA3"/>
    <w:multiLevelType w:val="hybridMultilevel"/>
    <w:tmpl w:val="5180F15A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4420F9"/>
    <w:multiLevelType w:val="hybridMultilevel"/>
    <w:tmpl w:val="624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05141"/>
    <w:multiLevelType w:val="multilevel"/>
    <w:tmpl w:val="10DAEB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9451698"/>
    <w:multiLevelType w:val="hybridMultilevel"/>
    <w:tmpl w:val="E3D02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8"/>
  </w:num>
  <w:num w:numId="8">
    <w:abstractNumId w:val="7"/>
  </w:num>
  <w:num w:numId="9">
    <w:abstractNumId w:val="8"/>
  </w:num>
  <w:num w:numId="10">
    <w:abstractNumId w:val="14"/>
  </w:num>
  <w:num w:numId="11">
    <w:abstractNumId w:val="15"/>
  </w:num>
  <w:num w:numId="12">
    <w:abstractNumId w:val="0"/>
  </w:num>
  <w:num w:numId="13">
    <w:abstractNumId w:val="24"/>
  </w:num>
  <w:num w:numId="14">
    <w:abstractNumId w:val="23"/>
  </w:num>
  <w:num w:numId="15">
    <w:abstractNumId w:val="16"/>
  </w:num>
  <w:num w:numId="16">
    <w:abstractNumId w:val="10"/>
  </w:num>
  <w:num w:numId="17">
    <w:abstractNumId w:val="20"/>
  </w:num>
  <w:num w:numId="18">
    <w:abstractNumId w:val="19"/>
  </w:num>
  <w:num w:numId="19">
    <w:abstractNumId w:val="22"/>
  </w:num>
  <w:num w:numId="20">
    <w:abstractNumId w:val="4"/>
  </w:num>
  <w:num w:numId="21">
    <w:abstractNumId w:val="5"/>
  </w:num>
  <w:num w:numId="22">
    <w:abstractNumId w:val="11"/>
  </w:num>
  <w:num w:numId="23">
    <w:abstractNumId w:val="9"/>
  </w:num>
  <w:num w:numId="24">
    <w:abstractNumId w:val="21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107C0"/>
    <w:rsid w:val="000174C7"/>
    <w:rsid w:val="00036CF5"/>
    <w:rsid w:val="00042DAA"/>
    <w:rsid w:val="00047EF7"/>
    <w:rsid w:val="0005528B"/>
    <w:rsid w:val="00056877"/>
    <w:rsid w:val="000728C4"/>
    <w:rsid w:val="0009129B"/>
    <w:rsid w:val="000953A5"/>
    <w:rsid w:val="000C3FDD"/>
    <w:rsid w:val="000C4B97"/>
    <w:rsid w:val="000D0F87"/>
    <w:rsid w:val="000E3F47"/>
    <w:rsid w:val="000F3098"/>
    <w:rsid w:val="00101B9E"/>
    <w:rsid w:val="00103AE5"/>
    <w:rsid w:val="00107263"/>
    <w:rsid w:val="0010773B"/>
    <w:rsid w:val="0010795C"/>
    <w:rsid w:val="00130C26"/>
    <w:rsid w:val="00130D9F"/>
    <w:rsid w:val="00132B4B"/>
    <w:rsid w:val="00133FA5"/>
    <w:rsid w:val="00134C53"/>
    <w:rsid w:val="00137FEF"/>
    <w:rsid w:val="001406A5"/>
    <w:rsid w:val="00144E3A"/>
    <w:rsid w:val="00163A1F"/>
    <w:rsid w:val="0018670E"/>
    <w:rsid w:val="00192DE5"/>
    <w:rsid w:val="001A14EE"/>
    <w:rsid w:val="00207CFE"/>
    <w:rsid w:val="00211546"/>
    <w:rsid w:val="00222FE8"/>
    <w:rsid w:val="00232612"/>
    <w:rsid w:val="00232E81"/>
    <w:rsid w:val="002363E4"/>
    <w:rsid w:val="0025757B"/>
    <w:rsid w:val="00263C22"/>
    <w:rsid w:val="0027013C"/>
    <w:rsid w:val="00270793"/>
    <w:rsid w:val="00273CCB"/>
    <w:rsid w:val="002A0EA3"/>
    <w:rsid w:val="002A79D0"/>
    <w:rsid w:val="002C0560"/>
    <w:rsid w:val="002C1AC8"/>
    <w:rsid w:val="002C3C99"/>
    <w:rsid w:val="002C46A4"/>
    <w:rsid w:val="002E0623"/>
    <w:rsid w:val="00302013"/>
    <w:rsid w:val="003114DA"/>
    <w:rsid w:val="003166A2"/>
    <w:rsid w:val="00334141"/>
    <w:rsid w:val="00334224"/>
    <w:rsid w:val="003347F0"/>
    <w:rsid w:val="003454E3"/>
    <w:rsid w:val="00346DB9"/>
    <w:rsid w:val="003471B5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C508E"/>
    <w:rsid w:val="003C6786"/>
    <w:rsid w:val="003E40F0"/>
    <w:rsid w:val="003F0A0D"/>
    <w:rsid w:val="003F66C6"/>
    <w:rsid w:val="004160B3"/>
    <w:rsid w:val="00433D1F"/>
    <w:rsid w:val="00440B6B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B28D4"/>
    <w:rsid w:val="004C1667"/>
    <w:rsid w:val="004C1AD2"/>
    <w:rsid w:val="004C1B71"/>
    <w:rsid w:val="005011D5"/>
    <w:rsid w:val="00504B96"/>
    <w:rsid w:val="0050518A"/>
    <w:rsid w:val="005133FE"/>
    <w:rsid w:val="00544E86"/>
    <w:rsid w:val="00595006"/>
    <w:rsid w:val="005A6643"/>
    <w:rsid w:val="005A6674"/>
    <w:rsid w:val="005A6EE9"/>
    <w:rsid w:val="005B1E7F"/>
    <w:rsid w:val="005F2ABD"/>
    <w:rsid w:val="005F3E96"/>
    <w:rsid w:val="00605DCB"/>
    <w:rsid w:val="0061079E"/>
    <w:rsid w:val="00611F3E"/>
    <w:rsid w:val="00620A2D"/>
    <w:rsid w:val="00633012"/>
    <w:rsid w:val="00637656"/>
    <w:rsid w:val="00677481"/>
    <w:rsid w:val="00696ABF"/>
    <w:rsid w:val="006A107B"/>
    <w:rsid w:val="006A72CD"/>
    <w:rsid w:val="006C4C9A"/>
    <w:rsid w:val="006D60D0"/>
    <w:rsid w:val="006E67E1"/>
    <w:rsid w:val="00700D63"/>
    <w:rsid w:val="00706B6E"/>
    <w:rsid w:val="00707CAE"/>
    <w:rsid w:val="0075494B"/>
    <w:rsid w:val="00760854"/>
    <w:rsid w:val="00762690"/>
    <w:rsid w:val="00763747"/>
    <w:rsid w:val="00774558"/>
    <w:rsid w:val="00781F79"/>
    <w:rsid w:val="00787027"/>
    <w:rsid w:val="00797B8C"/>
    <w:rsid w:val="007A0607"/>
    <w:rsid w:val="007A4A1C"/>
    <w:rsid w:val="007A5962"/>
    <w:rsid w:val="007B0208"/>
    <w:rsid w:val="007B069A"/>
    <w:rsid w:val="007B606D"/>
    <w:rsid w:val="007B608F"/>
    <w:rsid w:val="007B620E"/>
    <w:rsid w:val="007C1C2C"/>
    <w:rsid w:val="007C1D1E"/>
    <w:rsid w:val="007D3D83"/>
    <w:rsid w:val="007D5433"/>
    <w:rsid w:val="007E0843"/>
    <w:rsid w:val="007E257B"/>
    <w:rsid w:val="007E2A47"/>
    <w:rsid w:val="007E651E"/>
    <w:rsid w:val="00801686"/>
    <w:rsid w:val="00803536"/>
    <w:rsid w:val="00821E6D"/>
    <w:rsid w:val="0082621B"/>
    <w:rsid w:val="008415B6"/>
    <w:rsid w:val="008432AD"/>
    <w:rsid w:val="00845835"/>
    <w:rsid w:val="0088237F"/>
    <w:rsid w:val="00883D0A"/>
    <w:rsid w:val="0088433C"/>
    <w:rsid w:val="00885E0C"/>
    <w:rsid w:val="0089105A"/>
    <w:rsid w:val="008C29BB"/>
    <w:rsid w:val="008C45FE"/>
    <w:rsid w:val="008D4E7A"/>
    <w:rsid w:val="00925076"/>
    <w:rsid w:val="00936C1B"/>
    <w:rsid w:val="0094018B"/>
    <w:rsid w:val="009451A0"/>
    <w:rsid w:val="00947B7E"/>
    <w:rsid w:val="009647A8"/>
    <w:rsid w:val="00964A5C"/>
    <w:rsid w:val="00966189"/>
    <w:rsid w:val="00971F62"/>
    <w:rsid w:val="00972031"/>
    <w:rsid w:val="0097329A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14F18"/>
    <w:rsid w:val="00A2202A"/>
    <w:rsid w:val="00A241DE"/>
    <w:rsid w:val="00A3670D"/>
    <w:rsid w:val="00A4015E"/>
    <w:rsid w:val="00A4065F"/>
    <w:rsid w:val="00A60B08"/>
    <w:rsid w:val="00A6171E"/>
    <w:rsid w:val="00A6192E"/>
    <w:rsid w:val="00A66379"/>
    <w:rsid w:val="00A8143D"/>
    <w:rsid w:val="00A9634B"/>
    <w:rsid w:val="00AA2C0B"/>
    <w:rsid w:val="00AB035B"/>
    <w:rsid w:val="00AB4147"/>
    <w:rsid w:val="00AB4889"/>
    <w:rsid w:val="00AC231D"/>
    <w:rsid w:val="00AC7F63"/>
    <w:rsid w:val="00AD1CD4"/>
    <w:rsid w:val="00AD6204"/>
    <w:rsid w:val="00AE303D"/>
    <w:rsid w:val="00AF10E7"/>
    <w:rsid w:val="00B03F26"/>
    <w:rsid w:val="00B045E7"/>
    <w:rsid w:val="00B14A3D"/>
    <w:rsid w:val="00B1537F"/>
    <w:rsid w:val="00B16284"/>
    <w:rsid w:val="00B50BFF"/>
    <w:rsid w:val="00B559BC"/>
    <w:rsid w:val="00B57DAA"/>
    <w:rsid w:val="00B60062"/>
    <w:rsid w:val="00B71F0C"/>
    <w:rsid w:val="00B768CE"/>
    <w:rsid w:val="00B83E97"/>
    <w:rsid w:val="00B9218C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45269"/>
    <w:rsid w:val="00C60114"/>
    <w:rsid w:val="00C604D8"/>
    <w:rsid w:val="00C60ECB"/>
    <w:rsid w:val="00C66F6C"/>
    <w:rsid w:val="00C75F4B"/>
    <w:rsid w:val="00C80C96"/>
    <w:rsid w:val="00C84E28"/>
    <w:rsid w:val="00C87487"/>
    <w:rsid w:val="00C95BA9"/>
    <w:rsid w:val="00CA0A63"/>
    <w:rsid w:val="00CA67B8"/>
    <w:rsid w:val="00CC02CC"/>
    <w:rsid w:val="00CC0ED8"/>
    <w:rsid w:val="00CC70BE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531D1"/>
    <w:rsid w:val="00D6360E"/>
    <w:rsid w:val="00D64FEA"/>
    <w:rsid w:val="00D729C9"/>
    <w:rsid w:val="00D8329C"/>
    <w:rsid w:val="00D90CBE"/>
    <w:rsid w:val="00DA1F32"/>
    <w:rsid w:val="00DC3744"/>
    <w:rsid w:val="00DC5BE1"/>
    <w:rsid w:val="00DD53EF"/>
    <w:rsid w:val="00DE223A"/>
    <w:rsid w:val="00DE398C"/>
    <w:rsid w:val="00E301AE"/>
    <w:rsid w:val="00E330CC"/>
    <w:rsid w:val="00E42FE4"/>
    <w:rsid w:val="00E50BBB"/>
    <w:rsid w:val="00E51458"/>
    <w:rsid w:val="00E5453D"/>
    <w:rsid w:val="00E61CD5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342AB"/>
    <w:rsid w:val="00F36A3F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016C"/>
    <w:rsid w:val="00FB1920"/>
    <w:rsid w:val="00FB6F06"/>
    <w:rsid w:val="00FC47C8"/>
    <w:rsid w:val="00FE2E18"/>
    <w:rsid w:val="00FF0823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customStyle="1" w:styleId="Default">
    <w:name w:val="Default"/>
    <w:rsid w:val="00AB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C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2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2B4B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aliases w:val="Block Label Char"/>
    <w:link w:val="Heading5"/>
    <w:locked/>
    <w:rsid w:val="004B28D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C"/>
    <w:rsid w:val="000A19B4"/>
    <w:rsid w:val="001113CE"/>
    <w:rsid w:val="002C3A63"/>
    <w:rsid w:val="00302917"/>
    <w:rsid w:val="00311BF6"/>
    <w:rsid w:val="00441A49"/>
    <w:rsid w:val="00503C9E"/>
    <w:rsid w:val="005A495C"/>
    <w:rsid w:val="0067123A"/>
    <w:rsid w:val="00856328"/>
    <w:rsid w:val="008F2A2C"/>
    <w:rsid w:val="009E2D04"/>
    <w:rsid w:val="00A8409A"/>
    <w:rsid w:val="00BA5A27"/>
    <w:rsid w:val="00CD2384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181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21</cp:revision>
  <cp:lastPrinted>2017-03-06T18:43:00Z</cp:lastPrinted>
  <dcterms:created xsi:type="dcterms:W3CDTF">2017-03-06T16:43:00Z</dcterms:created>
  <dcterms:modified xsi:type="dcterms:W3CDTF">2017-03-08T17:21:00Z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17 Nov 2016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>B114810</vt:lpwstr>
  </property>
  <property fmtid="{D5CDD505-2E9C-101B-9397-08002B2CF9AE}" pid="10" name="MC_Title">
    <vt:lpwstr>LIAT PCR</vt:lpwstr>
  </property>
  <property fmtid="{D5CDD505-2E9C-101B-9397-08002B2CF9AE}" pid="11" name="MC_Notes">
    <vt:lpwstr/>
  </property>
  <property fmtid="{D5CDD505-2E9C-101B-9397-08002B2CF9AE}" pid="12" name="MC_Number">
    <vt:lpwstr>LAMC-PPP-0363</vt:lpwstr>
  </property>
  <property fmtid="{D5CDD505-2E9C-101B-9397-08002B2CF9AE}" pid="13" name="MC_Author">
    <vt:lpwstr>B114810</vt:lpwstr>
  </property>
  <property fmtid="{D5CDD505-2E9C-101B-9397-08002B2CF9AE}" pid="14" name="MC_Vault">
    <vt:lpwstr>LAMC-dft</vt:lpwstr>
  </property>
  <property fmtid="{D5CDD505-2E9C-101B-9397-08002B2CF9AE}" pid="15" name="MC_CF_Med Center Heme Bench (Old)">
    <vt:lpwstr>HE Manual</vt:lpwstr>
  </property>
</Properties>
</file>