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Tr="000C4B97">
        <w:trPr>
          <w:cantSplit/>
          <w:trHeight w:val="649"/>
        </w:trPr>
        <w:tc>
          <w:tcPr>
            <w:tcW w:w="1728" w:type="dxa"/>
          </w:tcPr>
          <w:p w:rsidR="006A107B" w:rsidRDefault="006A107B" w:rsidP="006A107B">
            <w:pPr>
              <w:pStyle w:val="Heading5"/>
            </w:pPr>
            <w:r>
              <w:t xml:space="preserve">Purpose </w:t>
            </w:r>
          </w:p>
          <w:p w:rsidR="00EB027B" w:rsidRDefault="00EB027B">
            <w:pPr>
              <w:pStyle w:val="Heading5"/>
            </w:pPr>
          </w:p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0C4B97" w:rsidRDefault="0092596C" w:rsidP="006822AA">
            <w:pPr>
              <w:rPr>
                <w:szCs w:val="24"/>
              </w:rPr>
            </w:pPr>
            <w:r>
              <w:t xml:space="preserve">To provide instructions for performing qualitative Color mono agglutination test, by </w:t>
            </w:r>
            <w:r>
              <w:t>Sure-</w:t>
            </w:r>
            <w:proofErr w:type="spellStart"/>
            <w:r>
              <w:t>Vue</w:t>
            </w:r>
            <w:proofErr w:type="spellEnd"/>
            <w:r w:rsidR="006822AA">
              <w:t>.</w:t>
            </w:r>
            <w:r w:rsidRPr="00AB4147">
              <w:rPr>
                <w:szCs w:val="24"/>
              </w:rPr>
              <w:t xml:space="preserve"> </w:t>
            </w:r>
          </w:p>
          <w:p w:rsidR="006822AA" w:rsidRPr="00AB4147" w:rsidRDefault="006822AA" w:rsidP="006822AA">
            <w:pPr>
              <w:rPr>
                <w:szCs w:val="24"/>
              </w:rPr>
            </w:pPr>
          </w:p>
        </w:tc>
      </w:tr>
      <w:tr w:rsidR="0092596C" w:rsidTr="00F64847">
        <w:trPr>
          <w:cantSplit/>
          <w:trHeight w:val="649"/>
        </w:trPr>
        <w:tc>
          <w:tcPr>
            <w:tcW w:w="1728" w:type="dxa"/>
          </w:tcPr>
          <w:p w:rsidR="0092596C" w:rsidRDefault="0092596C" w:rsidP="00F64847">
            <w:pPr>
              <w:pStyle w:val="Heading5"/>
            </w:pPr>
            <w:r>
              <w:t>P</w:t>
            </w:r>
            <w:r>
              <w:t>olicy</w:t>
            </w:r>
          </w:p>
          <w:p w:rsidR="0092596C" w:rsidRDefault="0092596C" w:rsidP="00F64847">
            <w:pPr>
              <w:pStyle w:val="Heading5"/>
            </w:pPr>
          </w:p>
          <w:p w:rsidR="0092596C" w:rsidRPr="00EC7C99" w:rsidRDefault="0092596C" w:rsidP="00F64847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92596C" w:rsidRDefault="006822AA" w:rsidP="006822AA">
            <w:pPr>
              <w:rPr>
                <w:szCs w:val="24"/>
              </w:rPr>
            </w:pPr>
            <w:r>
              <w:t>Quality Control for</w:t>
            </w:r>
            <w:r w:rsidR="0092596C">
              <w:t xml:space="preserve"> Sure </w:t>
            </w:r>
            <w:proofErr w:type="spellStart"/>
            <w:r>
              <w:t>Vue</w:t>
            </w:r>
            <w:proofErr w:type="spellEnd"/>
            <w:r>
              <w:t xml:space="preserve"> Color </w:t>
            </w:r>
            <w:r w:rsidR="0092596C">
              <w:t xml:space="preserve">Mono Test is </w:t>
            </w:r>
            <w:r>
              <w:t>required</w:t>
            </w:r>
            <w:r w:rsidR="0092596C">
              <w:t xml:space="preserve"> at least once in 24 hours of testing.</w:t>
            </w:r>
            <w:r w:rsidR="0092596C" w:rsidRPr="00AB4147">
              <w:rPr>
                <w:szCs w:val="24"/>
              </w:rPr>
              <w:t xml:space="preserve"> </w:t>
            </w:r>
          </w:p>
          <w:p w:rsidR="006822AA" w:rsidRDefault="006822AA" w:rsidP="006822AA">
            <w:pPr>
              <w:rPr>
                <w:szCs w:val="24"/>
              </w:rPr>
            </w:pPr>
          </w:p>
          <w:p w:rsidR="006822AA" w:rsidRPr="00AB4147" w:rsidRDefault="006822AA" w:rsidP="006822AA">
            <w:pPr>
              <w:rPr>
                <w:szCs w:val="24"/>
              </w:rPr>
            </w:pPr>
          </w:p>
        </w:tc>
      </w:tr>
    </w:tbl>
    <w:p w:rsidR="006A107B" w:rsidRDefault="006A107B" w:rsidP="0092596C">
      <w:pPr>
        <w:pStyle w:val="BlockLine"/>
        <w:ind w:left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9"/>
        <w:gridCol w:w="8014"/>
      </w:tblGrid>
      <w:tr w:rsidR="00B60062" w:rsidTr="001372D7">
        <w:trPr>
          <w:cantSplit/>
          <w:trHeight w:val="972"/>
        </w:trPr>
        <w:tc>
          <w:tcPr>
            <w:tcW w:w="170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8"/>
              <w:gridCol w:w="8010"/>
            </w:tblGrid>
            <w:tr w:rsidR="00B60062" w:rsidRPr="00781F79" w:rsidTr="001372D7">
              <w:trPr>
                <w:cantSplit/>
              </w:trPr>
              <w:tc>
                <w:tcPr>
                  <w:tcW w:w="1728" w:type="dxa"/>
                </w:tcPr>
                <w:p w:rsidR="00B60062" w:rsidRPr="006A107B" w:rsidRDefault="0092596C" w:rsidP="001372D7">
                  <w:pPr>
                    <w:pStyle w:val="Heading5"/>
                  </w:pPr>
                  <w:r>
                    <w:t>Workplace Safety</w:t>
                  </w:r>
                </w:p>
              </w:tc>
              <w:tc>
                <w:tcPr>
                  <w:tcW w:w="8010" w:type="dxa"/>
                </w:tcPr>
                <w:p w:rsidR="00B60062" w:rsidRDefault="00B60062" w:rsidP="001372D7">
                  <w:pPr>
                    <w:rPr>
                      <w:szCs w:val="24"/>
                    </w:rPr>
                  </w:pPr>
                </w:p>
                <w:p w:rsidR="00B60062" w:rsidRPr="00781F79" w:rsidRDefault="00B60062" w:rsidP="001372D7">
                  <w:pPr>
                    <w:rPr>
                      <w:szCs w:val="24"/>
                    </w:rPr>
                  </w:pPr>
                  <w:r>
                    <w:rPr>
                      <w:b/>
                      <w:i/>
                      <w:color w:val="FF0000"/>
                    </w:rPr>
                    <w:t>Refer to the safety manual for general safety requirements.</w:t>
                  </w:r>
                </w:p>
              </w:tc>
            </w:tr>
          </w:tbl>
          <w:p w:rsidR="00B60062" w:rsidRDefault="00B60062" w:rsidP="001372D7">
            <w:pPr>
              <w:pStyle w:val="Heading5"/>
            </w:pPr>
          </w:p>
        </w:tc>
        <w:tc>
          <w:tcPr>
            <w:tcW w:w="8014" w:type="dxa"/>
          </w:tcPr>
          <w:p w:rsidR="00B60062" w:rsidRDefault="00B60062" w:rsidP="00D531D1">
            <w:pPr>
              <w:pStyle w:val="BlockText"/>
              <w:tabs>
                <w:tab w:val="left" w:pos="162"/>
              </w:tabs>
              <w:jc w:val="both"/>
            </w:pPr>
            <w: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standard precautions and safety practices in the laboratory;  see </w:t>
            </w:r>
            <w:r w:rsidR="00D531D1" w:rsidRPr="00D531D1">
              <w:rPr>
                <w:b/>
              </w:rPr>
              <w:t>Safety Practices</w:t>
            </w:r>
            <w:r w:rsidR="00D531D1">
              <w:t xml:space="preserve">, </w:t>
            </w:r>
            <w:r>
              <w:t>specifically, but not limited to</w:t>
            </w:r>
            <w:r w:rsidR="00D531D1">
              <w:t xml:space="preserve">, equipment safety, proper body </w:t>
            </w:r>
            <w:r>
              <w:t>mechanics, sharps exposure and proper use of personal protective equipment (PPE).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Universal Body Substance precautions, see </w:t>
            </w:r>
            <w:r w:rsidR="00D531D1" w:rsidRPr="00D531D1">
              <w:rPr>
                <w:b/>
              </w:rPr>
              <w:t>Universal Body Substance Precautions</w:t>
            </w:r>
            <w:r>
              <w:t>, specifically, but not limited to, exposure to body fluids.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hand-washing, see </w:t>
            </w:r>
            <w:r w:rsidR="00D531D1" w:rsidRPr="00D531D1">
              <w:rPr>
                <w:b/>
              </w:rPr>
              <w:t>Hand</w:t>
            </w:r>
            <w:r w:rsidR="00D531D1">
              <w:rPr>
                <w:b/>
              </w:rPr>
              <w:t xml:space="preserve"> </w:t>
            </w:r>
            <w:r w:rsidR="00D531D1" w:rsidRPr="00D531D1">
              <w:rPr>
                <w:b/>
              </w:rPr>
              <w:t>washing Policy</w:t>
            </w:r>
            <w:r>
              <w:t>, specifically, not limited to, proper hand-washing.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infection control, see </w:t>
            </w:r>
            <w:r w:rsidR="00D531D1" w:rsidRPr="00D531D1">
              <w:rPr>
                <w:b/>
              </w:rPr>
              <w:t>Infection Control</w:t>
            </w:r>
            <w:r>
              <w:t>, specifically, but not limited to, proper use of gloves.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handling of regular and infectious waste, see </w:t>
            </w:r>
            <w:r w:rsidR="00D531D1" w:rsidRPr="00D531D1">
              <w:rPr>
                <w:b/>
              </w:rPr>
              <w:t>Handling of Regular and Infectious Waste</w:t>
            </w:r>
            <w:r>
              <w:t xml:space="preserve">, specifically, but not limited to, proper disposal of regular and </w:t>
            </w:r>
            <w:proofErr w:type="spellStart"/>
            <w:r>
              <w:t>biohazardous</w:t>
            </w:r>
            <w:proofErr w:type="spellEnd"/>
            <w:r>
              <w:t xml:space="preserve"> waste.</w:t>
            </w:r>
          </w:p>
          <w:p w:rsidR="00D531D1" w:rsidRDefault="00B60062" w:rsidP="0039218B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 xml:space="preserve">For proper cleaning of work area, see </w:t>
            </w:r>
            <w:r w:rsidR="00D531D1" w:rsidRPr="00D531D1">
              <w:rPr>
                <w:b/>
              </w:rPr>
              <w:t>Cleaning Work Areas</w:t>
            </w:r>
            <w:r w:rsidR="00D531D1">
              <w:t>.</w:t>
            </w:r>
          </w:p>
          <w:p w:rsidR="00B60062" w:rsidRDefault="00B60062" w:rsidP="0039218B">
            <w:pPr>
              <w:pStyle w:val="BlockText"/>
              <w:numPr>
                <w:ilvl w:val="0"/>
                <w:numId w:val="25"/>
              </w:numPr>
              <w:ind w:left="523"/>
              <w:jc w:val="both"/>
            </w:pPr>
            <w:r>
              <w:t>For proper handling of chemicals and reagents, see the Chemical Hygiene Plan.</w:t>
            </w:r>
          </w:p>
          <w:p w:rsidR="00B60062" w:rsidRDefault="00B60062" w:rsidP="00D531D1">
            <w:pPr>
              <w:pStyle w:val="BlockText"/>
              <w:numPr>
                <w:ilvl w:val="0"/>
                <w:numId w:val="25"/>
              </w:numPr>
              <w:tabs>
                <w:tab w:val="left" w:pos="162"/>
              </w:tabs>
              <w:ind w:left="523"/>
              <w:jc w:val="both"/>
            </w:pPr>
            <w:r>
              <w:t xml:space="preserve">For proper storage and disposal of chemical hazardous waste, see </w:t>
            </w:r>
            <w:r w:rsidR="00D531D1" w:rsidRPr="00D531D1">
              <w:rPr>
                <w:b/>
              </w:rPr>
              <w:t>Storage &amp; Disposal of Chemical Hazardous Waste</w:t>
            </w:r>
            <w:r>
              <w:t>.</w:t>
            </w:r>
            <w:r w:rsidR="00D531D1">
              <w:t xml:space="preserve"> </w:t>
            </w:r>
            <w:r>
              <w:t>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:rsidR="00B60062" w:rsidRDefault="00B60062" w:rsidP="00B60062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6822AA" w:rsidTr="00F64847">
        <w:trPr>
          <w:cantSplit/>
          <w:trHeight w:val="649"/>
        </w:trPr>
        <w:tc>
          <w:tcPr>
            <w:tcW w:w="1728" w:type="dxa"/>
          </w:tcPr>
          <w:p w:rsidR="006822AA" w:rsidRDefault="006822AA" w:rsidP="00F64847">
            <w:pPr>
              <w:pStyle w:val="Heading5"/>
            </w:pPr>
            <w:r>
              <w:lastRenderedPageBreak/>
              <w:t>Principle</w:t>
            </w:r>
          </w:p>
          <w:p w:rsidR="006822AA" w:rsidRDefault="006822AA" w:rsidP="00F64847">
            <w:pPr>
              <w:pStyle w:val="Heading5"/>
            </w:pPr>
          </w:p>
          <w:p w:rsidR="006822AA" w:rsidRPr="00EC7C99" w:rsidRDefault="006822AA" w:rsidP="00F64847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6822AA" w:rsidRPr="00AB4147" w:rsidRDefault="006822AA" w:rsidP="00F64847">
            <w:pPr>
              <w:rPr>
                <w:szCs w:val="24"/>
              </w:rPr>
            </w:pPr>
            <w:r>
              <w:t>The Sure-</w:t>
            </w:r>
            <w:proofErr w:type="spellStart"/>
            <w:r>
              <w:t>Vue</w:t>
            </w:r>
            <w:proofErr w:type="spellEnd"/>
            <w:r>
              <w:t xml:space="preserve"> Color Mono reagent is a suspension of specially treated horse red blood cells. Added coloration of the suspension facilitates the recognition of positive and negative reactions. The serum or plasma being tested is mixed on a test slide with the reagent. The appearance of dark agglutinates against a blue-green background indicates the presence of IM. If no </w:t>
            </w:r>
            <w:proofErr w:type="spellStart"/>
            <w:r>
              <w:t>heterophile</w:t>
            </w:r>
            <w:proofErr w:type="spellEnd"/>
            <w:r>
              <w:t xml:space="preserve"> antibodies are present, the horse cells remain </w:t>
            </w:r>
            <w:proofErr w:type="spellStart"/>
            <w:r>
              <w:t>unagglutinated</w:t>
            </w:r>
            <w:proofErr w:type="spellEnd"/>
            <w:r>
              <w:t xml:space="preserve"> against a green-brown background.</w:t>
            </w:r>
            <w:r w:rsidRPr="00AB4147">
              <w:rPr>
                <w:szCs w:val="24"/>
              </w:rPr>
              <w:t xml:space="preserve"> </w:t>
            </w:r>
          </w:p>
        </w:tc>
      </w:tr>
    </w:tbl>
    <w:p w:rsidR="006822AA" w:rsidRDefault="006822AA" w:rsidP="00B60062"/>
    <w:p w:rsidR="006822AA" w:rsidRDefault="006822AA" w:rsidP="00B60062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92596C" w:rsidTr="00F64847">
        <w:trPr>
          <w:cantSplit/>
          <w:trHeight w:val="649"/>
        </w:trPr>
        <w:tc>
          <w:tcPr>
            <w:tcW w:w="1728" w:type="dxa"/>
          </w:tcPr>
          <w:p w:rsidR="0092596C" w:rsidRDefault="0092596C" w:rsidP="00F64847">
            <w:pPr>
              <w:pStyle w:val="Heading5"/>
            </w:pPr>
            <w:r>
              <w:t>Reagents</w:t>
            </w:r>
          </w:p>
          <w:p w:rsidR="0092596C" w:rsidRDefault="0092596C" w:rsidP="00F64847">
            <w:pPr>
              <w:pStyle w:val="Heading5"/>
            </w:pPr>
          </w:p>
          <w:p w:rsidR="0092596C" w:rsidRPr="00EC7C99" w:rsidRDefault="0092596C" w:rsidP="00F64847">
            <w:pPr>
              <w:pStyle w:val="Heading5"/>
              <w:rPr>
                <w:szCs w:val="22"/>
              </w:rPr>
            </w:pPr>
          </w:p>
        </w:tc>
        <w:tc>
          <w:tcPr>
            <w:tcW w:w="8010" w:type="dxa"/>
          </w:tcPr>
          <w:p w:rsidR="0092596C" w:rsidRDefault="006822AA" w:rsidP="00F64847">
            <w:pPr>
              <w:rPr>
                <w:szCs w:val="24"/>
              </w:rPr>
            </w:pPr>
            <w:r>
              <w:t xml:space="preserve">The reagents will remain stable through the expiration date, shown on the label, if stored between 2 and 8 degrees Celsius. </w:t>
            </w:r>
            <w:r w:rsidR="0092596C" w:rsidRPr="00AB4147">
              <w:rPr>
                <w:szCs w:val="24"/>
              </w:rPr>
              <w:t xml:space="preserve"> </w:t>
            </w:r>
            <w:r>
              <w:rPr>
                <w:szCs w:val="24"/>
              </w:rPr>
              <w:t>Do not freeze.</w:t>
            </w:r>
          </w:p>
          <w:p w:rsidR="006822AA" w:rsidRDefault="006822AA" w:rsidP="006822AA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Red Cell Reagent: Color-enhanced treated horse red blood cells suspension.</w:t>
            </w:r>
          </w:p>
          <w:p w:rsidR="006822AA" w:rsidRDefault="006822AA" w:rsidP="006822AA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Positive Control: Diluted positive human serum.</w:t>
            </w:r>
          </w:p>
          <w:p w:rsidR="006822AA" w:rsidRPr="006822AA" w:rsidRDefault="006822AA" w:rsidP="006822AA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>
              <w:rPr>
                <w:szCs w:val="24"/>
              </w:rPr>
              <w:t>Negative Control: Non-reactive diluted human serum.</w:t>
            </w:r>
          </w:p>
        </w:tc>
      </w:tr>
    </w:tbl>
    <w:p w:rsidR="00D729C9" w:rsidRPr="00B60062" w:rsidRDefault="00D729C9" w:rsidP="00B60062"/>
    <w:p w:rsidR="005A6EE9" w:rsidRDefault="005A6EE9" w:rsidP="005A6EE9">
      <w:pPr>
        <w:pStyle w:val="BlockLin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7200"/>
      </w:tblGrid>
      <w:tr w:rsidR="0092596C" w:rsidTr="00E330CC">
        <w:trPr>
          <w:cantSplit/>
        </w:trPr>
        <w:tc>
          <w:tcPr>
            <w:tcW w:w="1728" w:type="dxa"/>
          </w:tcPr>
          <w:p w:rsidR="0092596C" w:rsidRDefault="0092596C" w:rsidP="0092596C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  <w:gridSpan w:val="2"/>
          </w:tcPr>
          <w:p w:rsidR="0092596C" w:rsidRDefault="0092596C" w:rsidP="0092596C">
            <w:pPr>
              <w:pStyle w:val="BlockText"/>
            </w:pPr>
            <w:r>
              <w:t xml:space="preserve">Follow the steps outlined below for </w:t>
            </w:r>
            <w:r w:rsidR="006822AA">
              <w:t>Sure-</w:t>
            </w:r>
            <w:proofErr w:type="spellStart"/>
            <w:r w:rsidR="006822AA">
              <w:t>Vue</w:t>
            </w:r>
            <w:proofErr w:type="spellEnd"/>
            <w:r w:rsidR="006822AA">
              <w:t xml:space="preserve"> </w:t>
            </w:r>
            <w:r>
              <w:t xml:space="preserve">Color </w:t>
            </w:r>
            <w:r w:rsidR="006822AA">
              <w:t xml:space="preserve"> M</w:t>
            </w:r>
            <w:r>
              <w:t>ono testing</w:t>
            </w:r>
          </w:p>
          <w:p w:rsidR="0092596C" w:rsidRDefault="0092596C" w:rsidP="0092596C">
            <w:pPr>
              <w:pStyle w:val="BlockText"/>
            </w:pPr>
          </w:p>
        </w:tc>
      </w:tr>
      <w:tr w:rsidR="009C10D5" w:rsidTr="00E330CC">
        <w:trPr>
          <w:gridBefore w:val="1"/>
          <w:wBefore w:w="1728" w:type="dxa"/>
          <w:cantSplit/>
        </w:trPr>
        <w:tc>
          <w:tcPr>
            <w:tcW w:w="8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10D5" w:rsidRPr="009C10D5" w:rsidRDefault="0092596C" w:rsidP="006822AA">
            <w:pPr>
              <w:pStyle w:val="TableHeaderText"/>
            </w:pPr>
            <w:r>
              <w:t>Sure-</w:t>
            </w:r>
            <w:proofErr w:type="spellStart"/>
            <w:r>
              <w:t>Vue</w:t>
            </w:r>
            <w:proofErr w:type="spellEnd"/>
            <w:r>
              <w:t xml:space="preserve"> Color Mono Testing</w:t>
            </w:r>
          </w:p>
        </w:tc>
      </w:tr>
      <w:tr w:rsidR="009C10D5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D5" w:rsidRDefault="009C10D5" w:rsidP="0009129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2596C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Pr="001E7855" w:rsidRDefault="0092596C" w:rsidP="009259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Bring all reagents and</w:t>
            </w:r>
            <w:r w:rsidR="00AF47E5">
              <w:rPr>
                <w:b w:val="0"/>
              </w:rPr>
              <w:t xml:space="preserve"> samples to room temperature (20</w:t>
            </w:r>
            <w:r>
              <w:rPr>
                <w:b w:val="0"/>
              </w:rPr>
              <w:t>-30 C) before testing.</w:t>
            </w:r>
          </w:p>
        </w:tc>
      </w:tr>
      <w:tr w:rsidR="0092596C" w:rsidTr="00E330CC">
        <w:trPr>
          <w:gridBefore w:val="1"/>
          <w:wBefore w:w="1728" w:type="dxa"/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Pr="001E7855" w:rsidRDefault="0092596C" w:rsidP="009259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Determine the number of separate rings that will be needed.  A separate ring will be needed for each sample and control.</w:t>
            </w:r>
          </w:p>
        </w:tc>
      </w:tr>
      <w:tr w:rsidR="0092596C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Pr="001E7855" w:rsidRDefault="0092596C" w:rsidP="009259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Shake the vial of Dyed, Color-Enhanced Horse Erythrocytes gently to uniformly mix the suspension.  Add one free falling drop of reagent to each ring in use on the slide.</w:t>
            </w:r>
          </w:p>
        </w:tc>
      </w:tr>
      <w:tr w:rsidR="0092596C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 xml:space="preserve">Using a clean pipette for each sample, place one free falling drop of undiluted specimen into center of each labeled ring.  </w:t>
            </w:r>
          </w:p>
        </w:tc>
      </w:tr>
      <w:tr w:rsidR="0092596C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AF47E5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>Infectious mononucleosis (IM) positive and negative controls are run with series of test specimens.   Place a free falling drop of negative control serum into the center of the ring labeled negative control by squeezing the dropper.  Then place a free falling drop of positive control serum into the center of the ring labeled positive control by squeezing the dropper.</w:t>
            </w:r>
          </w:p>
        </w:tc>
      </w:tr>
      <w:tr w:rsidR="0092596C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AF47E5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 xml:space="preserve">Mix the sample or control and the reagent in each circle using a </w:t>
            </w:r>
            <w:r w:rsidR="00AF47E5">
              <w:rPr>
                <w:b w:val="0"/>
              </w:rPr>
              <w:t>stirrer</w:t>
            </w:r>
            <w:r>
              <w:rPr>
                <w:b w:val="0"/>
              </w:rPr>
              <w:t xml:space="preserve"> for each sample or control</w:t>
            </w:r>
            <w:r w:rsidR="00AF47E5">
              <w:rPr>
                <w:b w:val="0"/>
              </w:rPr>
              <w:t xml:space="preserve"> covering the whole surface of the circle</w:t>
            </w:r>
            <w:proofErr w:type="gramStart"/>
            <w:r w:rsidR="00AF47E5">
              <w:rPr>
                <w:b w:val="0"/>
              </w:rPr>
              <w:t>.</w:t>
            </w:r>
            <w:r>
              <w:rPr>
                <w:b w:val="0"/>
              </w:rPr>
              <w:t>.</w:t>
            </w:r>
            <w:proofErr w:type="gramEnd"/>
          </w:p>
        </w:tc>
      </w:tr>
      <w:tr w:rsidR="0092596C" w:rsidTr="00E330CC">
        <w:trPr>
          <w:gridBefore w:val="1"/>
          <w:wBefore w:w="1728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92596C">
            <w:pPr>
              <w:pStyle w:val="TableHeaderText"/>
            </w:pPr>
            <w: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Default="0092596C" w:rsidP="00AF47E5">
            <w:pPr>
              <w:pStyle w:val="TableHeaderText"/>
              <w:jc w:val="left"/>
              <w:rPr>
                <w:b w:val="0"/>
              </w:rPr>
            </w:pPr>
            <w:r>
              <w:rPr>
                <w:b w:val="0"/>
              </w:rPr>
              <w:t xml:space="preserve">Gently rotate slide for </w:t>
            </w:r>
            <w:r w:rsidR="00AF47E5">
              <w:rPr>
                <w:b w:val="0"/>
              </w:rPr>
              <w:t>ONE minute. Then allow it to remain UNDISTURBED on a flat surface for an additional one minute</w:t>
            </w:r>
            <w:r>
              <w:rPr>
                <w:b w:val="0"/>
              </w:rPr>
              <w:t>.</w:t>
            </w:r>
            <w:r w:rsidR="00AF47E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</w:tr>
    </w:tbl>
    <w:p w:rsidR="00D1012A" w:rsidRPr="00D1012A" w:rsidRDefault="00D1012A">
      <w:pPr>
        <w:rPr>
          <w:b/>
        </w:rPr>
      </w:pPr>
      <w:r w:rsidRPr="00D1012A">
        <w:rPr>
          <w:b/>
        </w:rPr>
        <w:lastRenderedPageBreak/>
        <w:t xml:space="preserve">Procedure, </w:t>
      </w:r>
    </w:p>
    <w:p w:rsidR="00D1012A" w:rsidRPr="00D1012A" w:rsidRDefault="00D1012A">
      <w:pPr>
        <w:rPr>
          <w:b/>
        </w:rPr>
      </w:pPr>
      <w:r w:rsidRPr="00D1012A">
        <w:rPr>
          <w:b/>
        </w:rPr>
        <w:t>Continued</w:t>
      </w:r>
    </w:p>
    <w:tbl>
      <w:tblPr>
        <w:tblW w:w="8010" w:type="dxa"/>
        <w:tblInd w:w="1723" w:type="dxa"/>
        <w:tblLayout w:type="fixed"/>
        <w:tblLook w:val="0000" w:firstRow="0" w:lastRow="0" w:firstColumn="0" w:lastColumn="0" w:noHBand="0" w:noVBand="0"/>
      </w:tblPr>
      <w:tblGrid>
        <w:gridCol w:w="810"/>
        <w:gridCol w:w="7200"/>
      </w:tblGrid>
      <w:tr w:rsidR="0092596C" w:rsidTr="00D1012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C" w:rsidRPr="00D729C9" w:rsidRDefault="00AF47E5" w:rsidP="0092596C">
            <w:pPr>
              <w:tabs>
                <w:tab w:val="left" w:pos="360"/>
              </w:tabs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5" w:rsidRDefault="00AF47E5" w:rsidP="0092596C">
            <w:pPr>
              <w:tabs>
                <w:tab w:val="left" w:pos="360"/>
              </w:tabs>
            </w:pPr>
            <w:r w:rsidRPr="00AF47E5">
              <w:t>Examine immediately for agglutination and record the results.</w:t>
            </w:r>
            <w:r w:rsidRPr="00AF47E5">
              <w:t xml:space="preserve">   </w:t>
            </w:r>
          </w:p>
          <w:p w:rsidR="0092596C" w:rsidRPr="00AF47E5" w:rsidRDefault="00AF47E5" w:rsidP="0092596C">
            <w:pPr>
              <w:tabs>
                <w:tab w:val="left" w:pos="360"/>
              </w:tabs>
            </w:pPr>
            <w:r w:rsidRPr="00AF47E5">
              <w:t>Note: Strong reactions may appear within 10 seconds.</w:t>
            </w:r>
          </w:p>
        </w:tc>
      </w:tr>
      <w:bookmarkEnd w:id="0"/>
      <w:tr w:rsidR="00AF47E5" w:rsidTr="00D1012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5" w:rsidRDefault="00AF47E5" w:rsidP="0092596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5" w:rsidRPr="00AF47E5" w:rsidRDefault="00AF47E5" w:rsidP="0092596C">
            <w:pPr>
              <w:tabs>
                <w:tab w:val="left" w:pos="360"/>
              </w:tabs>
            </w:pPr>
            <w:r>
              <w:t>Log all results in Mono Test QC and Patient Log form</w:t>
            </w:r>
          </w:p>
        </w:tc>
      </w:tr>
      <w:tr w:rsidR="00AF47E5" w:rsidTr="00D1012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5" w:rsidRDefault="00AF47E5" w:rsidP="0092596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5" w:rsidRDefault="00AF47E5" w:rsidP="0092596C">
            <w:pPr>
              <w:tabs>
                <w:tab w:val="left" w:pos="360"/>
              </w:tabs>
            </w:pPr>
            <w:r>
              <w:t>Enter result manually in Cerner using Accession Result Entry.</w:t>
            </w:r>
          </w:p>
          <w:p w:rsidR="00AF47E5" w:rsidRPr="00AF47E5" w:rsidRDefault="00AF47E5" w:rsidP="0092596C">
            <w:pPr>
              <w:tabs>
                <w:tab w:val="left" w:pos="360"/>
              </w:tabs>
            </w:pPr>
            <w:r w:rsidRPr="00AF47E5">
              <w:rPr>
                <w:b/>
                <w:i/>
              </w:rPr>
              <w:t>Note:  Follow Manual result entry protocol (click perform, review results then click verify)</w:t>
            </w:r>
            <w:r>
              <w:t>.</w:t>
            </w:r>
          </w:p>
        </w:tc>
      </w:tr>
    </w:tbl>
    <w:p w:rsidR="00D05042" w:rsidRDefault="00D05042" w:rsidP="00D05042">
      <w:pPr>
        <w:pStyle w:val="BlockLine"/>
        <w:jc w:val="right"/>
        <w:rPr>
          <w:i/>
          <w:iCs/>
          <w:sz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012A" w:rsidRPr="004F5C4B" w:rsidTr="00F64847"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1012A" w:rsidRPr="00D1012A" w:rsidRDefault="00D1012A" w:rsidP="00F64847">
            <w:pPr>
              <w:jc w:val="center"/>
              <w:rPr>
                <w:b/>
                <w:szCs w:val="24"/>
              </w:rPr>
            </w:pPr>
            <w:r w:rsidRPr="00D1012A">
              <w:rPr>
                <w:b/>
                <w:szCs w:val="24"/>
              </w:rPr>
              <w:t>REFERENCE FOR INTERPRETAION OF RESULTS</w:t>
            </w:r>
          </w:p>
        </w:tc>
      </w:tr>
      <w:tr w:rsidR="00D1012A" w:rsidRPr="00462043" w:rsidTr="00F64847"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12A" w:rsidRPr="00D1012A" w:rsidRDefault="00D1012A" w:rsidP="00F64847">
            <w:pPr>
              <w:rPr>
                <w:b/>
                <w:color w:val="20CCD0"/>
                <w:szCs w:val="24"/>
              </w:rPr>
            </w:pPr>
            <w:r w:rsidRPr="00D1012A">
              <w:rPr>
                <w:b/>
                <w:color w:val="20CCD0"/>
                <w:szCs w:val="24"/>
              </w:rPr>
              <w:t>POSITIVE</w:t>
            </w:r>
          </w:p>
          <w:p w:rsidR="00D1012A" w:rsidRPr="00D1012A" w:rsidRDefault="00D1012A" w:rsidP="00D1012A">
            <w:pPr>
              <w:pStyle w:val="ListParagraph"/>
              <w:numPr>
                <w:ilvl w:val="0"/>
                <w:numId w:val="27"/>
              </w:numPr>
              <w:ind w:left="342"/>
              <w:rPr>
                <w:b/>
                <w:szCs w:val="24"/>
              </w:rPr>
            </w:pPr>
            <w:r w:rsidRPr="00D1012A">
              <w:rPr>
                <w:b/>
                <w:szCs w:val="24"/>
              </w:rPr>
              <w:t>Large clumping with clear blue-green background.</w:t>
            </w:r>
          </w:p>
          <w:p w:rsidR="00D1012A" w:rsidRPr="00D1012A" w:rsidRDefault="00D1012A" w:rsidP="00D1012A">
            <w:pPr>
              <w:pStyle w:val="ListParagraph"/>
              <w:numPr>
                <w:ilvl w:val="0"/>
                <w:numId w:val="27"/>
              </w:numPr>
              <w:ind w:left="342"/>
              <w:rPr>
                <w:b/>
                <w:szCs w:val="24"/>
              </w:rPr>
            </w:pPr>
            <w:r w:rsidRPr="00D1012A">
              <w:rPr>
                <w:b/>
                <w:szCs w:val="24"/>
              </w:rPr>
              <w:t>Mod clumping with blue-green background.</w:t>
            </w:r>
          </w:p>
          <w:p w:rsidR="00D1012A" w:rsidRPr="00D1012A" w:rsidRDefault="00D1012A" w:rsidP="00D1012A">
            <w:pPr>
              <w:pStyle w:val="ListParagraph"/>
              <w:numPr>
                <w:ilvl w:val="0"/>
                <w:numId w:val="27"/>
              </w:numPr>
              <w:ind w:left="342"/>
              <w:rPr>
                <w:b/>
                <w:szCs w:val="24"/>
              </w:rPr>
            </w:pPr>
            <w:r w:rsidRPr="00D1012A">
              <w:rPr>
                <w:b/>
                <w:szCs w:val="24"/>
              </w:rPr>
              <w:t>Small clumping with green-brown background</w:t>
            </w:r>
          </w:p>
        </w:tc>
      </w:tr>
      <w:tr w:rsidR="00D1012A" w:rsidRPr="00462043" w:rsidTr="00F6484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012A" w:rsidRPr="00D1012A" w:rsidRDefault="00D1012A" w:rsidP="00F64847">
            <w:pPr>
              <w:rPr>
                <w:b/>
                <w:color w:val="C45911" w:themeColor="accent2" w:themeShade="BF"/>
                <w:szCs w:val="24"/>
              </w:rPr>
            </w:pPr>
            <w:r w:rsidRPr="00D1012A">
              <w:rPr>
                <w:b/>
                <w:color w:val="C45911" w:themeColor="accent2" w:themeShade="BF"/>
                <w:szCs w:val="24"/>
              </w:rPr>
              <w:t>NEGATIVE</w:t>
            </w:r>
          </w:p>
          <w:p w:rsidR="00D1012A" w:rsidRPr="00D1012A" w:rsidRDefault="00D1012A" w:rsidP="00D1012A">
            <w:pPr>
              <w:pStyle w:val="ListParagraph"/>
              <w:numPr>
                <w:ilvl w:val="0"/>
                <w:numId w:val="28"/>
              </w:numPr>
              <w:ind w:left="342"/>
              <w:rPr>
                <w:szCs w:val="24"/>
              </w:rPr>
            </w:pPr>
            <w:r w:rsidRPr="00D1012A">
              <w:rPr>
                <w:b/>
                <w:szCs w:val="24"/>
              </w:rPr>
              <w:t>Roughness or not visible clumping with green-brown background</w:t>
            </w:r>
          </w:p>
        </w:tc>
      </w:tr>
    </w:tbl>
    <w:p w:rsidR="00AF47E5" w:rsidRPr="00AF47E5" w:rsidRDefault="00AF47E5" w:rsidP="00AF47E5"/>
    <w:p w:rsidR="00AF47E5" w:rsidRDefault="00AF47E5" w:rsidP="00AF47E5"/>
    <w:p w:rsidR="00AF47E5" w:rsidRDefault="00AF47E5" w:rsidP="00AF47E5"/>
    <w:p w:rsidR="00AF47E5" w:rsidRPr="00AF47E5" w:rsidRDefault="00AF47E5" w:rsidP="00AF47E5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7E257B" w:rsidTr="001372D7">
        <w:trPr>
          <w:cantSplit/>
        </w:trPr>
        <w:tc>
          <w:tcPr>
            <w:tcW w:w="1728" w:type="dxa"/>
          </w:tcPr>
          <w:p w:rsidR="007E257B" w:rsidRPr="00781F79" w:rsidRDefault="00D729C9" w:rsidP="001372D7">
            <w:pPr>
              <w:pStyle w:val="Heading5"/>
            </w:pPr>
            <w:r>
              <w:t>Reference</w:t>
            </w:r>
          </w:p>
        </w:tc>
        <w:tc>
          <w:tcPr>
            <w:tcW w:w="801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7E257B" w:rsidTr="001372D7">
              <w:tc>
                <w:tcPr>
                  <w:tcW w:w="2407" w:type="dxa"/>
                  <w:shd w:val="clear" w:color="auto" w:fill="auto"/>
                </w:tcPr>
                <w:p w:rsidR="007E257B" w:rsidRPr="007D3E52" w:rsidRDefault="007E257B" w:rsidP="007E257B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7E257B" w:rsidRPr="007D3E52" w:rsidRDefault="007E257B" w:rsidP="007E257B">
                  <w:pPr>
                    <w:pStyle w:val="BlockText"/>
                    <w:rPr>
                      <w:b/>
                    </w:rPr>
                  </w:pPr>
                  <w:r w:rsidRPr="007D3E52">
                    <w:rPr>
                      <w:b/>
                    </w:rPr>
                    <w:t>Document Name</w:t>
                  </w:r>
                </w:p>
              </w:tc>
            </w:tr>
            <w:tr w:rsidR="007E257B" w:rsidTr="001372D7">
              <w:tc>
                <w:tcPr>
                  <w:tcW w:w="2407" w:type="dxa"/>
                  <w:shd w:val="clear" w:color="auto" w:fill="auto"/>
                </w:tcPr>
                <w:p w:rsidR="007E257B" w:rsidRDefault="00AB035B" w:rsidP="00AB035B">
                  <w:pPr>
                    <w:pStyle w:val="BlockText"/>
                  </w:pPr>
                  <w: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7E257B" w:rsidRDefault="007E257B" w:rsidP="007E257B">
                  <w:pPr>
                    <w:pStyle w:val="BlockText"/>
                    <w:jc w:val="left"/>
                  </w:pPr>
                  <w:r>
                    <w:t>Safety Practices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Infection Control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Universal Body Substance Precaution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 w:rsidRPr="00C01AA8">
                    <w:t>LAMC-PPP-012</w:t>
                  </w:r>
                  <w:r>
                    <w:t>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Handling of Regular and Infectious Waste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Cleaning Work Areas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Hand-washing Policy</w:t>
                  </w:r>
                </w:p>
              </w:tc>
            </w:tr>
            <w:tr w:rsidR="00AB035B" w:rsidTr="001372D7">
              <w:tc>
                <w:tcPr>
                  <w:tcW w:w="2407" w:type="dxa"/>
                  <w:shd w:val="clear" w:color="auto" w:fill="auto"/>
                </w:tcPr>
                <w:p w:rsidR="00AB035B" w:rsidRDefault="00AB035B" w:rsidP="00AB035B">
                  <w:pPr>
                    <w:jc w:val="center"/>
                  </w:pPr>
                  <w: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:rsidR="00AB035B" w:rsidRDefault="00AB035B" w:rsidP="00AB035B">
                  <w:pPr>
                    <w:pStyle w:val="BlockText"/>
                    <w:jc w:val="left"/>
                  </w:pPr>
                  <w:r>
                    <w:t>Storage and Disposal of Chemical Hazardous Waste</w:t>
                  </w:r>
                </w:p>
              </w:tc>
            </w:tr>
            <w:tr w:rsidR="00D1012A" w:rsidTr="001372D7">
              <w:tc>
                <w:tcPr>
                  <w:tcW w:w="2407" w:type="dxa"/>
                  <w:shd w:val="clear" w:color="auto" w:fill="auto"/>
                </w:tcPr>
                <w:p w:rsidR="00D1012A" w:rsidRDefault="00D1012A" w:rsidP="00AB035B">
                  <w:pPr>
                    <w:jc w:val="center"/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:rsidR="00D1012A" w:rsidRDefault="00D1012A" w:rsidP="00AB035B">
                  <w:pPr>
                    <w:pStyle w:val="BlockText"/>
                    <w:jc w:val="left"/>
                  </w:pPr>
                  <w:r>
                    <w:t>Sure-</w:t>
                  </w:r>
                  <w:proofErr w:type="spellStart"/>
                  <w:r>
                    <w:t>Vue</w:t>
                  </w:r>
                  <w:proofErr w:type="spellEnd"/>
                  <w:r>
                    <w:t xml:space="preserve"> Color Mono Insert</w:t>
                  </w:r>
                </w:p>
              </w:tc>
            </w:tr>
          </w:tbl>
          <w:p w:rsidR="007E257B" w:rsidRPr="00D05042" w:rsidRDefault="007E257B" w:rsidP="001372D7">
            <w:pPr>
              <w:rPr>
                <w:szCs w:val="24"/>
              </w:rPr>
            </w:pPr>
          </w:p>
        </w:tc>
      </w:tr>
    </w:tbl>
    <w:p w:rsidR="00D531D1" w:rsidRDefault="00D531D1" w:rsidP="00D531D1"/>
    <w:p w:rsidR="00D531D1" w:rsidRDefault="00D531D1" w:rsidP="00D531D1"/>
    <w:p w:rsidR="00D531D1" w:rsidRPr="00D531D1" w:rsidRDefault="00D531D1" w:rsidP="00D531D1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A6171E">
        <w:trPr>
          <w:cantSplit/>
        </w:trPr>
        <w:tc>
          <w:tcPr>
            <w:tcW w:w="1728" w:type="dxa"/>
          </w:tcPr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F06DB2" w:rsidRPr="00D05042" w:rsidRDefault="00A4065F" w:rsidP="00F06DB2">
            <w:pPr>
              <w:rPr>
                <w:szCs w:val="24"/>
              </w:rPr>
            </w:pPr>
            <w:r>
              <w:rPr>
                <w:szCs w:val="24"/>
              </w:rPr>
              <w:t>Alvin Castillo</w:t>
            </w:r>
          </w:p>
          <w:p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:rsidR="004B28D4" w:rsidRDefault="004B28D4" w:rsidP="00D26AE2"/>
    <w:p w:rsidR="004B28D4" w:rsidRDefault="004B28D4" w:rsidP="00D26AE2"/>
    <w:p w:rsidR="004B28D4" w:rsidRDefault="004B28D4" w:rsidP="00D26AE2"/>
    <w:p w:rsidR="004B28D4" w:rsidRDefault="004B28D4" w:rsidP="00D26AE2"/>
    <w:sectPr w:rsidR="004B28D4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91" w:rsidRDefault="00AC2091">
      <w:r>
        <w:separator/>
      </w:r>
    </w:p>
  </w:endnote>
  <w:endnote w:type="continuationSeparator" w:id="0">
    <w:p w:rsidR="00AC2091" w:rsidRDefault="00A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6" w:rsidRDefault="00637656" w:rsidP="0037374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D1012A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D1012A">
      <w:rPr>
        <w:i/>
        <w:noProof/>
        <w:snapToGrid w:val="0"/>
        <w:sz w:val="20"/>
      </w:rPr>
      <w:instrText>3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="00D1012A">
      <w:rPr>
        <w:i/>
        <w:snapToGrid w:val="0"/>
        <w:sz w:val="20"/>
      </w:rPr>
      <w:fldChar w:fldCharType="separate"/>
    </w:r>
    <w:r w:rsidR="00D1012A" w:rsidRPr="00637656">
      <w:rPr>
        <w:i/>
        <w:noProof/>
      </w:rPr>
      <w:t xml:space="preserve"> </w:t>
    </w:r>
    <w:r w:rsidR="00D1012A" w:rsidRPr="00637656">
      <w:rPr>
        <w:i/>
        <w:noProof/>
        <w:snapToGrid w:val="0"/>
        <w:sz w:val="20"/>
      </w:rPr>
      <w:t>Continued on next page</w:t>
    </w:r>
    <w:r w:rsidRPr="00637656">
      <w:rPr>
        <w:i/>
        <w:snapToGrid w:val="0"/>
        <w:sz w:val="20"/>
      </w:rPr>
      <w:fldChar w:fldCharType="end"/>
    </w:r>
  </w:p>
  <w:p w:rsidR="00637656" w:rsidRPr="00637656" w:rsidRDefault="00637656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i/>
        <w:snapToGrid w:val="0"/>
        <w:sz w:val="20"/>
      </w:rPr>
    </w:pPr>
  </w:p>
  <w:p w:rsidR="00D0664E" w:rsidRPr="00C95BA9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D1012A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D1012A">
      <w:rPr>
        <w:rStyle w:val="PageNumber"/>
        <w:rFonts w:ascii="Arial" w:hAnsi="Arial" w:cs="Arial"/>
        <w:noProof/>
        <w:sz w:val="20"/>
      </w:rPr>
      <w:t>3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91" w:rsidRDefault="00AC2091">
      <w:r>
        <w:separator/>
      </w:r>
    </w:p>
  </w:footnote>
  <w:footnote w:type="continuationSeparator" w:id="0">
    <w:p w:rsidR="00AC2091" w:rsidRDefault="00AC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AC7F63" w:rsidRPr="00B9218C" w:rsidTr="008D59CB">
      <w:tc>
        <w:tcPr>
          <w:tcW w:w="2605" w:type="dxa"/>
        </w:tcPr>
        <w:p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25757B" w:rsidRPr="00B9218C" w:rsidRDefault="000C4B97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4900 SCPMG Obstetrics and Gynecology - Infertility</w:t>
          </w:r>
        </w:p>
        <w:p w:rsidR="0025757B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Los Angeles</w:t>
          </w:r>
        </w:p>
        <w:p w:rsidR="00AC7F63" w:rsidRPr="00B9218C" w:rsidRDefault="0025757B" w:rsidP="0025757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92596C" w:rsidRDefault="0092596C" w:rsidP="0092596C">
    <w:pPr>
      <w:pStyle w:val="Heading4"/>
    </w:pPr>
    <w:r>
      <w:t xml:space="preserve">QUALITATIVE COLOR MONO AGGLUTINATION TEST, BY </w:t>
    </w:r>
    <w:r>
      <w:t>SURE-VUE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CCB"/>
    <w:multiLevelType w:val="hybridMultilevel"/>
    <w:tmpl w:val="E5080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C206B21"/>
    <w:multiLevelType w:val="hybridMultilevel"/>
    <w:tmpl w:val="20C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176D6909"/>
    <w:multiLevelType w:val="hybridMultilevel"/>
    <w:tmpl w:val="99CE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0DD3"/>
    <w:multiLevelType w:val="hybridMultilevel"/>
    <w:tmpl w:val="02F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542E"/>
    <w:multiLevelType w:val="hybridMultilevel"/>
    <w:tmpl w:val="44A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DC4701D"/>
    <w:multiLevelType w:val="hybridMultilevel"/>
    <w:tmpl w:val="229C3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D3BE9A1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3F9D"/>
    <w:multiLevelType w:val="hybridMultilevel"/>
    <w:tmpl w:val="D382BFFC"/>
    <w:lvl w:ilvl="0" w:tplc="ADB0C7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24F0"/>
    <w:multiLevelType w:val="hybridMultilevel"/>
    <w:tmpl w:val="21E80394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5428"/>
    <w:multiLevelType w:val="hybridMultilevel"/>
    <w:tmpl w:val="85F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C9344F"/>
    <w:multiLevelType w:val="hybridMultilevel"/>
    <w:tmpl w:val="E608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40E4695"/>
    <w:multiLevelType w:val="multilevel"/>
    <w:tmpl w:val="1ED4EC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7502883"/>
    <w:multiLevelType w:val="hybridMultilevel"/>
    <w:tmpl w:val="7BDC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1D4C">
      <w:start w:val="2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A4339"/>
    <w:multiLevelType w:val="hybridMultilevel"/>
    <w:tmpl w:val="2A10F46E"/>
    <w:lvl w:ilvl="0" w:tplc="66A40194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727E"/>
    <w:multiLevelType w:val="hybridMultilevel"/>
    <w:tmpl w:val="20F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E3BA3"/>
    <w:multiLevelType w:val="hybridMultilevel"/>
    <w:tmpl w:val="5180F15A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4420F9"/>
    <w:multiLevelType w:val="hybridMultilevel"/>
    <w:tmpl w:val="624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5141"/>
    <w:multiLevelType w:val="multilevel"/>
    <w:tmpl w:val="10DAEB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451698"/>
    <w:multiLevelType w:val="hybridMultilevel"/>
    <w:tmpl w:val="E3D02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21"/>
  </w:num>
  <w:num w:numId="8">
    <w:abstractNumId w:val="9"/>
  </w:num>
  <w:num w:numId="9">
    <w:abstractNumId w:val="10"/>
  </w:num>
  <w:num w:numId="10">
    <w:abstractNumId w:val="17"/>
  </w:num>
  <w:num w:numId="11">
    <w:abstractNumId w:val="18"/>
  </w:num>
  <w:num w:numId="12">
    <w:abstractNumId w:val="0"/>
  </w:num>
  <w:num w:numId="13">
    <w:abstractNumId w:val="27"/>
  </w:num>
  <w:num w:numId="14">
    <w:abstractNumId w:val="26"/>
  </w:num>
  <w:num w:numId="15">
    <w:abstractNumId w:val="19"/>
  </w:num>
  <w:num w:numId="16">
    <w:abstractNumId w:val="12"/>
  </w:num>
  <w:num w:numId="17">
    <w:abstractNumId w:val="23"/>
  </w:num>
  <w:num w:numId="18">
    <w:abstractNumId w:val="22"/>
  </w:num>
  <w:num w:numId="19">
    <w:abstractNumId w:val="25"/>
  </w:num>
  <w:num w:numId="20">
    <w:abstractNumId w:val="6"/>
  </w:num>
  <w:num w:numId="21">
    <w:abstractNumId w:val="7"/>
  </w:num>
  <w:num w:numId="22">
    <w:abstractNumId w:val="13"/>
  </w:num>
  <w:num w:numId="23">
    <w:abstractNumId w:val="11"/>
  </w:num>
  <w:num w:numId="24">
    <w:abstractNumId w:val="24"/>
  </w:num>
  <w:num w:numId="25">
    <w:abstractNumId w:val="20"/>
  </w:num>
  <w:num w:numId="26">
    <w:abstractNumId w:val="2"/>
  </w:num>
  <w:num w:numId="27">
    <w:abstractNumId w:val="16"/>
  </w:num>
  <w:num w:numId="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07C0"/>
    <w:rsid w:val="000174C7"/>
    <w:rsid w:val="00036CF5"/>
    <w:rsid w:val="00042DAA"/>
    <w:rsid w:val="00047EF7"/>
    <w:rsid w:val="0005528B"/>
    <w:rsid w:val="00056877"/>
    <w:rsid w:val="000728C4"/>
    <w:rsid w:val="0009129B"/>
    <w:rsid w:val="000953A5"/>
    <w:rsid w:val="000C3FDD"/>
    <w:rsid w:val="000C4B97"/>
    <w:rsid w:val="000D0F87"/>
    <w:rsid w:val="000E3F47"/>
    <w:rsid w:val="000F3098"/>
    <w:rsid w:val="00101B9E"/>
    <w:rsid w:val="00103AE5"/>
    <w:rsid w:val="00107263"/>
    <w:rsid w:val="0010773B"/>
    <w:rsid w:val="0010795C"/>
    <w:rsid w:val="00130C26"/>
    <w:rsid w:val="00130D9F"/>
    <w:rsid w:val="00132B4B"/>
    <w:rsid w:val="00133FA5"/>
    <w:rsid w:val="00134C53"/>
    <w:rsid w:val="00137FEF"/>
    <w:rsid w:val="001406A5"/>
    <w:rsid w:val="00144E3A"/>
    <w:rsid w:val="00163A1F"/>
    <w:rsid w:val="0018670E"/>
    <w:rsid w:val="00192DE5"/>
    <w:rsid w:val="001A14EE"/>
    <w:rsid w:val="00207CFE"/>
    <w:rsid w:val="00211546"/>
    <w:rsid w:val="00222FE8"/>
    <w:rsid w:val="00232612"/>
    <w:rsid w:val="00232E81"/>
    <w:rsid w:val="002363E4"/>
    <w:rsid w:val="0025757B"/>
    <w:rsid w:val="00263C22"/>
    <w:rsid w:val="0027013C"/>
    <w:rsid w:val="00270793"/>
    <w:rsid w:val="00273CCB"/>
    <w:rsid w:val="002A0EA3"/>
    <w:rsid w:val="002A79D0"/>
    <w:rsid w:val="002C0560"/>
    <w:rsid w:val="002C1AC8"/>
    <w:rsid w:val="002C3C99"/>
    <w:rsid w:val="002C46A4"/>
    <w:rsid w:val="002E0623"/>
    <w:rsid w:val="00302013"/>
    <w:rsid w:val="003114DA"/>
    <w:rsid w:val="003166A2"/>
    <w:rsid w:val="00334141"/>
    <w:rsid w:val="00334224"/>
    <w:rsid w:val="003347F0"/>
    <w:rsid w:val="003454E3"/>
    <w:rsid w:val="00346DB9"/>
    <w:rsid w:val="003471B5"/>
    <w:rsid w:val="00365A64"/>
    <w:rsid w:val="00373740"/>
    <w:rsid w:val="00377806"/>
    <w:rsid w:val="003805DB"/>
    <w:rsid w:val="003812BA"/>
    <w:rsid w:val="00384A92"/>
    <w:rsid w:val="00390C1A"/>
    <w:rsid w:val="00397DEF"/>
    <w:rsid w:val="003A7308"/>
    <w:rsid w:val="003C508E"/>
    <w:rsid w:val="003C6786"/>
    <w:rsid w:val="003E40F0"/>
    <w:rsid w:val="003F0A0D"/>
    <w:rsid w:val="003F66C6"/>
    <w:rsid w:val="004160B3"/>
    <w:rsid w:val="00433D1F"/>
    <w:rsid w:val="00440B6B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B28D4"/>
    <w:rsid w:val="004C1667"/>
    <w:rsid w:val="004C1AD2"/>
    <w:rsid w:val="004C1B71"/>
    <w:rsid w:val="005011D5"/>
    <w:rsid w:val="00504B96"/>
    <w:rsid w:val="0050518A"/>
    <w:rsid w:val="005133FE"/>
    <w:rsid w:val="00544E86"/>
    <w:rsid w:val="00595006"/>
    <w:rsid w:val="005A6643"/>
    <w:rsid w:val="005A6674"/>
    <w:rsid w:val="005A6EE9"/>
    <w:rsid w:val="005B1E7F"/>
    <w:rsid w:val="005F2ABD"/>
    <w:rsid w:val="005F3E96"/>
    <w:rsid w:val="00605DCB"/>
    <w:rsid w:val="0061079E"/>
    <w:rsid w:val="00611F3E"/>
    <w:rsid w:val="00620A2D"/>
    <w:rsid w:val="00633012"/>
    <w:rsid w:val="00637656"/>
    <w:rsid w:val="00677481"/>
    <w:rsid w:val="006822AA"/>
    <w:rsid w:val="00696ABF"/>
    <w:rsid w:val="006A107B"/>
    <w:rsid w:val="006A72CD"/>
    <w:rsid w:val="006C4C9A"/>
    <w:rsid w:val="006D60D0"/>
    <w:rsid w:val="006E67E1"/>
    <w:rsid w:val="00700D63"/>
    <w:rsid w:val="00706B6E"/>
    <w:rsid w:val="00707CAE"/>
    <w:rsid w:val="0075494B"/>
    <w:rsid w:val="00760854"/>
    <w:rsid w:val="00762690"/>
    <w:rsid w:val="00763747"/>
    <w:rsid w:val="00774558"/>
    <w:rsid w:val="00781F79"/>
    <w:rsid w:val="00787027"/>
    <w:rsid w:val="00797B8C"/>
    <w:rsid w:val="007A0607"/>
    <w:rsid w:val="007A4A1C"/>
    <w:rsid w:val="007A5962"/>
    <w:rsid w:val="007B0208"/>
    <w:rsid w:val="007B069A"/>
    <w:rsid w:val="007B606D"/>
    <w:rsid w:val="007B608F"/>
    <w:rsid w:val="007B620E"/>
    <w:rsid w:val="007C1C2C"/>
    <w:rsid w:val="007C1D1E"/>
    <w:rsid w:val="007D3D83"/>
    <w:rsid w:val="007D5433"/>
    <w:rsid w:val="007E0843"/>
    <w:rsid w:val="007E257B"/>
    <w:rsid w:val="007E2A47"/>
    <w:rsid w:val="007E651E"/>
    <w:rsid w:val="00801686"/>
    <w:rsid w:val="00803536"/>
    <w:rsid w:val="00821E6D"/>
    <w:rsid w:val="0082621B"/>
    <w:rsid w:val="008415B6"/>
    <w:rsid w:val="008432AD"/>
    <w:rsid w:val="00845835"/>
    <w:rsid w:val="00855FAF"/>
    <w:rsid w:val="0088237F"/>
    <w:rsid w:val="00883D0A"/>
    <w:rsid w:val="0088433C"/>
    <w:rsid w:val="00885E0C"/>
    <w:rsid w:val="0089105A"/>
    <w:rsid w:val="008C29BB"/>
    <w:rsid w:val="008C45FE"/>
    <w:rsid w:val="008D4E7A"/>
    <w:rsid w:val="00925076"/>
    <w:rsid w:val="0092596C"/>
    <w:rsid w:val="00936C1B"/>
    <w:rsid w:val="0094018B"/>
    <w:rsid w:val="009451A0"/>
    <w:rsid w:val="00947B7E"/>
    <w:rsid w:val="009647A8"/>
    <w:rsid w:val="00964A5C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C10D5"/>
    <w:rsid w:val="009C4605"/>
    <w:rsid w:val="009E0BB9"/>
    <w:rsid w:val="009E6162"/>
    <w:rsid w:val="00A10B4E"/>
    <w:rsid w:val="00A14DC0"/>
    <w:rsid w:val="00A14F18"/>
    <w:rsid w:val="00A2202A"/>
    <w:rsid w:val="00A241DE"/>
    <w:rsid w:val="00A3670D"/>
    <w:rsid w:val="00A4015E"/>
    <w:rsid w:val="00A4065F"/>
    <w:rsid w:val="00A60B08"/>
    <w:rsid w:val="00A6171E"/>
    <w:rsid w:val="00A6192E"/>
    <w:rsid w:val="00A66379"/>
    <w:rsid w:val="00A8143D"/>
    <w:rsid w:val="00A9634B"/>
    <w:rsid w:val="00AA2C0B"/>
    <w:rsid w:val="00AB035B"/>
    <w:rsid w:val="00AB4147"/>
    <w:rsid w:val="00AB4889"/>
    <w:rsid w:val="00AC2091"/>
    <w:rsid w:val="00AC231D"/>
    <w:rsid w:val="00AC7F63"/>
    <w:rsid w:val="00AD1CD4"/>
    <w:rsid w:val="00AD6204"/>
    <w:rsid w:val="00AE303D"/>
    <w:rsid w:val="00AF10E7"/>
    <w:rsid w:val="00AF47E5"/>
    <w:rsid w:val="00B03F26"/>
    <w:rsid w:val="00B045E7"/>
    <w:rsid w:val="00B14A3D"/>
    <w:rsid w:val="00B1537F"/>
    <w:rsid w:val="00B16284"/>
    <w:rsid w:val="00B50BFF"/>
    <w:rsid w:val="00B559BC"/>
    <w:rsid w:val="00B57DAA"/>
    <w:rsid w:val="00B60062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45269"/>
    <w:rsid w:val="00C60114"/>
    <w:rsid w:val="00C604D8"/>
    <w:rsid w:val="00C60ECB"/>
    <w:rsid w:val="00C66F6C"/>
    <w:rsid w:val="00C75F4B"/>
    <w:rsid w:val="00C80C96"/>
    <w:rsid w:val="00C84E28"/>
    <w:rsid w:val="00C87487"/>
    <w:rsid w:val="00C95BA9"/>
    <w:rsid w:val="00CA0A63"/>
    <w:rsid w:val="00CA67B8"/>
    <w:rsid w:val="00CC02CC"/>
    <w:rsid w:val="00CC0ED8"/>
    <w:rsid w:val="00CC70BE"/>
    <w:rsid w:val="00CD6FE3"/>
    <w:rsid w:val="00CE1C69"/>
    <w:rsid w:val="00CE462F"/>
    <w:rsid w:val="00CE4A7F"/>
    <w:rsid w:val="00D01157"/>
    <w:rsid w:val="00D033EB"/>
    <w:rsid w:val="00D05042"/>
    <w:rsid w:val="00D0664E"/>
    <w:rsid w:val="00D1012A"/>
    <w:rsid w:val="00D20336"/>
    <w:rsid w:val="00D205F2"/>
    <w:rsid w:val="00D239DF"/>
    <w:rsid w:val="00D24697"/>
    <w:rsid w:val="00D26AE2"/>
    <w:rsid w:val="00D32C36"/>
    <w:rsid w:val="00D4361C"/>
    <w:rsid w:val="00D44AFA"/>
    <w:rsid w:val="00D531D1"/>
    <w:rsid w:val="00D6360E"/>
    <w:rsid w:val="00D64FEA"/>
    <w:rsid w:val="00D729C9"/>
    <w:rsid w:val="00D8329C"/>
    <w:rsid w:val="00D90CBE"/>
    <w:rsid w:val="00DA1F32"/>
    <w:rsid w:val="00DC3744"/>
    <w:rsid w:val="00DC5BE1"/>
    <w:rsid w:val="00DD53EF"/>
    <w:rsid w:val="00DE223A"/>
    <w:rsid w:val="00DE398C"/>
    <w:rsid w:val="00E301AE"/>
    <w:rsid w:val="00E330CC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016C"/>
    <w:rsid w:val="00FB1920"/>
    <w:rsid w:val="00FB6F06"/>
    <w:rsid w:val="00FC47C8"/>
    <w:rsid w:val="00FE2E18"/>
    <w:rsid w:val="00FF0823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uiPriority w:val="59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customStyle="1" w:styleId="Default">
    <w:name w:val="Default"/>
    <w:rsid w:val="00AB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C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2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2B4B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Block Label Char"/>
    <w:link w:val="Heading5"/>
    <w:locked/>
    <w:rsid w:val="004B28D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C"/>
    <w:rsid w:val="000A19B4"/>
    <w:rsid w:val="000A5357"/>
    <w:rsid w:val="001113CE"/>
    <w:rsid w:val="002C3A63"/>
    <w:rsid w:val="00302917"/>
    <w:rsid w:val="00311BF6"/>
    <w:rsid w:val="00441A49"/>
    <w:rsid w:val="00503C9E"/>
    <w:rsid w:val="005A495C"/>
    <w:rsid w:val="0067123A"/>
    <w:rsid w:val="00856328"/>
    <w:rsid w:val="008F2A2C"/>
    <w:rsid w:val="009E2D04"/>
    <w:rsid w:val="00A8409A"/>
    <w:rsid w:val="00BA5A27"/>
    <w:rsid w:val="00CD2384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16C482463E234E66969DB713D15F77DF">
    <w:name w:val="16C482463E234E66969DB713D15F77DF"/>
    <w:rsid w:val="008F2A2C"/>
  </w:style>
  <w:style w:type="paragraph" w:customStyle="1" w:styleId="EEC54C85750743E5BA3690A89C75AF32">
    <w:name w:val="EEC54C85750743E5BA3690A89C75AF32"/>
    <w:rsid w:val="00BA5A27"/>
  </w:style>
  <w:style w:type="paragraph" w:customStyle="1" w:styleId="EEC54C85750743E5BA3690A89C75AF321">
    <w:name w:val="EEC54C85750743E5BA3690A89C75AF321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35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3</cp:revision>
  <cp:lastPrinted>2017-03-06T18:43:00Z</cp:lastPrinted>
  <dcterms:created xsi:type="dcterms:W3CDTF">2017-03-17T14:23:00Z</dcterms:created>
  <dcterms:modified xsi:type="dcterms:W3CDTF">2017-03-17T14:58:00Z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17 Nov 2016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B114810</vt:lpwstr>
  </property>
  <property fmtid="{D5CDD505-2E9C-101B-9397-08002B2CF9AE}" pid="10" name="MC_Title">
    <vt:lpwstr>LIAT PCR</vt:lpwstr>
  </property>
  <property fmtid="{D5CDD505-2E9C-101B-9397-08002B2CF9AE}" pid="11" name="MC_Notes">
    <vt:lpwstr/>
  </property>
  <property fmtid="{D5CDD505-2E9C-101B-9397-08002B2CF9AE}" pid="12" name="MC_Number">
    <vt:lpwstr>LAMC-PPP-0363</vt:lpwstr>
  </property>
  <property fmtid="{D5CDD505-2E9C-101B-9397-08002B2CF9AE}" pid="13" name="MC_Author">
    <vt:lpwstr>B114810</vt:lpwstr>
  </property>
  <property fmtid="{D5CDD505-2E9C-101B-9397-08002B2CF9AE}" pid="14" name="MC_Vault">
    <vt:lpwstr>LAMC-dft</vt:lpwstr>
  </property>
  <property fmtid="{D5CDD505-2E9C-101B-9397-08002B2CF9AE}" pid="15" name="MC_CF_Med Center Heme Bench (Old)">
    <vt:lpwstr>HE Manual</vt:lpwstr>
  </property>
</Properties>
</file>