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10006" w:type="dxa"/>
        <w:tblLayout w:type="fixed"/>
        <w:tblLook w:val="0000" w:firstRow="0" w:lastRow="0" w:firstColumn="0" w:lastColumn="0" w:noHBand="0" w:noVBand="0"/>
      </w:tblPr>
      <w:tblGrid>
        <w:gridCol w:w="1774"/>
        <w:gridCol w:w="8232"/>
      </w:tblGrid>
      <w:tr w:rsidR="00D0664E" w:rsidTr="00C85B6B">
        <w:trPr>
          <w:cantSplit/>
          <w:trHeight w:val="550"/>
        </w:trPr>
        <w:tc>
          <w:tcPr>
            <w:tcW w:w="1774" w:type="dxa"/>
          </w:tcPr>
          <w:p w:rsidR="006A107B" w:rsidRDefault="006A107B" w:rsidP="006A107B">
            <w:pPr>
              <w:pStyle w:val="Heading5"/>
            </w:pPr>
            <w:r>
              <w:t>Purpose or Principle or Introduction</w:t>
            </w:r>
          </w:p>
          <w:p w:rsidR="00EB027B" w:rsidRDefault="00EB027B">
            <w:pPr>
              <w:pStyle w:val="Heading5"/>
            </w:pPr>
          </w:p>
          <w:p w:rsidR="00D0664E" w:rsidRPr="00EC7C99" w:rsidRDefault="00D0664E">
            <w:pPr>
              <w:pStyle w:val="Heading5"/>
              <w:rPr>
                <w:szCs w:val="22"/>
              </w:rPr>
            </w:pPr>
          </w:p>
        </w:tc>
        <w:tc>
          <w:tcPr>
            <w:tcW w:w="8232" w:type="dxa"/>
          </w:tcPr>
          <w:p w:rsidR="00C85B6B" w:rsidRDefault="00C85B6B" w:rsidP="002A79D0">
            <w:pPr>
              <w:rPr>
                <w:szCs w:val="24"/>
              </w:rPr>
            </w:pPr>
            <w:r w:rsidRPr="006B20AA">
              <w:rPr>
                <w:sz w:val="22"/>
              </w:rPr>
              <w:t xml:space="preserve">The </w:t>
            </w:r>
            <w:proofErr w:type="spellStart"/>
            <w:r w:rsidRPr="006B20AA">
              <w:rPr>
                <w:sz w:val="22"/>
              </w:rPr>
              <w:t>Binax</w:t>
            </w:r>
            <w:proofErr w:type="spellEnd"/>
            <w:r w:rsidRPr="006B20AA">
              <w:rPr>
                <w:sz w:val="22"/>
              </w:rPr>
              <w:t xml:space="preserve"> NOW</w:t>
            </w:r>
            <w:r w:rsidRPr="006B20AA">
              <w:rPr>
                <w:b/>
                <w:sz w:val="22"/>
                <w:vertAlign w:val="superscript"/>
              </w:rPr>
              <w:t>®</w:t>
            </w:r>
            <w:r w:rsidRPr="006B20AA">
              <w:rPr>
                <w:sz w:val="22"/>
              </w:rPr>
              <w:t xml:space="preserve"> </w:t>
            </w:r>
            <w:r w:rsidRPr="006B20AA">
              <w:rPr>
                <w:i/>
                <w:iCs/>
                <w:sz w:val="22"/>
              </w:rPr>
              <w:t xml:space="preserve">Streptococcus </w:t>
            </w:r>
            <w:proofErr w:type="spellStart"/>
            <w:r w:rsidRPr="006B20AA">
              <w:rPr>
                <w:i/>
                <w:iCs/>
                <w:sz w:val="22"/>
              </w:rPr>
              <w:t>pneumoniae</w:t>
            </w:r>
            <w:proofErr w:type="spellEnd"/>
            <w:r w:rsidRPr="006B20AA">
              <w:rPr>
                <w:i/>
                <w:iCs/>
                <w:sz w:val="22"/>
              </w:rPr>
              <w:t xml:space="preserve"> </w:t>
            </w:r>
            <w:r w:rsidRPr="006B20AA">
              <w:rPr>
                <w:sz w:val="22"/>
              </w:rPr>
              <w:t xml:space="preserve">Test is a moderately complex </w:t>
            </w:r>
            <w:r w:rsidRPr="006B20AA">
              <w:rPr>
                <w:i/>
                <w:iCs/>
                <w:sz w:val="22"/>
              </w:rPr>
              <w:t xml:space="preserve">in vitro </w:t>
            </w:r>
            <w:r w:rsidRPr="006B20AA">
              <w:rPr>
                <w:sz w:val="22"/>
              </w:rPr>
              <w:t xml:space="preserve">rapid </w:t>
            </w:r>
            <w:proofErr w:type="spellStart"/>
            <w:r w:rsidRPr="006B20AA">
              <w:rPr>
                <w:sz w:val="22"/>
              </w:rPr>
              <w:t>immunochromatographic</w:t>
            </w:r>
            <w:proofErr w:type="spellEnd"/>
            <w:r w:rsidRPr="006B20AA">
              <w:rPr>
                <w:sz w:val="22"/>
              </w:rPr>
              <w:t xml:space="preserve"> [ICT] assay for the detection of </w:t>
            </w:r>
            <w:r w:rsidRPr="006B20AA">
              <w:rPr>
                <w:i/>
                <w:iCs/>
                <w:sz w:val="22"/>
              </w:rPr>
              <w:t xml:space="preserve">Streptococcus </w:t>
            </w:r>
            <w:proofErr w:type="spellStart"/>
            <w:r w:rsidRPr="006B20AA">
              <w:rPr>
                <w:i/>
                <w:iCs/>
                <w:sz w:val="22"/>
              </w:rPr>
              <w:t>pneumoniae</w:t>
            </w:r>
            <w:proofErr w:type="spellEnd"/>
            <w:r w:rsidRPr="006B20AA">
              <w:rPr>
                <w:i/>
                <w:iCs/>
                <w:sz w:val="22"/>
              </w:rPr>
              <w:t xml:space="preserve"> [S. </w:t>
            </w:r>
            <w:proofErr w:type="spellStart"/>
            <w:r w:rsidRPr="006B20AA">
              <w:rPr>
                <w:i/>
                <w:iCs/>
                <w:sz w:val="22"/>
              </w:rPr>
              <w:t>pneumoniae</w:t>
            </w:r>
            <w:proofErr w:type="spellEnd"/>
            <w:r w:rsidRPr="006B20AA">
              <w:rPr>
                <w:i/>
                <w:iCs/>
                <w:sz w:val="22"/>
              </w:rPr>
              <w:t>]</w:t>
            </w:r>
            <w:r w:rsidRPr="006B20AA">
              <w:rPr>
                <w:sz w:val="22"/>
              </w:rPr>
              <w:t xml:space="preserve"> antigen in the urine of patients with pneumonia</w:t>
            </w:r>
          </w:p>
          <w:p w:rsidR="002A79D0" w:rsidRPr="00C85B6B" w:rsidRDefault="002A79D0" w:rsidP="00C85B6B">
            <w:pPr>
              <w:ind w:firstLine="720"/>
              <w:rPr>
                <w:szCs w:val="24"/>
              </w:rPr>
            </w:pPr>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A3670D" w:rsidTr="00D32C36">
        <w:trPr>
          <w:cantSplit/>
        </w:trPr>
        <w:tc>
          <w:tcPr>
            <w:tcW w:w="1728" w:type="dxa"/>
          </w:tcPr>
          <w:p w:rsidR="00A3670D" w:rsidRDefault="00A3670D" w:rsidP="0009129B">
            <w:pPr>
              <w:pStyle w:val="Heading5"/>
            </w:pPr>
            <w:r>
              <w:t>Policy</w:t>
            </w:r>
          </w:p>
        </w:tc>
        <w:tc>
          <w:tcPr>
            <w:tcW w:w="8010" w:type="dxa"/>
          </w:tcPr>
          <w:p w:rsidR="00A3670D" w:rsidRDefault="00C85B6B" w:rsidP="00C85B6B">
            <w:pPr>
              <w:rPr>
                <w:szCs w:val="24"/>
              </w:rPr>
            </w:pPr>
            <w:r w:rsidRPr="006B20AA">
              <w:rPr>
                <w:sz w:val="22"/>
              </w:rPr>
              <w:t>It is our policy to run external positive and negative controls with the test to assure functionality of reagents and proper performance of assay procedure</w:t>
            </w:r>
            <w:r w:rsidR="008D03D1">
              <w:rPr>
                <w:sz w:val="22"/>
              </w:rPr>
              <w:t xml:space="preserve"> </w:t>
            </w:r>
            <w:r w:rsidR="008D03D1" w:rsidRPr="007458E4">
              <w:rPr>
                <w:b/>
                <w:sz w:val="22"/>
              </w:rPr>
              <w:t>at least</w:t>
            </w:r>
            <w:r w:rsidRPr="007458E4">
              <w:rPr>
                <w:b/>
                <w:sz w:val="22"/>
              </w:rPr>
              <w:t xml:space="preserve"> </w:t>
            </w:r>
            <w:r w:rsidRPr="007458E4">
              <w:rPr>
                <w:b/>
                <w:sz w:val="22"/>
              </w:rPr>
              <w:t>every</w:t>
            </w:r>
            <w:r>
              <w:rPr>
                <w:sz w:val="22"/>
              </w:rPr>
              <w:t xml:space="preserve"> </w:t>
            </w:r>
            <w:r w:rsidRPr="007458E4">
              <w:rPr>
                <w:b/>
                <w:sz w:val="22"/>
              </w:rPr>
              <w:t xml:space="preserve">new </w:t>
            </w:r>
            <w:r w:rsidR="000A0D43" w:rsidRPr="007458E4">
              <w:rPr>
                <w:b/>
                <w:sz w:val="22"/>
              </w:rPr>
              <w:t>box opened</w:t>
            </w:r>
            <w:bookmarkStart w:id="0" w:name="_GoBack"/>
            <w:bookmarkEnd w:id="0"/>
            <w:r w:rsidR="00D81847">
              <w:rPr>
                <w:sz w:val="22"/>
              </w:rPr>
              <w:t>.</w:t>
            </w:r>
            <w:r w:rsidRPr="006B20AA">
              <w:rPr>
                <w:sz w:val="22"/>
              </w:rPr>
              <w:t xml:space="preserve"> </w:t>
            </w:r>
          </w:p>
          <w:p w:rsidR="00A3670D" w:rsidRPr="00781F79" w:rsidRDefault="00A3670D" w:rsidP="0009129B">
            <w:pPr>
              <w:rPr>
                <w:szCs w:val="24"/>
              </w:rPr>
            </w:pPr>
          </w:p>
        </w:tc>
      </w:tr>
    </w:tbl>
    <w:p w:rsidR="006A107B" w:rsidRDefault="006A107B" w:rsidP="006A107B">
      <w:pPr>
        <w:pStyle w:val="BlockLine"/>
      </w:pPr>
    </w:p>
    <w:tbl>
      <w:tblPr>
        <w:tblW w:w="9738" w:type="dxa"/>
        <w:tblLayout w:type="fixed"/>
        <w:tblLook w:val="0000" w:firstRow="0" w:lastRow="0" w:firstColumn="0" w:lastColumn="0" w:noHBand="0" w:noVBand="0"/>
      </w:tblPr>
      <w:tblGrid>
        <w:gridCol w:w="1728"/>
        <w:gridCol w:w="8010"/>
      </w:tblGrid>
      <w:tr w:rsidR="00C85B6B"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D03D1" w:rsidTr="003B6D53">
              <w:trPr>
                <w:cantSplit/>
              </w:trPr>
              <w:tc>
                <w:tcPr>
                  <w:tcW w:w="1728" w:type="dxa"/>
                </w:tcPr>
                <w:p w:rsidR="00C85B6B" w:rsidRPr="008D03D1" w:rsidRDefault="00C85B6B" w:rsidP="00C85B6B">
                  <w:pPr>
                    <w:pStyle w:val="Heading5"/>
                    <w:rPr>
                      <w:szCs w:val="22"/>
                    </w:rPr>
                  </w:pPr>
                  <w:r w:rsidRPr="008D03D1">
                    <w:rPr>
                      <w:szCs w:val="22"/>
                    </w:rPr>
                    <w:t>Workplace Safety</w:t>
                  </w:r>
                </w:p>
              </w:tc>
              <w:tc>
                <w:tcPr>
                  <w:tcW w:w="8010" w:type="dxa"/>
                </w:tcPr>
                <w:p w:rsidR="00C85B6B" w:rsidRPr="008D03D1" w:rsidRDefault="00C85B6B" w:rsidP="00C85B6B">
                  <w:pPr>
                    <w:rPr>
                      <w:sz w:val="22"/>
                      <w:szCs w:val="22"/>
                    </w:rPr>
                  </w:pPr>
                </w:p>
                <w:p w:rsidR="00C85B6B" w:rsidRPr="008D03D1" w:rsidRDefault="00C85B6B" w:rsidP="00C85B6B">
                  <w:pPr>
                    <w:rPr>
                      <w:sz w:val="22"/>
                      <w:szCs w:val="22"/>
                    </w:rPr>
                  </w:pPr>
                </w:p>
              </w:tc>
            </w:tr>
          </w:tbl>
          <w:p w:rsidR="00C85B6B" w:rsidRPr="008D03D1" w:rsidRDefault="00C85B6B" w:rsidP="00C85B6B">
            <w:pPr>
              <w:pStyle w:val="Heading5"/>
              <w:rPr>
                <w:szCs w:val="22"/>
              </w:rPr>
            </w:pPr>
          </w:p>
        </w:tc>
        <w:tc>
          <w:tcPr>
            <w:tcW w:w="8010" w:type="dxa"/>
          </w:tcPr>
          <w:p w:rsidR="00C85B6B" w:rsidRPr="008D03D1" w:rsidRDefault="00C85B6B" w:rsidP="00C85B6B">
            <w:pPr>
              <w:pStyle w:val="BlockText"/>
              <w:tabs>
                <w:tab w:val="left" w:pos="162"/>
              </w:tabs>
              <w:jc w:val="both"/>
              <w:rPr>
                <w:sz w:val="22"/>
                <w:szCs w:val="22"/>
              </w:rPr>
            </w:pPr>
            <w:r w:rsidRPr="008D03D1">
              <w:rPr>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standard precautions and safety practices in the laboratory;  see </w:t>
            </w:r>
            <w:r w:rsidRPr="008D03D1">
              <w:rPr>
                <w:b/>
                <w:sz w:val="22"/>
                <w:szCs w:val="22"/>
              </w:rPr>
              <w:t>Safety Practices</w:t>
            </w:r>
            <w:r w:rsidRPr="008D03D1">
              <w:rPr>
                <w:sz w:val="22"/>
                <w:szCs w:val="22"/>
              </w:rPr>
              <w:t>, specifically, but not limited to, equipment safety, proper body mechanics, sharps exposure and proper use of personal protective equipment (PPE).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Universal Body Substance precautions, see </w:t>
            </w:r>
            <w:r w:rsidRPr="008D03D1">
              <w:rPr>
                <w:b/>
                <w:sz w:val="22"/>
                <w:szCs w:val="22"/>
              </w:rPr>
              <w:t>Universal Body Substance Precautions</w:t>
            </w:r>
            <w:r w:rsidRPr="008D03D1">
              <w:rPr>
                <w:sz w:val="22"/>
                <w:szCs w:val="22"/>
              </w:rPr>
              <w:t>, specifically, but not limited to, exposure to body fluids.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hand-washing, see </w:t>
            </w:r>
            <w:r w:rsidRPr="008D03D1">
              <w:rPr>
                <w:b/>
                <w:sz w:val="22"/>
                <w:szCs w:val="22"/>
              </w:rPr>
              <w:t>Hand washing Policy</w:t>
            </w:r>
            <w:r w:rsidRPr="008D03D1">
              <w:rPr>
                <w:sz w:val="22"/>
                <w:szCs w:val="22"/>
              </w:rPr>
              <w:t>, specifically, not limited to, proper hand-washing.</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infection control, see </w:t>
            </w:r>
            <w:r w:rsidRPr="008D03D1">
              <w:rPr>
                <w:b/>
                <w:sz w:val="22"/>
                <w:szCs w:val="22"/>
              </w:rPr>
              <w:t>Infection Control</w:t>
            </w:r>
            <w:r w:rsidRPr="008D03D1">
              <w:rPr>
                <w:sz w:val="22"/>
                <w:szCs w:val="22"/>
              </w:rPr>
              <w:t>, specifically, but not limited to, proper use of gloves.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handling of regular and infectious waste, see </w:t>
            </w:r>
            <w:r w:rsidRPr="008D03D1">
              <w:rPr>
                <w:b/>
                <w:sz w:val="22"/>
                <w:szCs w:val="22"/>
              </w:rPr>
              <w:t>Handling of Regular and Infectious Waste</w:t>
            </w:r>
            <w:r w:rsidRPr="008D03D1">
              <w:rPr>
                <w:sz w:val="22"/>
                <w:szCs w:val="22"/>
              </w:rPr>
              <w:t xml:space="preserve">, specifically, but not limited to, proper disposal of regular and </w:t>
            </w:r>
            <w:proofErr w:type="spellStart"/>
            <w:r w:rsidRPr="008D03D1">
              <w:rPr>
                <w:sz w:val="22"/>
                <w:szCs w:val="22"/>
              </w:rPr>
              <w:t>biohazardous</w:t>
            </w:r>
            <w:proofErr w:type="spellEnd"/>
            <w:r w:rsidRPr="008D03D1">
              <w:rPr>
                <w:sz w:val="22"/>
                <w:szCs w:val="22"/>
              </w:rPr>
              <w:t xml:space="preserve"> waste.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cleaning of work area, see </w:t>
            </w:r>
            <w:r w:rsidRPr="008D03D1">
              <w:rPr>
                <w:b/>
                <w:sz w:val="22"/>
                <w:szCs w:val="22"/>
              </w:rPr>
              <w:t>Cleaning Work Areas</w:t>
            </w:r>
            <w:r w:rsidRPr="008D03D1">
              <w:rPr>
                <w:sz w:val="22"/>
                <w:szCs w:val="22"/>
              </w:rPr>
              <w:t>.</w:t>
            </w:r>
          </w:p>
          <w:p w:rsidR="00C85B6B" w:rsidRPr="008D03D1" w:rsidRDefault="00C85B6B" w:rsidP="00C85B6B">
            <w:pPr>
              <w:pStyle w:val="BlockText"/>
              <w:numPr>
                <w:ilvl w:val="0"/>
                <w:numId w:val="20"/>
              </w:numPr>
              <w:ind w:left="523"/>
              <w:jc w:val="both"/>
              <w:rPr>
                <w:sz w:val="22"/>
                <w:szCs w:val="22"/>
              </w:rPr>
            </w:pPr>
            <w:r w:rsidRPr="008D03D1">
              <w:rPr>
                <w:sz w:val="22"/>
                <w:szCs w:val="22"/>
              </w:rPr>
              <w:t>For proper handling of chemicals and reagents, see the Chemical Hygiene Plan.</w:t>
            </w:r>
          </w:p>
          <w:p w:rsidR="00C85B6B" w:rsidRPr="008D03D1" w:rsidRDefault="00C85B6B" w:rsidP="00C85B6B">
            <w:pPr>
              <w:pStyle w:val="BlockText"/>
              <w:numPr>
                <w:ilvl w:val="0"/>
                <w:numId w:val="20"/>
              </w:numPr>
              <w:tabs>
                <w:tab w:val="left" w:pos="162"/>
              </w:tabs>
              <w:ind w:left="523"/>
              <w:jc w:val="both"/>
              <w:rPr>
                <w:sz w:val="22"/>
                <w:szCs w:val="22"/>
              </w:rPr>
            </w:pPr>
            <w:r w:rsidRPr="008D03D1">
              <w:rPr>
                <w:sz w:val="22"/>
                <w:szCs w:val="22"/>
              </w:rPr>
              <w:t xml:space="preserve">For proper storage and disposal of chemical hazardous waste, see </w:t>
            </w:r>
            <w:r w:rsidRPr="008D03D1">
              <w:rPr>
                <w:b/>
                <w:sz w:val="22"/>
                <w:szCs w:val="22"/>
              </w:rPr>
              <w:t>Storage &amp; Disposal of Chemical Hazardous Waste</w:t>
            </w:r>
            <w:r w:rsidRPr="008D03D1">
              <w:rPr>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rsidR="00D0664E" w:rsidRDefault="00D0664E">
      <w:pPr>
        <w:pStyle w:val="BlockLine"/>
      </w:pPr>
    </w:p>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tbl>
      <w:tblPr>
        <w:tblW w:w="9738" w:type="dxa"/>
        <w:tblLayout w:type="fixed"/>
        <w:tblLook w:val="0000" w:firstRow="0" w:lastRow="0" w:firstColumn="0" w:lastColumn="0" w:noHBand="0" w:noVBand="0"/>
      </w:tblPr>
      <w:tblGrid>
        <w:gridCol w:w="1728"/>
        <w:gridCol w:w="8010"/>
      </w:tblGrid>
      <w:tr w:rsidR="00D0664E" w:rsidTr="000A0D43">
        <w:trPr>
          <w:cantSplit/>
        </w:trPr>
        <w:tc>
          <w:tcPr>
            <w:tcW w:w="1728" w:type="dxa"/>
          </w:tcPr>
          <w:p w:rsidR="00D0664E" w:rsidRPr="008D03D1" w:rsidRDefault="008D03D1">
            <w:pPr>
              <w:pStyle w:val="Heading5"/>
            </w:pPr>
            <w:r w:rsidRPr="008D03D1">
              <w:t>Materials provided in kit</w:t>
            </w:r>
          </w:p>
        </w:tc>
        <w:tc>
          <w:tcPr>
            <w:tcW w:w="8010" w:type="dxa"/>
          </w:tcPr>
          <w:p w:rsidR="008D03D1" w:rsidRPr="008D03D1" w:rsidRDefault="008D03D1" w:rsidP="008D03D1">
            <w:pPr>
              <w:pStyle w:val="BlockText"/>
              <w:numPr>
                <w:ilvl w:val="0"/>
                <w:numId w:val="21"/>
              </w:numPr>
              <w:jc w:val="left"/>
              <w:rPr>
                <w:i/>
                <w:iCs/>
                <w:sz w:val="22"/>
              </w:rPr>
            </w:pPr>
            <w:r w:rsidRPr="008D03D1">
              <w:rPr>
                <w:sz w:val="22"/>
              </w:rPr>
              <w:t>Test Devices</w:t>
            </w:r>
          </w:p>
          <w:p w:rsidR="008D03D1" w:rsidRPr="008D03D1" w:rsidRDefault="008D03D1" w:rsidP="008D03D1">
            <w:pPr>
              <w:pStyle w:val="BlockText"/>
              <w:numPr>
                <w:ilvl w:val="0"/>
                <w:numId w:val="21"/>
              </w:numPr>
              <w:jc w:val="left"/>
              <w:rPr>
                <w:sz w:val="22"/>
              </w:rPr>
            </w:pPr>
            <w:r w:rsidRPr="008D03D1">
              <w:rPr>
                <w:sz w:val="22"/>
              </w:rPr>
              <w:t xml:space="preserve">Reagent A: Citrate/Phosphate buffer with sodium lauryl sulfate, Tween 20 and sodium </w:t>
            </w:r>
            <w:proofErr w:type="spellStart"/>
            <w:r w:rsidRPr="008D03D1">
              <w:rPr>
                <w:sz w:val="22"/>
              </w:rPr>
              <w:t>azide</w:t>
            </w:r>
            <w:proofErr w:type="spellEnd"/>
            <w:r w:rsidRPr="008D03D1">
              <w:rPr>
                <w:sz w:val="22"/>
              </w:rPr>
              <w:t>.</w:t>
            </w:r>
          </w:p>
          <w:p w:rsidR="008D03D1" w:rsidRPr="008D03D1" w:rsidRDefault="008D03D1" w:rsidP="008D03D1">
            <w:pPr>
              <w:pStyle w:val="BlockText"/>
              <w:numPr>
                <w:ilvl w:val="0"/>
                <w:numId w:val="21"/>
              </w:numPr>
              <w:jc w:val="left"/>
              <w:rPr>
                <w:b/>
                <w:bCs/>
                <w:sz w:val="22"/>
              </w:rPr>
            </w:pPr>
            <w:r w:rsidRPr="008D03D1">
              <w:rPr>
                <w:sz w:val="22"/>
              </w:rPr>
              <w:t xml:space="preserve">Swabs: Designed for use in the </w:t>
            </w:r>
            <w:proofErr w:type="spellStart"/>
            <w:r w:rsidRPr="008D03D1">
              <w:rPr>
                <w:sz w:val="22"/>
              </w:rPr>
              <w:t>Binax</w:t>
            </w:r>
            <w:proofErr w:type="spellEnd"/>
            <w:r w:rsidRPr="008D03D1">
              <w:rPr>
                <w:sz w:val="22"/>
              </w:rPr>
              <w:t xml:space="preserve"> NOW</w:t>
            </w:r>
            <w:r w:rsidRPr="008D03D1">
              <w:rPr>
                <w:b/>
                <w:sz w:val="22"/>
                <w:vertAlign w:val="superscript"/>
              </w:rPr>
              <w:t>®</w:t>
            </w:r>
            <w:r w:rsidRPr="008D03D1">
              <w:rPr>
                <w:sz w:val="22"/>
              </w:rPr>
              <w:t xml:space="preserve"> </w:t>
            </w:r>
            <w:r w:rsidRPr="008D03D1">
              <w:rPr>
                <w:i/>
                <w:iCs/>
                <w:sz w:val="22"/>
              </w:rPr>
              <w:t xml:space="preserve">Streptococcus </w:t>
            </w:r>
            <w:proofErr w:type="spellStart"/>
            <w:r w:rsidRPr="008D03D1">
              <w:rPr>
                <w:i/>
                <w:iCs/>
                <w:sz w:val="22"/>
              </w:rPr>
              <w:t>pneumoniae</w:t>
            </w:r>
            <w:proofErr w:type="spellEnd"/>
            <w:r w:rsidRPr="008D03D1">
              <w:rPr>
                <w:i/>
                <w:iCs/>
                <w:sz w:val="22"/>
              </w:rPr>
              <w:t xml:space="preserve"> </w:t>
            </w:r>
            <w:r w:rsidRPr="008D03D1">
              <w:rPr>
                <w:sz w:val="22"/>
              </w:rPr>
              <w:t xml:space="preserve">Test. </w:t>
            </w:r>
          </w:p>
          <w:p w:rsidR="008D03D1" w:rsidRPr="008D03D1" w:rsidRDefault="008D03D1" w:rsidP="008D03D1">
            <w:pPr>
              <w:pStyle w:val="BlockText"/>
              <w:numPr>
                <w:ilvl w:val="0"/>
                <w:numId w:val="21"/>
              </w:numPr>
              <w:jc w:val="left"/>
              <w:rPr>
                <w:sz w:val="22"/>
              </w:rPr>
            </w:pPr>
            <w:r w:rsidRPr="008D03D1">
              <w:rPr>
                <w:sz w:val="22"/>
              </w:rPr>
              <w:t>Positive Control Swab</w:t>
            </w:r>
            <w:r w:rsidR="00883D63">
              <w:rPr>
                <w:sz w:val="22"/>
              </w:rPr>
              <w:t xml:space="preserve"> for </w:t>
            </w:r>
            <w:proofErr w:type="spellStart"/>
            <w:r w:rsidR="00883D63">
              <w:rPr>
                <w:sz w:val="22"/>
              </w:rPr>
              <w:t>S.pneumoniae</w:t>
            </w:r>
            <w:proofErr w:type="spellEnd"/>
            <w:r w:rsidRPr="008D03D1">
              <w:rPr>
                <w:sz w:val="22"/>
              </w:rPr>
              <w:t xml:space="preserve"> </w:t>
            </w:r>
          </w:p>
          <w:p w:rsidR="00781F79" w:rsidRPr="008D03D1" w:rsidRDefault="008D03D1" w:rsidP="008D03D1">
            <w:pPr>
              <w:pStyle w:val="Default"/>
              <w:numPr>
                <w:ilvl w:val="0"/>
                <w:numId w:val="21"/>
              </w:numPr>
              <w:rPr>
                <w:rFonts w:ascii="Times New Roman" w:hAnsi="Times New Roman" w:cs="Times New Roman"/>
              </w:rPr>
            </w:pPr>
            <w:r w:rsidRPr="008D03D1">
              <w:rPr>
                <w:rFonts w:ascii="Times New Roman" w:hAnsi="Times New Roman" w:cs="Times New Roman"/>
                <w:sz w:val="22"/>
              </w:rPr>
              <w:t>Negative Control Swab</w:t>
            </w:r>
            <w:r w:rsidR="00883D63">
              <w:rPr>
                <w:rFonts w:ascii="Times New Roman" w:hAnsi="Times New Roman" w:cs="Times New Roman"/>
                <w:sz w:val="22"/>
              </w:rPr>
              <w:t xml:space="preserve"> for </w:t>
            </w:r>
            <w:proofErr w:type="spellStart"/>
            <w:r w:rsidR="00883D63">
              <w:rPr>
                <w:rFonts w:ascii="Times New Roman" w:hAnsi="Times New Roman" w:cs="Times New Roman"/>
                <w:sz w:val="22"/>
              </w:rPr>
              <w:t>S.pneumoniae</w:t>
            </w:r>
            <w:proofErr w:type="spellEnd"/>
          </w:p>
        </w:tc>
      </w:tr>
      <w:tr w:rsidR="00595006" w:rsidTr="000A0D43">
        <w:trPr>
          <w:cantSplit/>
        </w:trPr>
        <w:tc>
          <w:tcPr>
            <w:tcW w:w="1728" w:type="dxa"/>
          </w:tcPr>
          <w:p w:rsidR="00595006" w:rsidRPr="006A107B" w:rsidRDefault="00595006">
            <w:pPr>
              <w:pStyle w:val="Heading5"/>
            </w:pPr>
          </w:p>
        </w:tc>
        <w:tc>
          <w:tcPr>
            <w:tcW w:w="8010" w:type="dxa"/>
          </w:tcPr>
          <w:p w:rsidR="00595006" w:rsidRDefault="00595006" w:rsidP="00595006">
            <w:pPr>
              <w:autoSpaceDE w:val="0"/>
              <w:autoSpaceDN w:val="0"/>
              <w:adjustRightInd w:val="0"/>
              <w:spacing w:after="41"/>
              <w:rPr>
                <w:color w:val="000000"/>
                <w:szCs w:val="24"/>
              </w:rPr>
            </w:pPr>
          </w:p>
          <w:p w:rsidR="000A0D43" w:rsidRPr="00595006" w:rsidRDefault="000A0D43" w:rsidP="00595006">
            <w:pPr>
              <w:autoSpaceDE w:val="0"/>
              <w:autoSpaceDN w:val="0"/>
              <w:adjustRightInd w:val="0"/>
              <w:spacing w:after="41"/>
              <w:rPr>
                <w:color w:val="000000"/>
                <w:szCs w:val="24"/>
              </w:rPr>
            </w:pPr>
          </w:p>
        </w:tc>
      </w:tr>
      <w:tr w:rsidR="006A107B" w:rsidTr="000A0D43">
        <w:trPr>
          <w:cantSplit/>
        </w:trPr>
        <w:tc>
          <w:tcPr>
            <w:tcW w:w="1728" w:type="dxa"/>
          </w:tcPr>
          <w:p w:rsidR="006A107B" w:rsidRPr="006A107B" w:rsidRDefault="008D03D1" w:rsidP="00803536">
            <w:pPr>
              <w:pStyle w:val="Heading5"/>
            </w:pPr>
            <w:r>
              <w:t>Materials not provided in kit</w:t>
            </w:r>
          </w:p>
        </w:tc>
        <w:tc>
          <w:tcPr>
            <w:tcW w:w="8010" w:type="dxa"/>
          </w:tcPr>
          <w:p w:rsidR="008D03D1" w:rsidRDefault="008D03D1" w:rsidP="008D03D1">
            <w:pPr>
              <w:pStyle w:val="BlockText"/>
              <w:numPr>
                <w:ilvl w:val="0"/>
                <w:numId w:val="22"/>
              </w:numPr>
              <w:jc w:val="left"/>
              <w:rPr>
                <w:i/>
                <w:iCs/>
              </w:rPr>
            </w:pPr>
            <w:r>
              <w:t>Clock, timer or stopwatch</w:t>
            </w:r>
          </w:p>
          <w:p w:rsidR="006A107B" w:rsidRPr="000A0D43" w:rsidRDefault="008D03D1" w:rsidP="00803536">
            <w:pPr>
              <w:pStyle w:val="ListParagraph"/>
              <w:numPr>
                <w:ilvl w:val="0"/>
                <w:numId w:val="22"/>
              </w:numPr>
              <w:autoSpaceDE w:val="0"/>
              <w:autoSpaceDN w:val="0"/>
              <w:adjustRightInd w:val="0"/>
              <w:rPr>
                <w:color w:val="000000"/>
                <w:szCs w:val="24"/>
              </w:rPr>
            </w:pPr>
            <w:r>
              <w:t>Standard urine collection containers or urine transport tubes with boric acid preservative</w:t>
            </w: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0A0D43" w:rsidP="006A107B">
            <w:pPr>
              <w:pStyle w:val="Heading5"/>
            </w:pPr>
            <w:r>
              <w:t>Kit Storage Requirements</w:t>
            </w:r>
          </w:p>
        </w:tc>
        <w:tc>
          <w:tcPr>
            <w:tcW w:w="8010" w:type="dxa"/>
          </w:tcPr>
          <w:p w:rsidR="008D03D1" w:rsidRDefault="008D03D1" w:rsidP="008D03D1">
            <w:pPr>
              <w:pStyle w:val="BlockText"/>
              <w:numPr>
                <w:ilvl w:val="0"/>
                <w:numId w:val="23"/>
              </w:numPr>
              <w:jc w:val="left"/>
              <w:rPr>
                <w:iCs/>
              </w:rPr>
            </w:pPr>
            <w:r>
              <w:t xml:space="preserve">Store kit at room temperature [59-86°F, 15-30°C]. </w:t>
            </w:r>
          </w:p>
          <w:p w:rsidR="006A107B" w:rsidRPr="000A0D43" w:rsidRDefault="008D03D1" w:rsidP="00803536">
            <w:pPr>
              <w:pStyle w:val="ListParagraph"/>
              <w:numPr>
                <w:ilvl w:val="0"/>
                <w:numId w:val="23"/>
              </w:numPr>
              <w:rPr>
                <w:szCs w:val="24"/>
              </w:rPr>
            </w:pPr>
            <w:r>
              <w:t xml:space="preserve">The </w:t>
            </w:r>
            <w:proofErr w:type="spellStart"/>
            <w:r>
              <w:t>Binax</w:t>
            </w:r>
            <w:proofErr w:type="spellEnd"/>
            <w:r>
              <w:t xml:space="preserve"> NOW</w:t>
            </w:r>
            <w:r w:rsidRPr="008D03D1">
              <w:rPr>
                <w:b/>
                <w:vertAlign w:val="superscript"/>
              </w:rPr>
              <w:t>®</w:t>
            </w:r>
            <w:r>
              <w:t xml:space="preserve"> </w:t>
            </w:r>
            <w:r w:rsidRPr="008D03D1">
              <w:rPr>
                <w:i/>
                <w:iCs/>
              </w:rPr>
              <w:t xml:space="preserve">Streptococcus </w:t>
            </w:r>
            <w:proofErr w:type="spellStart"/>
            <w:r w:rsidRPr="008D03D1">
              <w:rPr>
                <w:i/>
                <w:iCs/>
              </w:rPr>
              <w:t>pneumoniae</w:t>
            </w:r>
            <w:proofErr w:type="spellEnd"/>
            <w:r w:rsidRPr="008D03D1">
              <w:rPr>
                <w:i/>
                <w:iCs/>
              </w:rPr>
              <w:t xml:space="preserve"> </w:t>
            </w:r>
            <w:r>
              <w:t>test kit and reagents are stable until the expiration dates marked on their</w:t>
            </w:r>
            <w:r w:rsidRPr="008D03D1">
              <w:rPr>
                <w:iCs/>
              </w:rPr>
              <w:t xml:space="preserve"> </w:t>
            </w:r>
            <w:r>
              <w:t>outer packaging and containers.</w:t>
            </w: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0A0D43" w:rsidP="006A107B">
            <w:pPr>
              <w:pStyle w:val="Heading5"/>
            </w:pPr>
            <w:r>
              <w:lastRenderedPageBreak/>
              <w:t xml:space="preserve">Assay Procedure for </w:t>
            </w:r>
            <w:proofErr w:type="gramStart"/>
            <w:r>
              <w:t>control  testing</w:t>
            </w:r>
            <w:proofErr w:type="gramEnd"/>
          </w:p>
        </w:tc>
        <w:tc>
          <w:tcPr>
            <w:tcW w:w="8010" w:type="dxa"/>
          </w:tcPr>
          <w:p w:rsidR="000A0D43" w:rsidRDefault="000A0D43" w:rsidP="000A0D43">
            <w:pPr>
              <w:pStyle w:val="BlockText"/>
              <w:jc w:val="left"/>
            </w:pPr>
            <w:r>
              <w:t xml:space="preserve">Follow these steps to perform </w:t>
            </w:r>
            <w:r w:rsidRPr="006B20AA">
              <w:rPr>
                <w:bCs/>
              </w:rPr>
              <w:t>control testing</w:t>
            </w:r>
            <w:r>
              <w:rPr>
                <w:bCs/>
              </w:rPr>
              <w:t>. Perform external controls with each new box of Streptococcus pneumonia Antigen cards.</w:t>
            </w:r>
          </w:p>
          <w:p w:rsidR="006A107B" w:rsidRDefault="006A107B" w:rsidP="000A0D43">
            <w:pPr>
              <w:rPr>
                <w:szCs w:val="24"/>
              </w:rPr>
            </w:pPr>
          </w:p>
          <w:tbl>
            <w:tblPr>
              <w:tblW w:w="7844" w:type="dxa"/>
              <w:tblLayout w:type="fixed"/>
              <w:tblLook w:val="0000" w:firstRow="0" w:lastRow="0" w:firstColumn="0" w:lastColumn="0" w:noHBand="0" w:noVBand="0"/>
            </w:tblPr>
            <w:tblGrid>
              <w:gridCol w:w="682"/>
              <w:gridCol w:w="7162"/>
            </w:tblGrid>
            <w:tr w:rsidR="000A0D43" w:rsidTr="000A0D43">
              <w:tblPrEx>
                <w:tblCellMar>
                  <w:top w:w="0" w:type="dxa"/>
                  <w:bottom w:w="0" w:type="dxa"/>
                </w:tblCellMar>
              </w:tblPrEx>
              <w:trPr>
                <w:cantSplit/>
                <w:trHeight w:val="270"/>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HeaderText"/>
                  </w:pPr>
                  <w:r>
                    <w:t>Step</w:t>
                  </w:r>
                </w:p>
              </w:tc>
              <w:tc>
                <w:tcPr>
                  <w:tcW w:w="7162" w:type="dxa"/>
                  <w:tcBorders>
                    <w:top w:val="single" w:sz="6" w:space="0" w:color="auto"/>
                    <w:bottom w:val="single" w:sz="6" w:space="0" w:color="auto"/>
                    <w:right w:val="single" w:sz="6" w:space="0" w:color="auto"/>
                  </w:tcBorders>
                </w:tcPr>
                <w:p w:rsidR="000A0D43" w:rsidRDefault="000A0D43" w:rsidP="000A0D43">
                  <w:pPr>
                    <w:pStyle w:val="TableHeaderText"/>
                  </w:pPr>
                  <w:r>
                    <w:t>Action</w:t>
                  </w:r>
                </w:p>
              </w:tc>
            </w:tr>
            <w:tr w:rsidR="000A0D43" w:rsidTr="000A0D43">
              <w:tblPrEx>
                <w:tblCellMar>
                  <w:top w:w="0" w:type="dxa"/>
                  <w:bottom w:w="0" w:type="dxa"/>
                </w:tblCellMar>
              </w:tblPrEx>
              <w:trPr>
                <w:cantSplit/>
                <w:trHeight w:val="285"/>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1</w:t>
                  </w:r>
                </w:p>
              </w:tc>
              <w:tc>
                <w:tcPr>
                  <w:tcW w:w="7162" w:type="dxa"/>
                  <w:tcBorders>
                    <w:top w:val="single" w:sz="6" w:space="0" w:color="auto"/>
                    <w:bottom w:val="single" w:sz="6" w:space="0" w:color="auto"/>
                    <w:right w:val="single" w:sz="6" w:space="0" w:color="auto"/>
                  </w:tcBorders>
                </w:tcPr>
                <w:p w:rsidR="000A0D43" w:rsidRDefault="000A0D43" w:rsidP="000A0D43">
                  <w:pPr>
                    <w:pStyle w:val="TableText"/>
                  </w:pPr>
                  <w:r>
                    <w:t>Just prior to use open pouch and remove test device, and lay it flat</w:t>
                  </w:r>
                </w:p>
              </w:tc>
            </w:tr>
            <w:tr w:rsidR="000A0D43" w:rsidTr="000A0D43">
              <w:tblPrEx>
                <w:tblCellMar>
                  <w:top w:w="0" w:type="dxa"/>
                  <w:bottom w:w="0" w:type="dxa"/>
                </w:tblCellMar>
              </w:tblPrEx>
              <w:trPr>
                <w:cantSplit/>
                <w:trHeight w:val="270"/>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2</w:t>
                  </w:r>
                </w:p>
              </w:tc>
              <w:tc>
                <w:tcPr>
                  <w:tcW w:w="7162" w:type="dxa"/>
                  <w:tcBorders>
                    <w:top w:val="single" w:sz="6" w:space="0" w:color="auto"/>
                    <w:bottom w:val="single" w:sz="6" w:space="0" w:color="auto"/>
                    <w:right w:val="single" w:sz="6" w:space="0" w:color="auto"/>
                  </w:tcBorders>
                </w:tcPr>
                <w:p w:rsidR="000A0D43" w:rsidRDefault="000A0D43" w:rsidP="000A0D43">
                  <w:pPr>
                    <w:pStyle w:val="TableText"/>
                  </w:pPr>
                  <w:r>
                    <w:t>Label devices as negative and positive control.</w:t>
                  </w:r>
                </w:p>
              </w:tc>
            </w:tr>
            <w:tr w:rsidR="000A0D43" w:rsidTr="000A0D43">
              <w:tblPrEx>
                <w:tblCellMar>
                  <w:top w:w="0" w:type="dxa"/>
                  <w:bottom w:w="0" w:type="dxa"/>
                </w:tblCellMar>
              </w:tblPrEx>
              <w:trPr>
                <w:cantSplit/>
                <w:trHeight w:val="1110"/>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3</w:t>
                  </w:r>
                </w:p>
              </w:tc>
              <w:tc>
                <w:tcPr>
                  <w:tcW w:w="7162" w:type="dxa"/>
                  <w:tcBorders>
                    <w:top w:val="single" w:sz="6" w:space="0" w:color="auto"/>
                    <w:bottom w:val="single" w:sz="6" w:space="0" w:color="auto"/>
                    <w:right w:val="single" w:sz="6" w:space="0" w:color="auto"/>
                  </w:tcBorders>
                </w:tcPr>
                <w:p w:rsidR="000A0D43" w:rsidRDefault="000A0D43" w:rsidP="000A0D43">
                  <w:pPr>
                    <w:pStyle w:val="TableText"/>
                  </w:pPr>
                  <w:r>
                    <w:t>There are two holes on the right panel of the device.  Insert negative control swab into the bottom hole of the device labeled negative control.  Firmly push upwards so the swab is fully visible in the top hole.  DO NOT REMOVE SWAB.</w:t>
                  </w:r>
                </w:p>
              </w:tc>
            </w:tr>
            <w:tr w:rsidR="000A0D43" w:rsidTr="000A0D43">
              <w:tblPrEx>
                <w:tblCellMar>
                  <w:top w:w="0" w:type="dxa"/>
                  <w:bottom w:w="0" w:type="dxa"/>
                </w:tblCellMar>
              </w:tblPrEx>
              <w:trPr>
                <w:cantSplit/>
                <w:trHeight w:val="555"/>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4</w:t>
                  </w:r>
                </w:p>
              </w:tc>
              <w:tc>
                <w:tcPr>
                  <w:tcW w:w="7162" w:type="dxa"/>
                  <w:tcBorders>
                    <w:top w:val="single" w:sz="6" w:space="0" w:color="auto"/>
                    <w:bottom w:val="single" w:sz="6" w:space="0" w:color="auto"/>
                    <w:right w:val="single" w:sz="6" w:space="0" w:color="auto"/>
                  </w:tcBorders>
                </w:tcPr>
                <w:p w:rsidR="000A0D43" w:rsidRDefault="000A0D43" w:rsidP="000A0D43">
                  <w:pPr>
                    <w:pStyle w:val="BlockText"/>
                  </w:pPr>
                  <w:r>
                    <w:t>Hold reagent A vial vertically, ½ to 1 inch above the device. Slowly add 6 free falling drops to the bottom hole.</w:t>
                  </w:r>
                </w:p>
              </w:tc>
            </w:tr>
            <w:tr w:rsidR="000A0D43" w:rsidTr="000A0D43">
              <w:tblPrEx>
                <w:tblCellMar>
                  <w:top w:w="0" w:type="dxa"/>
                  <w:bottom w:w="0" w:type="dxa"/>
                </w:tblCellMar>
              </w:tblPrEx>
              <w:trPr>
                <w:cantSplit/>
                <w:trHeight w:val="825"/>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5</w:t>
                  </w:r>
                </w:p>
              </w:tc>
              <w:tc>
                <w:tcPr>
                  <w:tcW w:w="7162" w:type="dxa"/>
                  <w:tcBorders>
                    <w:top w:val="single" w:sz="6" w:space="0" w:color="auto"/>
                    <w:bottom w:val="single" w:sz="6" w:space="0" w:color="auto"/>
                    <w:right w:val="single" w:sz="6" w:space="0" w:color="auto"/>
                  </w:tcBorders>
                </w:tcPr>
                <w:p w:rsidR="000A0D43" w:rsidRDefault="000A0D43" w:rsidP="000A0D43">
                  <w:pPr>
                    <w:pStyle w:val="BlockText"/>
                  </w:pPr>
                  <w:r>
                    <w:t>Immediately peel off adhesive liner from the right edge of the test device.  Close and securely seal device.  Read result in window 15 minutes after closing the device.  Results read beyond 15 minutes may be inaccurate.</w:t>
                  </w:r>
                </w:p>
              </w:tc>
            </w:tr>
            <w:tr w:rsidR="000A0D43" w:rsidTr="000A0D43">
              <w:tblPrEx>
                <w:tblCellMar>
                  <w:top w:w="0" w:type="dxa"/>
                  <w:bottom w:w="0" w:type="dxa"/>
                </w:tblCellMar>
              </w:tblPrEx>
              <w:trPr>
                <w:cantSplit/>
                <w:trHeight w:val="825"/>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6</w:t>
                  </w:r>
                </w:p>
              </w:tc>
              <w:tc>
                <w:tcPr>
                  <w:tcW w:w="7162" w:type="dxa"/>
                  <w:tcBorders>
                    <w:top w:val="single" w:sz="6" w:space="0" w:color="auto"/>
                    <w:bottom w:val="single" w:sz="6" w:space="0" w:color="auto"/>
                    <w:right w:val="single" w:sz="6" w:space="0" w:color="auto"/>
                  </w:tcBorders>
                </w:tcPr>
                <w:p w:rsidR="000A0D43" w:rsidRDefault="000A0D43" w:rsidP="000A0D43">
                  <w:pPr>
                    <w:pStyle w:val="BlockText"/>
                  </w:pPr>
                  <w:r>
                    <w:t>Repeat for positive control.  Insert positive control swab into the bottom hole of the device labeled negative control.  Firmly push upwards so the swab is fully visible in the top hole.  DO NOT REMOVE SWAB.</w:t>
                  </w:r>
                </w:p>
              </w:tc>
            </w:tr>
            <w:tr w:rsidR="000A0D43" w:rsidTr="000A0D43">
              <w:tblPrEx>
                <w:tblCellMar>
                  <w:top w:w="0" w:type="dxa"/>
                  <w:bottom w:w="0" w:type="dxa"/>
                </w:tblCellMar>
              </w:tblPrEx>
              <w:trPr>
                <w:cantSplit/>
                <w:trHeight w:val="555"/>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7</w:t>
                  </w:r>
                </w:p>
              </w:tc>
              <w:tc>
                <w:tcPr>
                  <w:tcW w:w="7162" w:type="dxa"/>
                  <w:tcBorders>
                    <w:top w:val="single" w:sz="6" w:space="0" w:color="auto"/>
                    <w:bottom w:val="single" w:sz="6" w:space="0" w:color="auto"/>
                    <w:right w:val="single" w:sz="6" w:space="0" w:color="auto"/>
                  </w:tcBorders>
                </w:tcPr>
                <w:p w:rsidR="000A0D43" w:rsidRDefault="000A0D43" w:rsidP="000A0D43">
                  <w:pPr>
                    <w:pStyle w:val="BlockText"/>
                  </w:pPr>
                  <w:r>
                    <w:t>Hold reagent A vial vertically, ½ to 1 inch above the device.  Slowly add 6 free falling drops to the bottom hole.</w:t>
                  </w:r>
                </w:p>
              </w:tc>
            </w:tr>
            <w:tr w:rsidR="000A0D43" w:rsidTr="000A0D43">
              <w:tblPrEx>
                <w:tblCellMar>
                  <w:top w:w="0" w:type="dxa"/>
                  <w:bottom w:w="0" w:type="dxa"/>
                </w:tblCellMar>
              </w:tblPrEx>
              <w:trPr>
                <w:cantSplit/>
                <w:trHeight w:val="825"/>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8</w:t>
                  </w:r>
                </w:p>
              </w:tc>
              <w:tc>
                <w:tcPr>
                  <w:tcW w:w="7162" w:type="dxa"/>
                  <w:tcBorders>
                    <w:top w:val="single" w:sz="6" w:space="0" w:color="auto"/>
                    <w:bottom w:val="single" w:sz="6" w:space="0" w:color="auto"/>
                    <w:right w:val="single" w:sz="6" w:space="0" w:color="auto"/>
                  </w:tcBorders>
                </w:tcPr>
                <w:p w:rsidR="000A0D43" w:rsidRDefault="000A0D43" w:rsidP="000A0D43">
                  <w:pPr>
                    <w:pStyle w:val="BlockText"/>
                  </w:pPr>
                  <w:r>
                    <w:t>Immediately peel off adhesive liner from the right edge of the test device.  Close and securely seal device.  Read result in window 15 minutes after closing the device.  Results read beyond 15 minutes may be inaccurate.</w:t>
                  </w:r>
                </w:p>
              </w:tc>
            </w:tr>
            <w:tr w:rsidR="000A0D43" w:rsidTr="000A0D43">
              <w:tblPrEx>
                <w:tblCellMar>
                  <w:top w:w="0" w:type="dxa"/>
                  <w:bottom w:w="0" w:type="dxa"/>
                </w:tblCellMar>
              </w:tblPrEx>
              <w:trPr>
                <w:cantSplit/>
                <w:trHeight w:val="270"/>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9</w:t>
                  </w:r>
                </w:p>
              </w:tc>
              <w:tc>
                <w:tcPr>
                  <w:tcW w:w="7162" w:type="dxa"/>
                  <w:tcBorders>
                    <w:top w:val="single" w:sz="6" w:space="0" w:color="auto"/>
                    <w:bottom w:val="single" w:sz="6" w:space="0" w:color="auto"/>
                    <w:right w:val="single" w:sz="6" w:space="0" w:color="auto"/>
                  </w:tcBorders>
                </w:tcPr>
                <w:p w:rsidR="000A0D43" w:rsidRDefault="000A0D43" w:rsidP="000A0D43">
                  <w:pPr>
                    <w:pStyle w:val="BlockText"/>
                  </w:pPr>
                  <w:r>
                    <w:t>Record control results in the control log.</w:t>
                  </w:r>
                </w:p>
              </w:tc>
            </w:tr>
            <w:tr w:rsidR="000A0D43" w:rsidTr="000A0D43">
              <w:tblPrEx>
                <w:tblCellMar>
                  <w:top w:w="0" w:type="dxa"/>
                  <w:bottom w:w="0" w:type="dxa"/>
                </w:tblCellMar>
              </w:tblPrEx>
              <w:trPr>
                <w:cantSplit/>
                <w:trHeight w:val="840"/>
              </w:trPr>
              <w:tc>
                <w:tcPr>
                  <w:tcW w:w="682" w:type="dxa"/>
                  <w:tcBorders>
                    <w:top w:val="single" w:sz="6" w:space="0" w:color="auto"/>
                    <w:left w:val="single" w:sz="6" w:space="0" w:color="auto"/>
                    <w:bottom w:val="single" w:sz="6" w:space="0" w:color="auto"/>
                    <w:right w:val="single" w:sz="6" w:space="0" w:color="auto"/>
                  </w:tcBorders>
                </w:tcPr>
                <w:p w:rsidR="000A0D43" w:rsidRDefault="000A0D43" w:rsidP="000A0D43">
                  <w:pPr>
                    <w:pStyle w:val="TableText"/>
                    <w:jc w:val="center"/>
                  </w:pPr>
                  <w:r>
                    <w:t xml:space="preserve">10 </w:t>
                  </w:r>
                </w:p>
              </w:tc>
              <w:tc>
                <w:tcPr>
                  <w:tcW w:w="7162" w:type="dxa"/>
                  <w:tcBorders>
                    <w:top w:val="single" w:sz="6" w:space="0" w:color="auto"/>
                    <w:bottom w:val="single" w:sz="6" w:space="0" w:color="auto"/>
                    <w:right w:val="single" w:sz="6" w:space="0" w:color="auto"/>
                  </w:tcBorders>
                </w:tcPr>
                <w:p w:rsidR="000A0D43" w:rsidRDefault="000A0D43" w:rsidP="000A0D43">
                  <w:pPr>
                    <w:pStyle w:val="BlockText"/>
                  </w:pPr>
                  <w:r>
                    <w:t>If controls do not yield expected results repeat testing.  If problem is not resolved. Do not proceed with patient testing until problem is resolved.  Notify supervisor for further advice.</w:t>
                  </w:r>
                </w:p>
              </w:tc>
            </w:tr>
          </w:tbl>
          <w:p w:rsidR="006A107B" w:rsidRDefault="006A107B" w:rsidP="00803536">
            <w:pPr>
              <w:rPr>
                <w:szCs w:val="24"/>
              </w:rPr>
            </w:pPr>
          </w:p>
          <w:p w:rsidR="006A107B" w:rsidRPr="00781F79" w:rsidRDefault="006A107B" w:rsidP="00803536">
            <w:pPr>
              <w:rPr>
                <w:szCs w:val="24"/>
              </w:rPr>
            </w:pPr>
          </w:p>
        </w:tc>
      </w:tr>
    </w:tbl>
    <w:p w:rsidR="009451A0" w:rsidRDefault="009451A0" w:rsidP="009451A0">
      <w:pPr>
        <w:pStyle w:val="BlockLine"/>
        <w:jc w:val="right"/>
        <w:rPr>
          <w:i/>
          <w:sz w:val="20"/>
        </w:rPr>
      </w:pPr>
    </w:p>
    <w:p w:rsidR="003C7698" w:rsidRDefault="003C7698" w:rsidP="003C7698"/>
    <w:p w:rsidR="003C7698" w:rsidRDefault="003C7698" w:rsidP="003C7698"/>
    <w:p w:rsidR="003C7698" w:rsidRDefault="003C7698" w:rsidP="003C7698"/>
    <w:p w:rsidR="003C7698" w:rsidRDefault="003C7698" w:rsidP="003C7698"/>
    <w:p w:rsidR="003C7698" w:rsidRDefault="003C7698" w:rsidP="003C7698"/>
    <w:p w:rsidR="003C7698" w:rsidRDefault="003C7698" w:rsidP="003C7698"/>
    <w:p w:rsidR="003C7698" w:rsidRDefault="003C7698" w:rsidP="003C7698"/>
    <w:p w:rsidR="003C7698" w:rsidRDefault="003C7698" w:rsidP="003C7698"/>
    <w:p w:rsidR="003C7698" w:rsidRDefault="003C7698" w:rsidP="003C7698"/>
    <w:p w:rsidR="003C7698" w:rsidRPr="003C7698" w:rsidRDefault="003C7698" w:rsidP="003C7698"/>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tbl>
            <w:tblPr>
              <w:tblW w:w="0" w:type="auto"/>
              <w:tblLayout w:type="fixed"/>
              <w:tblLook w:val="0000" w:firstRow="0" w:lastRow="0" w:firstColumn="0" w:lastColumn="0" w:noHBand="0" w:noVBand="0"/>
            </w:tblPr>
            <w:tblGrid>
              <w:gridCol w:w="1728"/>
              <w:gridCol w:w="7740"/>
            </w:tblGrid>
            <w:tr w:rsidR="000A0D43" w:rsidTr="003B6D53">
              <w:tblPrEx>
                <w:tblCellMar>
                  <w:top w:w="0" w:type="dxa"/>
                  <w:bottom w:w="0" w:type="dxa"/>
                </w:tblCellMar>
              </w:tblPrEx>
              <w:trPr>
                <w:cantSplit/>
              </w:trPr>
              <w:tc>
                <w:tcPr>
                  <w:tcW w:w="1728" w:type="dxa"/>
                </w:tcPr>
                <w:p w:rsidR="000A0D43" w:rsidRDefault="000A0D43" w:rsidP="000A0D43">
                  <w:pPr>
                    <w:pStyle w:val="Heading5"/>
                  </w:pPr>
                  <w:r>
                    <w:t>Interpretation</w:t>
                  </w:r>
                </w:p>
              </w:tc>
              <w:tc>
                <w:tcPr>
                  <w:tcW w:w="7740" w:type="dxa"/>
                </w:tcPr>
                <w:p w:rsidR="000A0D43" w:rsidRDefault="000A0D43" w:rsidP="000A0D43">
                  <w:pPr>
                    <w:pStyle w:val="BlockText"/>
                  </w:pPr>
                  <w:r>
                    <w:t>See below for interpretation of control results</w:t>
                  </w:r>
                </w:p>
              </w:tc>
            </w:tr>
          </w:tbl>
          <w:p w:rsidR="009451A0" w:rsidRPr="006A107B" w:rsidRDefault="009451A0" w:rsidP="00803536">
            <w:pPr>
              <w:pStyle w:val="Heading5"/>
            </w:pPr>
          </w:p>
        </w:tc>
        <w:tc>
          <w:tcPr>
            <w:tcW w:w="8010" w:type="dxa"/>
          </w:tcPr>
          <w:p w:rsidR="000A0D43" w:rsidRPr="00781F79" w:rsidRDefault="000A0D43" w:rsidP="000A0D43">
            <w:pPr>
              <w:pStyle w:val="BodyText"/>
              <w:rPr>
                <w:szCs w:val="24"/>
              </w:rPr>
            </w:pPr>
          </w:p>
        </w:tc>
      </w:tr>
    </w:tbl>
    <w:p w:rsidR="006A107B" w:rsidRDefault="006A107B" w:rsidP="003C7698">
      <w:pPr>
        <w:pStyle w:val="BlockLine"/>
        <w:ind w:left="0"/>
        <w:rPr>
          <w:i/>
          <w:sz w:val="20"/>
        </w:rPr>
      </w:pPr>
    </w:p>
    <w:tbl>
      <w:tblPr>
        <w:tblW w:w="8141" w:type="dxa"/>
        <w:tblInd w:w="1749" w:type="dxa"/>
        <w:tblLayout w:type="fixed"/>
        <w:tblCellMar>
          <w:left w:w="80" w:type="dxa"/>
          <w:right w:w="80" w:type="dxa"/>
        </w:tblCellMar>
        <w:tblLook w:val="0000" w:firstRow="0" w:lastRow="0" w:firstColumn="0" w:lastColumn="0" w:noHBand="0" w:noVBand="0"/>
      </w:tblPr>
      <w:tblGrid>
        <w:gridCol w:w="180"/>
        <w:gridCol w:w="3572"/>
        <w:gridCol w:w="4389"/>
      </w:tblGrid>
      <w:tr w:rsidR="000A0D43" w:rsidTr="003B6D53">
        <w:tblPrEx>
          <w:tblCellMar>
            <w:top w:w="0" w:type="dxa"/>
            <w:bottom w:w="0" w:type="dxa"/>
          </w:tblCellMar>
        </w:tblPrEx>
        <w:trPr>
          <w:cantSplit/>
        </w:trPr>
        <w:tc>
          <w:tcPr>
            <w:tcW w:w="180" w:type="dxa"/>
            <w:tcBorders>
              <w:right w:val="single" w:sz="4" w:space="0" w:color="auto"/>
            </w:tcBorders>
          </w:tcPr>
          <w:p w:rsidR="000A0D43" w:rsidRDefault="000A0D43" w:rsidP="003B6D53">
            <w:pPr>
              <w:pStyle w:val="TableHeaderText"/>
              <w:jc w:val="left"/>
            </w:pPr>
          </w:p>
        </w:tc>
        <w:tc>
          <w:tcPr>
            <w:tcW w:w="3572" w:type="dxa"/>
            <w:tcBorders>
              <w:top w:val="single" w:sz="4" w:space="0" w:color="auto"/>
              <w:left w:val="single" w:sz="4" w:space="0" w:color="auto"/>
              <w:bottom w:val="single" w:sz="4" w:space="0" w:color="auto"/>
              <w:right w:val="single" w:sz="4" w:space="0" w:color="auto"/>
            </w:tcBorders>
          </w:tcPr>
          <w:p w:rsidR="000A0D43" w:rsidRDefault="000A0D43" w:rsidP="003B6D53">
            <w:pPr>
              <w:pStyle w:val="TableHeaderText"/>
            </w:pPr>
            <w:r>
              <w:t xml:space="preserve">Appearance of </w:t>
            </w:r>
          </w:p>
          <w:p w:rsidR="000A0D43" w:rsidRDefault="000A0D43" w:rsidP="003B6D53">
            <w:pPr>
              <w:pStyle w:val="TableHeaderText"/>
            </w:pPr>
            <w:r>
              <w:t xml:space="preserve">Test Device Window </w:t>
            </w:r>
          </w:p>
        </w:tc>
        <w:tc>
          <w:tcPr>
            <w:tcW w:w="4389" w:type="dxa"/>
            <w:tcBorders>
              <w:top w:val="single" w:sz="6" w:space="0" w:color="auto"/>
              <w:left w:val="single" w:sz="4" w:space="0" w:color="auto"/>
              <w:bottom w:val="single" w:sz="6" w:space="0" w:color="auto"/>
              <w:right w:val="single" w:sz="6" w:space="0" w:color="auto"/>
            </w:tcBorders>
          </w:tcPr>
          <w:p w:rsidR="000A0D43" w:rsidRDefault="000A0D43" w:rsidP="003B6D53">
            <w:pPr>
              <w:pStyle w:val="TableHeaderText"/>
            </w:pPr>
            <w:r>
              <w:t>Interpretation</w:t>
            </w:r>
          </w:p>
        </w:tc>
      </w:tr>
      <w:tr w:rsidR="000A0D43" w:rsidTr="003B6D53">
        <w:tblPrEx>
          <w:tblCellMar>
            <w:top w:w="0" w:type="dxa"/>
            <w:bottom w:w="0" w:type="dxa"/>
          </w:tblCellMar>
        </w:tblPrEx>
        <w:trPr>
          <w:gridBefore w:val="1"/>
          <w:wBefore w:w="180" w:type="dxa"/>
          <w:cantSplit/>
        </w:trPr>
        <w:tc>
          <w:tcPr>
            <w:tcW w:w="3572" w:type="dxa"/>
            <w:tcBorders>
              <w:top w:val="single" w:sz="6" w:space="0" w:color="auto"/>
              <w:left w:val="single" w:sz="6" w:space="0" w:color="auto"/>
              <w:bottom w:val="single" w:sz="6" w:space="0" w:color="auto"/>
              <w:right w:val="single" w:sz="6" w:space="0" w:color="auto"/>
            </w:tcBorders>
          </w:tcPr>
          <w:p w:rsidR="000A0D43" w:rsidRDefault="000A0D43" w:rsidP="003B6D53">
            <w:pPr>
              <w:pStyle w:val="TableText"/>
            </w:pPr>
            <w:r>
              <w:rPr>
                <w:b/>
              </w:rPr>
              <w:t xml:space="preserve">Two </w:t>
            </w:r>
            <w:r>
              <w:t>pink-to-purple colored lines will appear in the window.</w:t>
            </w:r>
          </w:p>
          <w:p w:rsidR="000A0D43" w:rsidRDefault="000A0D43" w:rsidP="003B6D53">
            <w:pPr>
              <w:pStyle w:val="TableText"/>
            </w:pPr>
            <w:r>
              <w:rPr>
                <w:noProof/>
              </w:rPr>
              <w:drawing>
                <wp:inline distT="0" distB="0" distL="0" distR="0">
                  <wp:extent cx="1381125" cy="65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57225"/>
                          </a:xfrm>
                          <a:prstGeom prst="rect">
                            <a:avLst/>
                          </a:prstGeom>
                          <a:noFill/>
                          <a:ln>
                            <a:noFill/>
                          </a:ln>
                        </pic:spPr>
                      </pic:pic>
                    </a:graphicData>
                  </a:graphic>
                </wp:inline>
              </w:drawing>
            </w:r>
          </w:p>
          <w:p w:rsidR="000A0D43" w:rsidRDefault="000A0D43" w:rsidP="003B6D53">
            <w:pPr>
              <w:autoSpaceDE w:val="0"/>
              <w:autoSpaceDN w:val="0"/>
              <w:adjustRightInd w:val="0"/>
            </w:pPr>
          </w:p>
        </w:tc>
        <w:tc>
          <w:tcPr>
            <w:tcW w:w="4389" w:type="dxa"/>
            <w:tcBorders>
              <w:top w:val="single" w:sz="6" w:space="0" w:color="auto"/>
              <w:left w:val="single" w:sz="6" w:space="0" w:color="auto"/>
              <w:bottom w:val="single" w:sz="6" w:space="0" w:color="auto"/>
              <w:right w:val="single" w:sz="6" w:space="0" w:color="auto"/>
            </w:tcBorders>
          </w:tcPr>
          <w:p w:rsidR="000A0D43" w:rsidRDefault="000A0D43" w:rsidP="003B6D53">
            <w:pPr>
              <w:pStyle w:val="TableText"/>
            </w:pPr>
            <w:r>
              <w:rPr>
                <w:i/>
              </w:rPr>
              <w:t xml:space="preserve">S. </w:t>
            </w:r>
            <w:proofErr w:type="spellStart"/>
            <w:r>
              <w:rPr>
                <w:i/>
              </w:rPr>
              <w:t>pneumoniae</w:t>
            </w:r>
            <w:proofErr w:type="spellEnd"/>
            <w:r>
              <w:t xml:space="preserve"> antigen was detected. </w:t>
            </w:r>
          </w:p>
          <w:p w:rsidR="000A0D43" w:rsidRDefault="000A0D43" w:rsidP="003B6D53">
            <w:pPr>
              <w:pStyle w:val="TableText"/>
            </w:pPr>
          </w:p>
        </w:tc>
      </w:tr>
      <w:tr w:rsidR="000A0D43" w:rsidTr="003B6D53">
        <w:tblPrEx>
          <w:tblCellMar>
            <w:top w:w="0" w:type="dxa"/>
            <w:bottom w:w="0" w:type="dxa"/>
          </w:tblCellMar>
        </w:tblPrEx>
        <w:trPr>
          <w:gridBefore w:val="1"/>
          <w:wBefore w:w="180" w:type="dxa"/>
          <w:cantSplit/>
        </w:trPr>
        <w:tc>
          <w:tcPr>
            <w:tcW w:w="3572" w:type="dxa"/>
            <w:tcBorders>
              <w:top w:val="single" w:sz="6" w:space="0" w:color="auto"/>
              <w:left w:val="single" w:sz="6" w:space="0" w:color="auto"/>
              <w:bottom w:val="single" w:sz="6" w:space="0" w:color="auto"/>
              <w:right w:val="single" w:sz="6" w:space="0" w:color="auto"/>
            </w:tcBorders>
          </w:tcPr>
          <w:p w:rsidR="000A0D43" w:rsidRDefault="000A0D43" w:rsidP="003B6D53">
            <w:pPr>
              <w:pStyle w:val="TableText"/>
              <w:rPr>
                <w:sz w:val="22"/>
                <w:szCs w:val="22"/>
              </w:rPr>
            </w:pPr>
            <w:r>
              <w:rPr>
                <w:szCs w:val="24"/>
              </w:rPr>
              <w:t>A</w:t>
            </w:r>
            <w:r>
              <w:rPr>
                <w:b/>
                <w:szCs w:val="24"/>
              </w:rPr>
              <w:t xml:space="preserve"> single </w:t>
            </w:r>
            <w:r>
              <w:rPr>
                <w:szCs w:val="24"/>
              </w:rPr>
              <w:t>pink-to-purple colored line will appear in the top half of the window</w:t>
            </w:r>
            <w:r>
              <w:rPr>
                <w:sz w:val="22"/>
                <w:szCs w:val="22"/>
              </w:rPr>
              <w:t>.</w:t>
            </w:r>
          </w:p>
          <w:p w:rsidR="000A0D43" w:rsidRDefault="000A0D43" w:rsidP="003B6D53">
            <w:pPr>
              <w:pStyle w:val="TableText"/>
              <w:rPr>
                <w:sz w:val="22"/>
                <w:szCs w:val="22"/>
              </w:rPr>
            </w:pPr>
            <w:r>
              <w:rPr>
                <w:sz w:val="22"/>
                <w:szCs w:val="22"/>
              </w:rPr>
              <w:t xml:space="preserve">  </w:t>
            </w:r>
            <w:r>
              <w:rPr>
                <w:noProof/>
                <w:sz w:val="22"/>
                <w:szCs w:val="22"/>
              </w:rPr>
              <w:drawing>
                <wp:inline distT="0" distB="0" distL="0" distR="0">
                  <wp:extent cx="1133475" cy="647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647700"/>
                          </a:xfrm>
                          <a:prstGeom prst="rect">
                            <a:avLst/>
                          </a:prstGeom>
                          <a:noFill/>
                          <a:ln>
                            <a:noFill/>
                          </a:ln>
                        </pic:spPr>
                      </pic:pic>
                    </a:graphicData>
                  </a:graphic>
                </wp:inline>
              </w:drawing>
            </w:r>
          </w:p>
        </w:tc>
        <w:tc>
          <w:tcPr>
            <w:tcW w:w="4389" w:type="dxa"/>
            <w:tcBorders>
              <w:top w:val="single" w:sz="6" w:space="0" w:color="auto"/>
              <w:left w:val="single" w:sz="6" w:space="0" w:color="auto"/>
              <w:bottom w:val="single" w:sz="6" w:space="0" w:color="auto"/>
              <w:right w:val="single" w:sz="6" w:space="0" w:color="auto"/>
            </w:tcBorders>
          </w:tcPr>
          <w:p w:rsidR="000A0D43" w:rsidRDefault="000A0D43" w:rsidP="003B6D53">
            <w:pPr>
              <w:pStyle w:val="BlockText"/>
            </w:pPr>
            <w:r>
              <w:t xml:space="preserve">Control line means that the detection part of the test was done correctly, but </w:t>
            </w:r>
            <w:r w:rsidRPr="006B20AA">
              <w:t>no</w:t>
            </w:r>
            <w:r>
              <w:t xml:space="preserve"> </w:t>
            </w:r>
            <w:r>
              <w:rPr>
                <w:i/>
              </w:rPr>
              <w:t xml:space="preserve">S. </w:t>
            </w:r>
            <w:proofErr w:type="spellStart"/>
            <w:r>
              <w:rPr>
                <w:i/>
              </w:rPr>
              <w:t>pneumoniae</w:t>
            </w:r>
            <w:proofErr w:type="spellEnd"/>
            <w:r>
              <w:t xml:space="preserve"> antigen was detected.</w:t>
            </w:r>
          </w:p>
        </w:tc>
      </w:tr>
      <w:tr w:rsidR="000A0D43" w:rsidTr="003B6D53">
        <w:tblPrEx>
          <w:tblCellMar>
            <w:top w:w="0" w:type="dxa"/>
            <w:bottom w:w="0" w:type="dxa"/>
          </w:tblCellMar>
        </w:tblPrEx>
        <w:trPr>
          <w:gridBefore w:val="1"/>
          <w:wBefore w:w="180" w:type="dxa"/>
          <w:cantSplit/>
        </w:trPr>
        <w:tc>
          <w:tcPr>
            <w:tcW w:w="3572" w:type="dxa"/>
            <w:tcBorders>
              <w:top w:val="single" w:sz="6" w:space="0" w:color="auto"/>
              <w:left w:val="single" w:sz="6" w:space="0" w:color="auto"/>
              <w:bottom w:val="single" w:sz="6" w:space="0" w:color="auto"/>
              <w:right w:val="single" w:sz="6" w:space="0" w:color="auto"/>
            </w:tcBorders>
          </w:tcPr>
          <w:p w:rsidR="000A0D43" w:rsidRDefault="000A0D43" w:rsidP="003B6D53">
            <w:pPr>
              <w:pStyle w:val="TableText"/>
              <w:rPr>
                <w:szCs w:val="24"/>
              </w:rPr>
            </w:pPr>
            <w:r>
              <w:rPr>
                <w:b/>
                <w:szCs w:val="24"/>
              </w:rPr>
              <w:t xml:space="preserve">No </w:t>
            </w:r>
            <w:r>
              <w:rPr>
                <w:szCs w:val="24"/>
              </w:rPr>
              <w:t>lines are seen, or just the sample line is seen.</w:t>
            </w:r>
          </w:p>
          <w:p w:rsidR="000A0D43" w:rsidRDefault="000A0D43" w:rsidP="003B6D53">
            <w:pPr>
              <w:pStyle w:val="TableText"/>
              <w:rPr>
                <w:szCs w:val="24"/>
              </w:rPr>
            </w:pPr>
            <w:r>
              <w:rPr>
                <w:noProof/>
                <w:szCs w:val="24"/>
              </w:rPr>
              <w:drawing>
                <wp:inline distT="0" distB="0" distL="0" distR="0">
                  <wp:extent cx="195262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962025"/>
                          </a:xfrm>
                          <a:prstGeom prst="rect">
                            <a:avLst/>
                          </a:prstGeom>
                          <a:noFill/>
                          <a:ln>
                            <a:noFill/>
                          </a:ln>
                        </pic:spPr>
                      </pic:pic>
                    </a:graphicData>
                  </a:graphic>
                </wp:inline>
              </w:drawing>
            </w:r>
          </w:p>
        </w:tc>
        <w:tc>
          <w:tcPr>
            <w:tcW w:w="4389" w:type="dxa"/>
            <w:tcBorders>
              <w:top w:val="single" w:sz="6" w:space="0" w:color="auto"/>
              <w:left w:val="single" w:sz="6" w:space="0" w:color="auto"/>
              <w:bottom w:val="single" w:sz="6" w:space="0" w:color="auto"/>
              <w:right w:val="single" w:sz="6" w:space="0" w:color="auto"/>
            </w:tcBorders>
          </w:tcPr>
          <w:p w:rsidR="000A0D43" w:rsidRDefault="000A0D43" w:rsidP="003B6D53">
            <w:pPr>
              <w:pStyle w:val="BlockText"/>
            </w:pPr>
            <w:r>
              <w:t xml:space="preserve">Assay is invalid </w:t>
            </w:r>
          </w:p>
          <w:p w:rsidR="000A0D43" w:rsidRDefault="000A0D43" w:rsidP="003B6D53">
            <w:pPr>
              <w:pStyle w:val="BlockText"/>
            </w:pPr>
            <w:r>
              <w:rPr>
                <w:b/>
              </w:rPr>
              <w:t>Repeat the test</w:t>
            </w:r>
            <w:r>
              <w:t>.</w:t>
            </w:r>
          </w:p>
        </w:tc>
      </w:tr>
    </w:tbl>
    <w:p w:rsidR="000A0D43" w:rsidRDefault="000A0D43" w:rsidP="000A0D43"/>
    <w:p w:rsidR="000A0D43" w:rsidRDefault="000A0D43" w:rsidP="000A0D43"/>
    <w:p w:rsidR="000A0D43" w:rsidRDefault="000A0D43" w:rsidP="000A0D43"/>
    <w:p w:rsidR="000A0D43" w:rsidRPr="000A0D43" w:rsidRDefault="000A0D43" w:rsidP="000A0D43"/>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3C7698" w:rsidP="00803536">
            <w:pPr>
              <w:pStyle w:val="Heading5"/>
            </w:pPr>
            <w:proofErr w:type="gramStart"/>
            <w:r>
              <w:rPr>
                <w:szCs w:val="22"/>
              </w:rPr>
              <w:t xml:space="preserve">Reporting  </w:t>
            </w:r>
            <w:r>
              <w:rPr>
                <w:szCs w:val="22"/>
              </w:rPr>
              <w:t>Quality</w:t>
            </w:r>
            <w:proofErr w:type="gramEnd"/>
            <w:r>
              <w:rPr>
                <w:szCs w:val="22"/>
              </w:rPr>
              <w:t xml:space="preserve"> </w:t>
            </w:r>
            <w:r>
              <w:rPr>
                <w:szCs w:val="22"/>
              </w:rPr>
              <w:t>control Results</w:t>
            </w:r>
          </w:p>
        </w:tc>
        <w:tc>
          <w:tcPr>
            <w:tcW w:w="8010" w:type="dxa"/>
          </w:tcPr>
          <w:p w:rsidR="009451A0" w:rsidRPr="003C7698" w:rsidRDefault="003C7698" w:rsidP="003C7698">
            <w:pPr>
              <w:pStyle w:val="BodyText"/>
              <w:ind w:left="-18"/>
              <w:rPr>
                <w:b w:val="0"/>
                <w:sz w:val="24"/>
                <w:szCs w:val="24"/>
              </w:rPr>
            </w:pPr>
            <w:r w:rsidRPr="003C7698">
              <w:rPr>
                <w:b w:val="0"/>
                <w:sz w:val="24"/>
                <w:szCs w:val="24"/>
              </w:rPr>
              <w:t>Record control results for internal and external controls in the QC log book each time external control is tested.</w:t>
            </w:r>
          </w:p>
          <w:tbl>
            <w:tblPr>
              <w:tblpPr w:leftFromText="180" w:rightFromText="180" w:vertAnchor="text" w:horzAnchor="margin" w:tblpY="254"/>
              <w:tblOverlap w:val="never"/>
              <w:tblW w:w="6750" w:type="dxa"/>
              <w:tblLayout w:type="fixed"/>
              <w:tblCellMar>
                <w:left w:w="80" w:type="dxa"/>
                <w:right w:w="80" w:type="dxa"/>
              </w:tblCellMar>
              <w:tblLook w:val="0000" w:firstRow="0" w:lastRow="0" w:firstColumn="0" w:lastColumn="0" w:noHBand="0" w:noVBand="0"/>
            </w:tblPr>
            <w:tblGrid>
              <w:gridCol w:w="990"/>
              <w:gridCol w:w="5760"/>
            </w:tblGrid>
            <w:tr w:rsidR="003C7698" w:rsidTr="003C7698">
              <w:tblPrEx>
                <w:tblCellMar>
                  <w:top w:w="0" w:type="dxa"/>
                  <w:bottom w:w="0"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3C7698" w:rsidRDefault="003C7698" w:rsidP="003C7698">
                  <w:pPr>
                    <w:pStyle w:val="TableHeaderText"/>
                  </w:pPr>
                  <w:r>
                    <w:t>Result</w:t>
                  </w:r>
                </w:p>
              </w:tc>
              <w:tc>
                <w:tcPr>
                  <w:tcW w:w="5760" w:type="dxa"/>
                  <w:tcBorders>
                    <w:top w:val="single" w:sz="6" w:space="0" w:color="auto"/>
                    <w:left w:val="single" w:sz="6" w:space="0" w:color="auto"/>
                    <w:bottom w:val="single" w:sz="6" w:space="0" w:color="auto"/>
                    <w:right w:val="single" w:sz="6" w:space="0" w:color="auto"/>
                  </w:tcBorders>
                </w:tcPr>
                <w:p w:rsidR="003C7698" w:rsidRDefault="003C7698" w:rsidP="003C7698">
                  <w:pPr>
                    <w:pStyle w:val="TableHeaderText"/>
                  </w:pPr>
                  <w:r>
                    <w:t>Description</w:t>
                  </w:r>
                </w:p>
              </w:tc>
            </w:tr>
            <w:tr w:rsidR="003C7698" w:rsidTr="003C7698">
              <w:tblPrEx>
                <w:tblCellMar>
                  <w:top w:w="0" w:type="dxa"/>
                  <w:bottom w:w="0"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3C7698" w:rsidRDefault="003C7698" w:rsidP="003C7698">
                  <w:pPr>
                    <w:pStyle w:val="TableText"/>
                    <w:rPr>
                      <w:b/>
                    </w:rPr>
                  </w:pPr>
                  <w:r>
                    <w:rPr>
                      <w:b/>
                      <w:sz w:val="22"/>
                      <w:szCs w:val="22"/>
                    </w:rPr>
                    <w:t>Positive</w:t>
                  </w:r>
                </w:p>
              </w:tc>
              <w:tc>
                <w:tcPr>
                  <w:tcW w:w="5760" w:type="dxa"/>
                  <w:tcBorders>
                    <w:top w:val="single" w:sz="6" w:space="0" w:color="auto"/>
                    <w:left w:val="single" w:sz="6" w:space="0" w:color="auto"/>
                    <w:bottom w:val="single" w:sz="6" w:space="0" w:color="auto"/>
                    <w:right w:val="single" w:sz="6" w:space="0" w:color="auto"/>
                  </w:tcBorders>
                </w:tcPr>
                <w:p w:rsidR="003C7698" w:rsidRDefault="003C7698" w:rsidP="003C7698">
                  <w:pPr>
                    <w:pStyle w:val="TableText"/>
                  </w:pPr>
                  <w:r>
                    <w:t xml:space="preserve">Streptococcal </w:t>
                  </w:r>
                  <w:proofErr w:type="spellStart"/>
                  <w:r>
                    <w:t>pneumoniae</w:t>
                  </w:r>
                  <w:proofErr w:type="spellEnd"/>
                  <w:r>
                    <w:t xml:space="preserve"> antigen detected.  </w:t>
                  </w:r>
                </w:p>
              </w:tc>
            </w:tr>
            <w:tr w:rsidR="003C7698" w:rsidTr="003C7698">
              <w:tblPrEx>
                <w:tblCellMar>
                  <w:top w:w="0" w:type="dxa"/>
                  <w:bottom w:w="0"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3C7698" w:rsidRDefault="003C7698" w:rsidP="003C7698">
                  <w:pPr>
                    <w:pStyle w:val="TableText"/>
                    <w:rPr>
                      <w:b/>
                      <w:sz w:val="22"/>
                      <w:szCs w:val="22"/>
                    </w:rPr>
                  </w:pPr>
                  <w:r>
                    <w:rPr>
                      <w:b/>
                      <w:sz w:val="22"/>
                      <w:szCs w:val="22"/>
                    </w:rPr>
                    <w:t>Negative</w:t>
                  </w:r>
                </w:p>
              </w:tc>
              <w:tc>
                <w:tcPr>
                  <w:tcW w:w="5760" w:type="dxa"/>
                  <w:tcBorders>
                    <w:top w:val="single" w:sz="6" w:space="0" w:color="auto"/>
                    <w:left w:val="single" w:sz="6" w:space="0" w:color="auto"/>
                    <w:bottom w:val="single" w:sz="6" w:space="0" w:color="auto"/>
                    <w:right w:val="single" w:sz="6" w:space="0" w:color="auto"/>
                  </w:tcBorders>
                </w:tcPr>
                <w:p w:rsidR="003C7698" w:rsidRDefault="003C7698" w:rsidP="003C7698">
                  <w:pPr>
                    <w:pStyle w:val="BlockText"/>
                    <w:jc w:val="left"/>
                    <w:rPr>
                      <w:rFonts w:ascii="Helv" w:hAnsi="Helv" w:cs="Helv"/>
                      <w:iCs/>
                      <w:color w:val="000000"/>
                      <w:sz w:val="20"/>
                    </w:rPr>
                  </w:pPr>
                  <w:r>
                    <w:t xml:space="preserve">Streptococcal </w:t>
                  </w:r>
                  <w:proofErr w:type="spellStart"/>
                  <w:r>
                    <w:t>pneumoniae</w:t>
                  </w:r>
                  <w:proofErr w:type="spellEnd"/>
                  <w:r>
                    <w:t xml:space="preserve"> antigen detected.</w:t>
                  </w:r>
                </w:p>
              </w:tc>
            </w:tr>
          </w:tbl>
          <w:p w:rsidR="009451A0" w:rsidRPr="00781F79" w:rsidRDefault="009451A0" w:rsidP="006C4C9A">
            <w:pPr>
              <w:pStyle w:val="BodyText"/>
              <w:ind w:left="-18"/>
              <w:rPr>
                <w:szCs w:val="24"/>
              </w:rPr>
            </w:pPr>
          </w:p>
        </w:tc>
      </w:tr>
    </w:tbl>
    <w:p w:rsidR="009451A0" w:rsidRDefault="009451A0" w:rsidP="009451A0">
      <w:pPr>
        <w:pStyle w:val="BlockLine"/>
      </w:pPr>
    </w:p>
    <w:p w:rsidR="005A6EE9" w:rsidRDefault="005A6EE9" w:rsidP="00A9592D">
      <w:pPr>
        <w:pStyle w:val="BlockLine"/>
        <w:ind w:left="0"/>
      </w:pPr>
    </w:p>
    <w:p w:rsidR="005A6EE9" w:rsidRDefault="005A6EE9" w:rsidP="005A6EE9">
      <w:pPr>
        <w:pStyle w:val="BlockLine"/>
      </w:pPr>
    </w:p>
    <w:tbl>
      <w:tblPr>
        <w:tblW w:w="9900" w:type="dxa"/>
        <w:tblInd w:w="-90" w:type="dxa"/>
        <w:tblLayout w:type="fixed"/>
        <w:tblLook w:val="0000" w:firstRow="0" w:lastRow="0" w:firstColumn="0" w:lastColumn="0" w:noHBand="0" w:noVBand="0"/>
      </w:tblPr>
      <w:tblGrid>
        <w:gridCol w:w="90"/>
        <w:gridCol w:w="1620"/>
        <w:gridCol w:w="108"/>
        <w:gridCol w:w="8010"/>
        <w:gridCol w:w="72"/>
      </w:tblGrid>
      <w:tr w:rsidR="00A9592D" w:rsidTr="00A9592D">
        <w:tblPrEx>
          <w:tblCellMar>
            <w:top w:w="0" w:type="dxa"/>
            <w:bottom w:w="0" w:type="dxa"/>
          </w:tblCellMar>
        </w:tblPrEx>
        <w:trPr>
          <w:cantSplit/>
          <w:trHeight w:val="5106"/>
        </w:trPr>
        <w:tc>
          <w:tcPr>
            <w:tcW w:w="1710" w:type="dxa"/>
            <w:gridSpan w:val="2"/>
          </w:tcPr>
          <w:p w:rsidR="00A9592D" w:rsidRDefault="00A9592D" w:rsidP="003B6D53">
            <w:pPr>
              <w:pStyle w:val="TableHeaderText"/>
              <w:jc w:val="left"/>
            </w:pPr>
            <w:r>
              <w:t>Procedure Notes</w:t>
            </w:r>
          </w:p>
        </w:tc>
        <w:tc>
          <w:tcPr>
            <w:tcW w:w="8190" w:type="dxa"/>
            <w:gridSpan w:val="3"/>
          </w:tcPr>
          <w:p w:rsidR="00A9592D" w:rsidRDefault="00A9592D" w:rsidP="00A9592D">
            <w:pPr>
              <w:pStyle w:val="BlockText"/>
              <w:numPr>
                <w:ilvl w:val="0"/>
                <w:numId w:val="24"/>
              </w:numPr>
              <w:jc w:val="left"/>
            </w:pPr>
            <w:r>
              <w:rPr>
                <w:b/>
              </w:rPr>
              <w:t>Invalid results</w:t>
            </w:r>
            <w:r>
              <w:t xml:space="preserve">, </w:t>
            </w:r>
            <w:r>
              <w:rPr>
                <w:b/>
              </w:rPr>
              <w:t>indicated by no control line, can occur when</w:t>
            </w:r>
            <w:r>
              <w:t xml:space="preserve"> </w:t>
            </w:r>
            <w:r>
              <w:rPr>
                <w:b/>
              </w:rPr>
              <w:t xml:space="preserve">an insufficient volume of Reagent A is added to the test device. </w:t>
            </w:r>
          </w:p>
          <w:p w:rsidR="00A9592D" w:rsidRDefault="00A9592D" w:rsidP="00A9592D">
            <w:pPr>
              <w:pStyle w:val="BlockText"/>
              <w:numPr>
                <w:ilvl w:val="0"/>
                <w:numId w:val="24"/>
              </w:numPr>
              <w:jc w:val="left"/>
            </w:pPr>
            <w:r>
              <w:t>To ensure delivery of an adequate volume, hold vial vertically, ½ to 1 inch above the swab well, and slowly add free falling drops.</w:t>
            </w:r>
          </w:p>
          <w:p w:rsidR="00A9592D" w:rsidRDefault="00A9592D" w:rsidP="00A9592D">
            <w:pPr>
              <w:pStyle w:val="BlockText"/>
              <w:numPr>
                <w:ilvl w:val="0"/>
                <w:numId w:val="25"/>
              </w:numPr>
              <w:jc w:val="left"/>
            </w:pPr>
            <w:r>
              <w:t xml:space="preserve">The test device is sealed in a protective foil pouch. </w:t>
            </w:r>
          </w:p>
          <w:p w:rsidR="00A9592D" w:rsidRDefault="00A9592D" w:rsidP="00A9592D">
            <w:pPr>
              <w:pStyle w:val="BlockText"/>
              <w:numPr>
                <w:ilvl w:val="0"/>
                <w:numId w:val="25"/>
              </w:numPr>
              <w:ind w:left="432"/>
              <w:jc w:val="left"/>
            </w:pPr>
            <w:r>
              <w:t xml:space="preserve">Do not use if pouch is damaged or open. </w:t>
            </w:r>
          </w:p>
          <w:p w:rsidR="00A9592D" w:rsidRDefault="00A9592D" w:rsidP="00A9592D">
            <w:pPr>
              <w:pStyle w:val="BlockText"/>
              <w:numPr>
                <w:ilvl w:val="0"/>
                <w:numId w:val="25"/>
              </w:numPr>
              <w:ind w:left="432"/>
              <w:jc w:val="left"/>
            </w:pPr>
            <w:r>
              <w:t xml:space="preserve">Remove test device from pouch just prior to use. </w:t>
            </w:r>
          </w:p>
          <w:p w:rsidR="00A9592D" w:rsidRDefault="00A9592D" w:rsidP="00A9592D">
            <w:pPr>
              <w:pStyle w:val="BlockText"/>
              <w:numPr>
                <w:ilvl w:val="0"/>
                <w:numId w:val="25"/>
              </w:numPr>
              <w:ind w:left="432"/>
              <w:jc w:val="left"/>
            </w:pPr>
            <w:r>
              <w:t>Do not touch the reaction area of the test device.</w:t>
            </w:r>
          </w:p>
          <w:p w:rsidR="00A9592D" w:rsidRDefault="00A9592D" w:rsidP="00A9592D">
            <w:pPr>
              <w:pStyle w:val="BlockText"/>
              <w:numPr>
                <w:ilvl w:val="0"/>
                <w:numId w:val="25"/>
              </w:numPr>
              <w:jc w:val="left"/>
            </w:pPr>
            <w:r>
              <w:t>Do not use kit past its expiration date.</w:t>
            </w:r>
          </w:p>
          <w:p w:rsidR="00A9592D" w:rsidRDefault="00A9592D" w:rsidP="00A9592D">
            <w:pPr>
              <w:pStyle w:val="BlockText"/>
              <w:numPr>
                <w:ilvl w:val="0"/>
                <w:numId w:val="25"/>
              </w:numPr>
              <w:jc w:val="left"/>
            </w:pPr>
            <w:r>
              <w:t>Do not mix components from different kit lots.</w:t>
            </w:r>
          </w:p>
          <w:p w:rsidR="00A9592D" w:rsidRDefault="00A9592D" w:rsidP="00A9592D">
            <w:pPr>
              <w:pStyle w:val="TableText"/>
              <w:numPr>
                <w:ilvl w:val="0"/>
                <w:numId w:val="26"/>
              </w:numPr>
            </w:pPr>
            <w:r>
              <w:t xml:space="preserve">Swabs in the kit are approved for use in the </w:t>
            </w:r>
            <w:proofErr w:type="spellStart"/>
            <w:r>
              <w:t>Binax</w:t>
            </w:r>
            <w:proofErr w:type="spellEnd"/>
            <w:r>
              <w:t xml:space="preserve"> NOW</w:t>
            </w:r>
            <w:r>
              <w:rPr>
                <w:b/>
                <w:vertAlign w:val="superscript"/>
              </w:rPr>
              <w:t>®</w:t>
            </w:r>
            <w:r>
              <w:t xml:space="preserve"> Test. </w:t>
            </w:r>
            <w:r>
              <w:rPr>
                <w:b/>
                <w:bCs/>
              </w:rPr>
              <w:t>Do not use other swabs</w:t>
            </w:r>
            <w:r>
              <w:t>.</w:t>
            </w:r>
          </w:p>
          <w:p w:rsidR="00A9592D" w:rsidRDefault="00A9592D" w:rsidP="00A9592D">
            <w:pPr>
              <w:pStyle w:val="BlockText"/>
              <w:numPr>
                <w:ilvl w:val="0"/>
                <w:numId w:val="27"/>
              </w:numPr>
              <w:jc w:val="left"/>
            </w:pPr>
            <w:r>
              <w:t>Solutions used to make the control swabs are inactivated using standard methods. However, patient samples, controls, and test devices should be handled as though they could transmit disease. Observe established precautions against microbial hazards.</w:t>
            </w:r>
          </w:p>
          <w:p w:rsidR="00A9592D" w:rsidRDefault="00A9592D" w:rsidP="00A9592D">
            <w:pPr>
              <w:pStyle w:val="TableText"/>
              <w:numPr>
                <w:ilvl w:val="0"/>
                <w:numId w:val="27"/>
              </w:numPr>
            </w:pPr>
            <w:r>
              <w:t>Clean catch urine is not necessary for the NOW</w:t>
            </w:r>
            <w:r>
              <w:rPr>
                <w:b/>
                <w:vertAlign w:val="superscript"/>
              </w:rPr>
              <w:t>®</w:t>
            </w:r>
            <w:r>
              <w:t xml:space="preserve"> test. Therefore, urine specimens for this test may not be appropriate for bacteriological culture.</w:t>
            </w:r>
          </w:p>
        </w:tc>
      </w:tr>
      <w:tr w:rsidR="005A6EE9" w:rsidRPr="00781F79" w:rsidTr="00A9592D">
        <w:tblPrEx>
          <w:tblCellMar>
            <w:top w:w="0" w:type="dxa"/>
            <w:bottom w:w="0" w:type="dxa"/>
          </w:tblCellMar>
        </w:tblPrEx>
        <w:trPr>
          <w:gridBefore w:val="1"/>
          <w:gridAfter w:val="1"/>
          <w:wBefore w:w="90" w:type="dxa"/>
          <w:wAfter w:w="72" w:type="dxa"/>
          <w:cantSplit/>
        </w:trPr>
        <w:tc>
          <w:tcPr>
            <w:tcW w:w="1728" w:type="dxa"/>
            <w:gridSpan w:val="2"/>
          </w:tcPr>
          <w:p w:rsidR="005A6EE9" w:rsidRPr="006A107B" w:rsidRDefault="005A6EE9" w:rsidP="00803536">
            <w:pPr>
              <w:pStyle w:val="Heading5"/>
            </w:pPr>
          </w:p>
        </w:tc>
        <w:tc>
          <w:tcPr>
            <w:tcW w:w="8010" w:type="dxa"/>
          </w:tcPr>
          <w:p w:rsidR="005A6EE9" w:rsidRDefault="005A6EE9" w:rsidP="00803536">
            <w:pPr>
              <w:rPr>
                <w:szCs w:val="24"/>
              </w:rPr>
            </w:pPr>
          </w:p>
          <w:p w:rsidR="005A6EE9" w:rsidRDefault="005A6EE9" w:rsidP="00803536">
            <w:pPr>
              <w:rPr>
                <w:szCs w:val="24"/>
              </w:rPr>
            </w:pPr>
          </w:p>
          <w:p w:rsidR="005A6EE9" w:rsidRDefault="005A6EE9" w:rsidP="00803536">
            <w:pPr>
              <w:rPr>
                <w:szCs w:val="24"/>
              </w:rPr>
            </w:pPr>
          </w:p>
          <w:p w:rsidR="005A6EE9" w:rsidRPr="00781F79" w:rsidRDefault="005A6EE9" w:rsidP="00803536">
            <w:pPr>
              <w:rPr>
                <w:szCs w:val="24"/>
              </w:rPr>
            </w:pPr>
          </w:p>
        </w:tc>
      </w:tr>
    </w:tbl>
    <w:p w:rsidR="005A6EE9" w:rsidRDefault="005A6EE9" w:rsidP="005A6EE9">
      <w:pPr>
        <w:pStyle w:val="BlockLine"/>
      </w:pPr>
    </w:p>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Default="00A9592D" w:rsidP="00A9592D"/>
    <w:p w:rsidR="00A9592D" w:rsidRPr="00A9592D" w:rsidRDefault="00A9592D" w:rsidP="00A9592D"/>
    <w:p w:rsidR="00781F79" w:rsidRDefault="00781F79" w:rsidP="00781F79">
      <w:pPr>
        <w:pStyle w:val="BlockLine"/>
      </w:pPr>
    </w:p>
    <w:tbl>
      <w:tblPr>
        <w:tblW w:w="0" w:type="auto"/>
        <w:tblLayout w:type="fixed"/>
        <w:tblLook w:val="0000" w:firstRow="0" w:lastRow="0" w:firstColumn="0" w:lastColumn="0" w:noHBand="0" w:noVBand="0"/>
      </w:tblPr>
      <w:tblGrid>
        <w:gridCol w:w="1709"/>
        <w:gridCol w:w="8014"/>
      </w:tblGrid>
      <w:tr w:rsidR="00781F79" w:rsidTr="00F06DB2">
        <w:trPr>
          <w:cantSplit/>
          <w:trHeight w:val="972"/>
        </w:trPr>
        <w:tc>
          <w:tcPr>
            <w:tcW w:w="1709" w:type="dxa"/>
          </w:tcPr>
          <w:p w:rsidR="00781F79" w:rsidRDefault="00781F79" w:rsidP="0009129B">
            <w:pPr>
              <w:pStyle w:val="Heading5"/>
            </w:pPr>
            <w:r>
              <w:t>Non-Controlled Documents</w:t>
            </w:r>
          </w:p>
        </w:tc>
        <w:tc>
          <w:tcPr>
            <w:tcW w:w="8014" w:type="dxa"/>
          </w:tcPr>
          <w:p w:rsidR="00781F79" w:rsidRDefault="00781F79" w:rsidP="0009129B">
            <w:pPr>
              <w:pStyle w:val="BlockText"/>
              <w:jc w:val="left"/>
            </w:pPr>
            <w:r>
              <w:t>The following non-controlled documents support this p</w:t>
            </w:r>
            <w:r w:rsidR="00D20336">
              <w:t>rocedure</w:t>
            </w:r>
            <w:r>
              <w:t>.</w:t>
            </w:r>
          </w:p>
          <w:p w:rsidR="00781F79" w:rsidRDefault="00781F79" w:rsidP="0009129B">
            <w:pPr>
              <w:pStyle w:val="BlockText"/>
              <w:tabs>
                <w:tab w:val="left" w:pos="162"/>
              </w:tabs>
              <w:jc w:val="left"/>
            </w:pPr>
          </w:p>
          <w:p w:rsidR="00781F79" w:rsidRDefault="00A9592D" w:rsidP="0009129B">
            <w:pPr>
              <w:pStyle w:val="BlockText"/>
              <w:numPr>
                <w:ilvl w:val="0"/>
                <w:numId w:val="4"/>
              </w:numPr>
              <w:tabs>
                <w:tab w:val="left" w:pos="162"/>
              </w:tabs>
              <w:jc w:val="left"/>
            </w:pPr>
            <w:r>
              <w:t>NOW</w:t>
            </w:r>
            <w:r>
              <w:rPr>
                <w:vertAlign w:val="superscript"/>
              </w:rPr>
              <w:t>®</w:t>
            </w:r>
            <w:r>
              <w:t xml:space="preserve"> </w:t>
            </w:r>
            <w:r>
              <w:rPr>
                <w:i/>
              </w:rPr>
              <w:t xml:space="preserve">Streptococcus </w:t>
            </w:r>
            <w:proofErr w:type="spellStart"/>
            <w:r>
              <w:rPr>
                <w:i/>
              </w:rPr>
              <w:t>pneumoniae</w:t>
            </w:r>
            <w:proofErr w:type="spellEnd"/>
            <w:r>
              <w:t xml:space="preserve"> Test product instructions [package insert].</w:t>
            </w:r>
          </w:p>
          <w:p w:rsidR="00F06DB2" w:rsidRDefault="00F06DB2" w:rsidP="00A9592D">
            <w:pPr>
              <w:pStyle w:val="BlockText"/>
              <w:tabs>
                <w:tab w:val="left" w:pos="162"/>
              </w:tabs>
              <w:jc w:val="left"/>
            </w:pPr>
          </w:p>
        </w:tc>
      </w:tr>
    </w:tbl>
    <w:p w:rsidR="00F06DB2" w:rsidRDefault="00F06DB2" w:rsidP="00F06DB2">
      <w:pPr>
        <w:pStyle w:val="BlockLine"/>
      </w:pPr>
    </w:p>
    <w:p w:rsidR="00710C83" w:rsidRPr="00710C83" w:rsidRDefault="00710C83" w:rsidP="00710C83"/>
    <w:tbl>
      <w:tblPr>
        <w:tblW w:w="9738" w:type="dxa"/>
        <w:tblLayout w:type="fixed"/>
        <w:tblLook w:val="0000" w:firstRow="0" w:lastRow="0" w:firstColumn="0" w:lastColumn="0" w:noHBand="0" w:noVBand="0"/>
      </w:tblPr>
      <w:tblGrid>
        <w:gridCol w:w="1728"/>
        <w:gridCol w:w="8010"/>
      </w:tblGrid>
      <w:tr w:rsidR="00A9592D" w:rsidTr="00A9592D">
        <w:trPr>
          <w:cantSplit/>
        </w:trPr>
        <w:tc>
          <w:tcPr>
            <w:tcW w:w="1728" w:type="dxa"/>
          </w:tcPr>
          <w:p w:rsidR="00A9592D" w:rsidRPr="00781F79" w:rsidRDefault="00710C83" w:rsidP="003B6D53">
            <w:pPr>
              <w:pStyle w:val="Heading5"/>
            </w:pPr>
            <w:r>
              <w:t>Controlled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9592D" w:rsidTr="00710C83">
              <w:tc>
                <w:tcPr>
                  <w:tcW w:w="2407" w:type="dxa"/>
                  <w:shd w:val="clear" w:color="auto" w:fill="auto"/>
                </w:tcPr>
                <w:p w:rsidR="00A9592D" w:rsidRPr="007D3E52" w:rsidRDefault="00A9592D" w:rsidP="003B6D53">
                  <w:pPr>
                    <w:pStyle w:val="BlockText"/>
                    <w:rPr>
                      <w:b/>
                    </w:rPr>
                  </w:pPr>
                  <w:r w:rsidRPr="007D3E52">
                    <w:rPr>
                      <w:b/>
                    </w:rPr>
                    <w:t>Document Number</w:t>
                  </w:r>
                </w:p>
              </w:tc>
              <w:tc>
                <w:tcPr>
                  <w:tcW w:w="5102" w:type="dxa"/>
                  <w:shd w:val="clear" w:color="auto" w:fill="auto"/>
                </w:tcPr>
                <w:p w:rsidR="00A9592D" w:rsidRPr="007D3E52" w:rsidRDefault="00A9592D" w:rsidP="003B6D53">
                  <w:pPr>
                    <w:pStyle w:val="BlockText"/>
                    <w:rPr>
                      <w:b/>
                    </w:rPr>
                  </w:pPr>
                  <w:r w:rsidRPr="007D3E52">
                    <w:rPr>
                      <w:b/>
                    </w:rPr>
                    <w:t>Document Name</w:t>
                  </w:r>
                </w:p>
              </w:tc>
            </w:tr>
            <w:tr w:rsidR="00A9592D" w:rsidTr="00710C83">
              <w:tc>
                <w:tcPr>
                  <w:tcW w:w="2407" w:type="dxa"/>
                  <w:shd w:val="clear" w:color="auto" w:fill="auto"/>
                </w:tcPr>
                <w:p w:rsidR="00A9592D" w:rsidRDefault="00A9592D" w:rsidP="003B6D53">
                  <w:pPr>
                    <w:pStyle w:val="BlockText"/>
                  </w:pPr>
                  <w:r>
                    <w:t>LAMC-PPP-0123</w:t>
                  </w:r>
                </w:p>
              </w:tc>
              <w:tc>
                <w:tcPr>
                  <w:tcW w:w="5102" w:type="dxa"/>
                  <w:shd w:val="clear" w:color="auto" w:fill="auto"/>
                </w:tcPr>
                <w:p w:rsidR="00A9592D" w:rsidRDefault="00A9592D" w:rsidP="003B6D53">
                  <w:pPr>
                    <w:pStyle w:val="BlockText"/>
                    <w:jc w:val="left"/>
                  </w:pPr>
                  <w:r>
                    <w:t>Safety Practices</w:t>
                  </w:r>
                </w:p>
              </w:tc>
            </w:tr>
            <w:tr w:rsidR="00A9592D" w:rsidTr="00710C83">
              <w:tc>
                <w:tcPr>
                  <w:tcW w:w="2407" w:type="dxa"/>
                  <w:shd w:val="clear" w:color="auto" w:fill="auto"/>
                </w:tcPr>
                <w:p w:rsidR="00A9592D" w:rsidRDefault="00A9592D" w:rsidP="003B6D53">
                  <w:pPr>
                    <w:jc w:val="center"/>
                  </w:pPr>
                  <w:r w:rsidRPr="00C01AA8">
                    <w:t>LAMC-PPP-012</w:t>
                  </w:r>
                  <w:r>
                    <w:t>7</w:t>
                  </w:r>
                </w:p>
              </w:tc>
              <w:tc>
                <w:tcPr>
                  <w:tcW w:w="5102" w:type="dxa"/>
                  <w:shd w:val="clear" w:color="auto" w:fill="auto"/>
                </w:tcPr>
                <w:p w:rsidR="00A9592D" w:rsidRDefault="00A9592D" w:rsidP="003B6D53">
                  <w:pPr>
                    <w:pStyle w:val="BlockText"/>
                    <w:jc w:val="left"/>
                  </w:pPr>
                  <w:r>
                    <w:t>Infection Control</w:t>
                  </w:r>
                </w:p>
              </w:tc>
            </w:tr>
            <w:tr w:rsidR="00A9592D" w:rsidTr="00710C83">
              <w:tc>
                <w:tcPr>
                  <w:tcW w:w="2407" w:type="dxa"/>
                  <w:shd w:val="clear" w:color="auto" w:fill="auto"/>
                </w:tcPr>
                <w:p w:rsidR="00A9592D" w:rsidRDefault="00A9592D" w:rsidP="003B6D53">
                  <w:pPr>
                    <w:jc w:val="center"/>
                  </w:pPr>
                  <w:r w:rsidRPr="00C01AA8">
                    <w:t>LAMC-PPP-012</w:t>
                  </w:r>
                  <w:r>
                    <w:t>8</w:t>
                  </w:r>
                </w:p>
              </w:tc>
              <w:tc>
                <w:tcPr>
                  <w:tcW w:w="5102" w:type="dxa"/>
                  <w:shd w:val="clear" w:color="auto" w:fill="auto"/>
                </w:tcPr>
                <w:p w:rsidR="00A9592D" w:rsidRDefault="00A9592D" w:rsidP="003B6D53">
                  <w:pPr>
                    <w:pStyle w:val="BlockText"/>
                    <w:jc w:val="left"/>
                  </w:pPr>
                  <w:r>
                    <w:t>Universal Body Substance Precaution</w:t>
                  </w:r>
                </w:p>
              </w:tc>
            </w:tr>
            <w:tr w:rsidR="00A9592D" w:rsidTr="00710C83">
              <w:tc>
                <w:tcPr>
                  <w:tcW w:w="2407" w:type="dxa"/>
                  <w:shd w:val="clear" w:color="auto" w:fill="auto"/>
                </w:tcPr>
                <w:p w:rsidR="00A9592D" w:rsidRDefault="00A9592D" w:rsidP="003B6D53">
                  <w:pPr>
                    <w:jc w:val="center"/>
                  </w:pPr>
                  <w:r w:rsidRPr="00C01AA8">
                    <w:t>LAMC-PPP-012</w:t>
                  </w:r>
                  <w:r>
                    <w:t>9</w:t>
                  </w:r>
                </w:p>
              </w:tc>
              <w:tc>
                <w:tcPr>
                  <w:tcW w:w="5102" w:type="dxa"/>
                  <w:shd w:val="clear" w:color="auto" w:fill="auto"/>
                </w:tcPr>
                <w:p w:rsidR="00A9592D" w:rsidRDefault="00A9592D" w:rsidP="003B6D53">
                  <w:pPr>
                    <w:pStyle w:val="BlockText"/>
                    <w:jc w:val="left"/>
                  </w:pPr>
                  <w:r>
                    <w:t>Handling of Regular and Infectious Waste</w:t>
                  </w:r>
                </w:p>
              </w:tc>
            </w:tr>
            <w:tr w:rsidR="00A9592D" w:rsidTr="00710C83">
              <w:tc>
                <w:tcPr>
                  <w:tcW w:w="2407" w:type="dxa"/>
                  <w:shd w:val="clear" w:color="auto" w:fill="auto"/>
                </w:tcPr>
                <w:p w:rsidR="00A9592D" w:rsidRDefault="00A9592D" w:rsidP="003B6D53">
                  <w:pPr>
                    <w:jc w:val="center"/>
                  </w:pPr>
                  <w:r>
                    <w:t>LAMC-PPP-0130</w:t>
                  </w:r>
                </w:p>
              </w:tc>
              <w:tc>
                <w:tcPr>
                  <w:tcW w:w="5102" w:type="dxa"/>
                  <w:shd w:val="clear" w:color="auto" w:fill="auto"/>
                </w:tcPr>
                <w:p w:rsidR="00A9592D" w:rsidRDefault="00A9592D" w:rsidP="003B6D53">
                  <w:pPr>
                    <w:pStyle w:val="BlockText"/>
                    <w:jc w:val="left"/>
                  </w:pPr>
                  <w:r>
                    <w:t>Cleaning Work Areas</w:t>
                  </w:r>
                </w:p>
              </w:tc>
            </w:tr>
            <w:tr w:rsidR="00A9592D" w:rsidTr="00710C83">
              <w:tc>
                <w:tcPr>
                  <w:tcW w:w="2407" w:type="dxa"/>
                  <w:shd w:val="clear" w:color="auto" w:fill="auto"/>
                </w:tcPr>
                <w:p w:rsidR="00A9592D" w:rsidRDefault="00A9592D" w:rsidP="003B6D53">
                  <w:pPr>
                    <w:jc w:val="center"/>
                  </w:pPr>
                  <w:r>
                    <w:t>LAMC-PPP-0132</w:t>
                  </w:r>
                </w:p>
              </w:tc>
              <w:tc>
                <w:tcPr>
                  <w:tcW w:w="5102" w:type="dxa"/>
                  <w:shd w:val="clear" w:color="auto" w:fill="auto"/>
                </w:tcPr>
                <w:p w:rsidR="00A9592D" w:rsidRDefault="00A9592D" w:rsidP="003B6D53">
                  <w:pPr>
                    <w:pStyle w:val="BlockText"/>
                    <w:jc w:val="left"/>
                  </w:pPr>
                  <w:r>
                    <w:t>Hand-washing Policy</w:t>
                  </w:r>
                </w:p>
              </w:tc>
            </w:tr>
            <w:tr w:rsidR="00A9592D" w:rsidTr="00710C83">
              <w:tc>
                <w:tcPr>
                  <w:tcW w:w="2407" w:type="dxa"/>
                  <w:shd w:val="clear" w:color="auto" w:fill="auto"/>
                </w:tcPr>
                <w:p w:rsidR="00A9592D" w:rsidRDefault="00A9592D" w:rsidP="003B6D53">
                  <w:pPr>
                    <w:jc w:val="center"/>
                  </w:pPr>
                  <w:r>
                    <w:t>LAMC-PPP-0134</w:t>
                  </w:r>
                </w:p>
              </w:tc>
              <w:tc>
                <w:tcPr>
                  <w:tcW w:w="5102" w:type="dxa"/>
                  <w:shd w:val="clear" w:color="auto" w:fill="auto"/>
                </w:tcPr>
                <w:p w:rsidR="00A9592D" w:rsidRDefault="00A9592D" w:rsidP="003B6D53">
                  <w:pPr>
                    <w:pStyle w:val="BlockText"/>
                    <w:jc w:val="left"/>
                  </w:pPr>
                  <w:r>
                    <w:t>Storage and Disposal of Chemical Hazardous Waste</w:t>
                  </w:r>
                </w:p>
              </w:tc>
            </w:tr>
          </w:tbl>
          <w:p w:rsidR="00A9592D" w:rsidRPr="00D05042" w:rsidRDefault="00710C83" w:rsidP="003B6D53">
            <w:pPr>
              <w:rPr>
                <w:szCs w:val="24"/>
              </w:rPr>
            </w:pPr>
            <w:r>
              <w:t>See below the list of controlled documents</w:t>
            </w:r>
          </w:p>
        </w:tc>
      </w:tr>
    </w:tbl>
    <w:p w:rsidR="00A9592D" w:rsidRDefault="00A9592D"/>
    <w:tbl>
      <w:tblPr>
        <w:tblW w:w="9738" w:type="dxa"/>
        <w:tblLayout w:type="fixed"/>
        <w:tblLook w:val="0000" w:firstRow="0" w:lastRow="0" w:firstColumn="0" w:lastColumn="0" w:noHBand="0" w:noVBand="0"/>
      </w:tblPr>
      <w:tblGrid>
        <w:gridCol w:w="1728"/>
        <w:gridCol w:w="8010"/>
      </w:tblGrid>
      <w:tr w:rsidR="00F06DB2" w:rsidTr="00A9592D">
        <w:trPr>
          <w:cantSplit/>
        </w:trPr>
        <w:tc>
          <w:tcPr>
            <w:tcW w:w="1728" w:type="dxa"/>
          </w:tcPr>
          <w:p w:rsidR="00A9592D" w:rsidRDefault="00A9592D" w:rsidP="00F06DB2">
            <w:pPr>
              <w:pStyle w:val="Heading5"/>
            </w:pPr>
          </w:p>
          <w:p w:rsidR="00F06DB2" w:rsidRPr="00781F79" w:rsidRDefault="00F06DB2" w:rsidP="00F06DB2">
            <w:pPr>
              <w:pStyle w:val="Heading5"/>
            </w:pPr>
            <w:r w:rsidRPr="00781F79">
              <w:t>A</w:t>
            </w:r>
            <w:r>
              <w:t>uthor</w:t>
            </w:r>
            <w:r w:rsidR="00D32C36">
              <w:t>(s)</w:t>
            </w:r>
          </w:p>
        </w:tc>
        <w:tc>
          <w:tcPr>
            <w:tcW w:w="8010" w:type="dxa"/>
          </w:tcPr>
          <w:p w:rsidR="00F06DB2" w:rsidRPr="00D05042" w:rsidRDefault="00F06DB2" w:rsidP="00F06DB2">
            <w:pPr>
              <w:rPr>
                <w:szCs w:val="24"/>
              </w:rPr>
            </w:pPr>
          </w:p>
          <w:p w:rsidR="00D05042" w:rsidRDefault="00A9592D" w:rsidP="00F06DB2">
            <w:proofErr w:type="spellStart"/>
            <w:r>
              <w:t>Maaret</w:t>
            </w:r>
            <w:proofErr w:type="spellEnd"/>
            <w:r>
              <w:t xml:space="preserve"> </w:t>
            </w:r>
            <w:proofErr w:type="spellStart"/>
            <w:r>
              <w:t>Toprakci</w:t>
            </w:r>
            <w:proofErr w:type="spellEnd"/>
          </w:p>
          <w:p w:rsidR="00A9592D" w:rsidRPr="00D05042" w:rsidRDefault="00A9592D" w:rsidP="00F06DB2">
            <w:pPr>
              <w:rPr>
                <w:szCs w:val="24"/>
              </w:rPr>
            </w:pPr>
            <w:r>
              <w:t>Alvin Castillo</w:t>
            </w:r>
          </w:p>
        </w:tc>
      </w:tr>
    </w:tbl>
    <w:p w:rsidR="00D26AE2" w:rsidRDefault="00D26AE2" w:rsidP="00D26AE2">
      <w:pPr>
        <w:pStyle w:val="BlockLine"/>
      </w:pPr>
    </w:p>
    <w:p w:rsidR="00F06DB2" w:rsidRDefault="00F06DB2" w:rsidP="00D26AE2"/>
    <w:sectPr w:rsidR="00F06DB2" w:rsidSect="00D4361C">
      <w:headerReference w:type="even" r:id="rId10"/>
      <w:headerReference w:type="default" r:id="rId11"/>
      <w:footerReference w:type="even" r:id="rId12"/>
      <w:footerReference w:type="default" r:id="rId13"/>
      <w:headerReference w:type="first" r:id="rId14"/>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00" w:rsidRDefault="00A37F00">
      <w:r>
        <w:separator/>
      </w:r>
    </w:p>
  </w:endnote>
  <w:endnote w:type="continuationSeparator" w:id="0">
    <w:p w:rsidR="00A37F00" w:rsidRDefault="00A3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D81847">
      <w:rPr>
        <w:i/>
        <w:noProof/>
        <w:snapToGrid w:val="0"/>
        <w:sz w:val="20"/>
      </w:rPr>
      <w:instrText>6</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D81847">
      <w:rPr>
        <w:i/>
        <w:noProof/>
        <w:snapToGrid w:val="0"/>
        <w:sz w:val="20"/>
      </w:rPr>
      <w:instrText>6</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D81847">
      <w:rPr>
        <w:rStyle w:val="PageNumber"/>
        <w:rFonts w:ascii="Arial" w:hAnsi="Arial" w:cs="Arial"/>
        <w:noProof/>
        <w:sz w:val="20"/>
      </w:rPr>
      <w:t>6</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D81847">
      <w:rPr>
        <w:rStyle w:val="PageNumber"/>
        <w:rFonts w:ascii="Arial" w:hAnsi="Arial" w:cs="Arial"/>
        <w:noProof/>
        <w:sz w:val="20"/>
      </w:rPr>
      <w:t>6</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00" w:rsidRDefault="00A37F00">
      <w:r>
        <w:separator/>
      </w:r>
    </w:p>
  </w:footnote>
  <w:footnote w:type="continuationSeparator" w:id="0">
    <w:p w:rsidR="00A37F00" w:rsidRDefault="00A37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5349B1" w:rsidRDefault="005349B1" w:rsidP="005349B1">
    <w:pPr>
      <w:outlineLvl w:val="0"/>
      <w:rPr>
        <w:b/>
        <w:sz w:val="32"/>
      </w:rPr>
    </w:pPr>
    <w:r>
      <w:rPr>
        <w:b/>
        <w:sz w:val="32"/>
      </w:rPr>
      <w:t xml:space="preserve">CONTROL PROCEDURE FOR </w:t>
    </w:r>
    <w:r w:rsidR="00C85B6B">
      <w:rPr>
        <w:b/>
        <w:sz w:val="32"/>
      </w:rPr>
      <w:t>STREPTOCOCCUS PNEUMONIAE TEST,</w:t>
    </w:r>
    <w:r>
      <w:rPr>
        <w:b/>
        <w:sz w:val="32"/>
      </w:rPr>
      <w:t xml:space="preserve"> BINAX NOW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7"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0"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4"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6"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7"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9"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8"/>
  </w:num>
  <w:num w:numId="5">
    <w:abstractNumId w:val="5"/>
  </w:num>
  <w:num w:numId="6">
    <w:abstractNumId w:val="1"/>
  </w:num>
  <w:num w:numId="7">
    <w:abstractNumId w:val="21"/>
  </w:num>
  <w:num w:numId="8">
    <w:abstractNumId w:val="10"/>
  </w:num>
  <w:num w:numId="9">
    <w:abstractNumId w:val="11"/>
  </w:num>
  <w:num w:numId="10">
    <w:abstractNumId w:val="16"/>
  </w:num>
  <w:num w:numId="11">
    <w:abstractNumId w:val="17"/>
  </w:num>
  <w:num w:numId="12">
    <w:abstractNumId w:val="0"/>
  </w:num>
  <w:num w:numId="13">
    <w:abstractNumId w:val="26"/>
  </w:num>
  <w:num w:numId="14">
    <w:abstractNumId w:val="25"/>
  </w:num>
  <w:num w:numId="15">
    <w:abstractNumId w:val="19"/>
  </w:num>
  <w:num w:numId="16">
    <w:abstractNumId w:val="12"/>
  </w:num>
  <w:num w:numId="17">
    <w:abstractNumId w:val="23"/>
  </w:num>
  <w:num w:numId="18">
    <w:abstractNumId w:val="22"/>
  </w:num>
  <w:num w:numId="19">
    <w:abstractNumId w:val="24"/>
  </w:num>
  <w:num w:numId="20">
    <w:abstractNumId w:val="20"/>
  </w:num>
  <w:num w:numId="21">
    <w:abstractNumId w:val="7"/>
  </w:num>
  <w:num w:numId="22">
    <w:abstractNumId w:val="2"/>
  </w:num>
  <w:num w:numId="23">
    <w:abstractNumId w:val="4"/>
  </w:num>
  <w:num w:numId="24">
    <w:abstractNumId w:val="18"/>
  </w:num>
  <w:num w:numId="25">
    <w:abstractNumId w:val="13"/>
  </w:num>
  <w:num w:numId="26">
    <w:abstractNumId w:val="9"/>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36CF5"/>
    <w:rsid w:val="00042DAA"/>
    <w:rsid w:val="00047EF7"/>
    <w:rsid w:val="00056877"/>
    <w:rsid w:val="000728C4"/>
    <w:rsid w:val="0009129B"/>
    <w:rsid w:val="000953A5"/>
    <w:rsid w:val="000A0D43"/>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4E3A"/>
    <w:rsid w:val="0018670E"/>
    <w:rsid w:val="00192DE5"/>
    <w:rsid w:val="001A14EE"/>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C508E"/>
    <w:rsid w:val="003C6786"/>
    <w:rsid w:val="003C7698"/>
    <w:rsid w:val="003E40F0"/>
    <w:rsid w:val="003F0A0D"/>
    <w:rsid w:val="004160B3"/>
    <w:rsid w:val="00433D1F"/>
    <w:rsid w:val="00440B6B"/>
    <w:rsid w:val="00452AA8"/>
    <w:rsid w:val="00454667"/>
    <w:rsid w:val="00471432"/>
    <w:rsid w:val="004802BC"/>
    <w:rsid w:val="00480580"/>
    <w:rsid w:val="00482A53"/>
    <w:rsid w:val="0048686C"/>
    <w:rsid w:val="004965AA"/>
    <w:rsid w:val="004B2090"/>
    <w:rsid w:val="004C1667"/>
    <w:rsid w:val="004C1AD2"/>
    <w:rsid w:val="004C1B71"/>
    <w:rsid w:val="00504B96"/>
    <w:rsid w:val="0050518A"/>
    <w:rsid w:val="005133FE"/>
    <w:rsid w:val="005349B1"/>
    <w:rsid w:val="00544E86"/>
    <w:rsid w:val="00595006"/>
    <w:rsid w:val="005A6643"/>
    <w:rsid w:val="005A6EE9"/>
    <w:rsid w:val="005B1E7F"/>
    <w:rsid w:val="005F2ABD"/>
    <w:rsid w:val="005F3E96"/>
    <w:rsid w:val="00605DCB"/>
    <w:rsid w:val="0061079E"/>
    <w:rsid w:val="00620A2D"/>
    <w:rsid w:val="00633012"/>
    <w:rsid w:val="00637656"/>
    <w:rsid w:val="00677481"/>
    <w:rsid w:val="006A107B"/>
    <w:rsid w:val="006A72CD"/>
    <w:rsid w:val="006C4C9A"/>
    <w:rsid w:val="006D60D0"/>
    <w:rsid w:val="006E67E1"/>
    <w:rsid w:val="00700D63"/>
    <w:rsid w:val="00706B6E"/>
    <w:rsid w:val="00707CAE"/>
    <w:rsid w:val="00710C83"/>
    <w:rsid w:val="007458E4"/>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8237F"/>
    <w:rsid w:val="00883D0A"/>
    <w:rsid w:val="00883D63"/>
    <w:rsid w:val="0088433C"/>
    <w:rsid w:val="00885E0C"/>
    <w:rsid w:val="0089105A"/>
    <w:rsid w:val="008C29BB"/>
    <w:rsid w:val="008C45FE"/>
    <w:rsid w:val="008D03D1"/>
    <w:rsid w:val="008D4E7A"/>
    <w:rsid w:val="00936C1B"/>
    <w:rsid w:val="0094018B"/>
    <w:rsid w:val="009451A0"/>
    <w:rsid w:val="00947B7E"/>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37F00"/>
    <w:rsid w:val="00A60B08"/>
    <w:rsid w:val="00A6192E"/>
    <w:rsid w:val="00A66379"/>
    <w:rsid w:val="00A8143D"/>
    <w:rsid w:val="00A9592D"/>
    <w:rsid w:val="00AA2C0B"/>
    <w:rsid w:val="00AB4147"/>
    <w:rsid w:val="00AB4889"/>
    <w:rsid w:val="00AC231D"/>
    <w:rsid w:val="00AC7F63"/>
    <w:rsid w:val="00AD1CD4"/>
    <w:rsid w:val="00AD620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65B8"/>
    <w:rsid w:val="00BA7F6C"/>
    <w:rsid w:val="00BB0F09"/>
    <w:rsid w:val="00BE1ADD"/>
    <w:rsid w:val="00BF0DF7"/>
    <w:rsid w:val="00BF7178"/>
    <w:rsid w:val="00C0550A"/>
    <w:rsid w:val="00C1330E"/>
    <w:rsid w:val="00C14D20"/>
    <w:rsid w:val="00C311E2"/>
    <w:rsid w:val="00C33311"/>
    <w:rsid w:val="00C45269"/>
    <w:rsid w:val="00C60114"/>
    <w:rsid w:val="00C604D8"/>
    <w:rsid w:val="00C66F6C"/>
    <w:rsid w:val="00C75F4B"/>
    <w:rsid w:val="00C80C96"/>
    <w:rsid w:val="00C84E28"/>
    <w:rsid w:val="00C85B6B"/>
    <w:rsid w:val="00C87487"/>
    <w:rsid w:val="00C95BA9"/>
    <w:rsid w:val="00CA0A63"/>
    <w:rsid w:val="00CA67B8"/>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1847"/>
    <w:rsid w:val="00D8329C"/>
    <w:rsid w:val="00D90CBE"/>
    <w:rsid w:val="00DA1F32"/>
    <w:rsid w:val="00DC3744"/>
    <w:rsid w:val="00DD53EF"/>
    <w:rsid w:val="00DE223A"/>
    <w:rsid w:val="00DE398C"/>
    <w:rsid w:val="00E301AE"/>
    <w:rsid w:val="00E42FE4"/>
    <w:rsid w:val="00E50BBB"/>
    <w:rsid w:val="00E51458"/>
    <w:rsid w:val="00E5453D"/>
    <w:rsid w:val="00E61CD5"/>
    <w:rsid w:val="00E733D6"/>
    <w:rsid w:val="00E75365"/>
    <w:rsid w:val="00EB027B"/>
    <w:rsid w:val="00EB50D8"/>
    <w:rsid w:val="00EC0EFC"/>
    <w:rsid w:val="00EC7C99"/>
    <w:rsid w:val="00EE0F07"/>
    <w:rsid w:val="00EE396F"/>
    <w:rsid w:val="00EE3CFA"/>
    <w:rsid w:val="00EE6D86"/>
    <w:rsid w:val="00EF2A00"/>
    <w:rsid w:val="00F06DB2"/>
    <w:rsid w:val="00F342AB"/>
    <w:rsid w:val="00F36A3F"/>
    <w:rsid w:val="00F47F67"/>
    <w:rsid w:val="00F56C49"/>
    <w:rsid w:val="00F56EFF"/>
    <w:rsid w:val="00F73178"/>
    <w:rsid w:val="00F80BE8"/>
    <w:rsid w:val="00F81614"/>
    <w:rsid w:val="00F91A4D"/>
    <w:rsid w:val="00F94602"/>
    <w:rsid w:val="00FA472E"/>
    <w:rsid w:val="00FB1920"/>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2B3830"/>
    <w:rsid w:val="002C3A63"/>
    <w:rsid w:val="00302917"/>
    <w:rsid w:val="00503C9E"/>
    <w:rsid w:val="005A495C"/>
    <w:rsid w:val="00856328"/>
    <w:rsid w:val="008F2A2C"/>
    <w:rsid w:val="009E2D04"/>
    <w:rsid w:val="00A8409A"/>
    <w:rsid w:val="00BA5A27"/>
    <w:rsid w:val="00CD2384"/>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54</TotalTime>
  <Pages>6</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7</cp:revision>
  <cp:lastPrinted>2011-03-21T23:09:00Z</cp:lastPrinted>
  <dcterms:created xsi:type="dcterms:W3CDTF">2017-04-04T15:03:00Z</dcterms:created>
  <dcterms:modified xsi:type="dcterms:W3CDTF">2017-04-04T15:59:00Z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