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3313" w:rsidRDefault="00971DDF">
      <w:pPr>
        <w:rPr>
          <w:rFonts w:ascii="Times New Roman" w:hAnsi="Times New Roman" w:cs="Times New Roman"/>
          <w:b/>
          <w:bCs/>
          <w:sz w:val="28"/>
          <w:szCs w:val="28"/>
        </w:rPr>
      </w:pPr>
      <w:r>
        <w:rPr>
          <w:rFonts w:ascii="Times New Roman" w:hAnsi="Times New Roman" w:cs="Times New Roman"/>
          <w:b/>
          <w:bCs/>
          <w:sz w:val="28"/>
          <w:szCs w:val="28"/>
        </w:rPr>
        <w:t>URGENT MEDICAL DEVICE RECALL</w:t>
      </w:r>
    </w:p>
    <w:p w:rsidR="00DD5122" w:rsidRDefault="00DD5122">
      <w:pPr>
        <w:rPr>
          <w:rFonts w:ascii="Times New Roman" w:hAnsi="Times New Roman" w:cs="Times New Roman"/>
          <w:sz w:val="24"/>
          <w:szCs w:val="24"/>
        </w:rPr>
      </w:pPr>
      <w:r>
        <w:rPr>
          <w:rFonts w:ascii="Times New Roman" w:hAnsi="Times New Roman" w:cs="Times New Roman"/>
          <w:sz w:val="24"/>
          <w:szCs w:val="24"/>
        </w:rPr>
        <w:t>April 24,2017</w:t>
      </w:r>
    </w:p>
    <w:p w:rsidR="00971DDF" w:rsidRPr="00DD5122" w:rsidRDefault="00971DDF">
      <w:pPr>
        <w:rPr>
          <w:rFonts w:ascii="Times New Roman" w:hAnsi="Times New Roman" w:cs="Times New Roman"/>
          <w:sz w:val="24"/>
          <w:szCs w:val="24"/>
        </w:rPr>
      </w:pPr>
      <w:proofErr w:type="spellStart"/>
      <w:r w:rsidRPr="00DD5122">
        <w:rPr>
          <w:rFonts w:ascii="Times New Roman" w:hAnsi="Times New Roman" w:cs="Times New Roman"/>
          <w:sz w:val="24"/>
          <w:szCs w:val="24"/>
        </w:rPr>
        <w:t>UniCel</w:t>
      </w:r>
      <w:proofErr w:type="spellEnd"/>
      <w:r w:rsidRPr="00DD5122">
        <w:rPr>
          <w:rFonts w:ascii="Times New Roman" w:hAnsi="Times New Roman" w:cs="Times New Roman"/>
          <w:sz w:val="24"/>
          <w:szCs w:val="24"/>
        </w:rPr>
        <w:t xml:space="preserve"> </w:t>
      </w:r>
      <w:proofErr w:type="spellStart"/>
      <w:r w:rsidRPr="00DD5122">
        <w:rPr>
          <w:rFonts w:ascii="Times New Roman" w:hAnsi="Times New Roman" w:cs="Times New Roman"/>
          <w:sz w:val="24"/>
          <w:szCs w:val="24"/>
        </w:rPr>
        <w:t>DxH</w:t>
      </w:r>
      <w:proofErr w:type="spellEnd"/>
      <w:r w:rsidRPr="00DD5122">
        <w:rPr>
          <w:rFonts w:ascii="Times New Roman" w:hAnsi="Times New Roman" w:cs="Times New Roman"/>
          <w:sz w:val="24"/>
          <w:szCs w:val="24"/>
        </w:rPr>
        <w:t xml:space="preserve"> 800 Coulter Cellular Analysis System</w:t>
      </w:r>
    </w:p>
    <w:tbl>
      <w:tblPr>
        <w:tblStyle w:val="TableGrid"/>
        <w:tblW w:w="0" w:type="auto"/>
        <w:tblLook w:val="04A0" w:firstRow="1" w:lastRow="0" w:firstColumn="1" w:lastColumn="0" w:noHBand="0" w:noVBand="1"/>
      </w:tblPr>
      <w:tblGrid>
        <w:gridCol w:w="1721"/>
        <w:gridCol w:w="7629"/>
      </w:tblGrid>
      <w:tr w:rsidR="00971DDF" w:rsidTr="00971DDF">
        <w:tc>
          <w:tcPr>
            <w:tcW w:w="1435" w:type="dxa"/>
          </w:tcPr>
          <w:p w:rsidR="00971DDF" w:rsidRPr="00DD5122" w:rsidRDefault="00DD5122">
            <w:pPr>
              <w:rPr>
                <w:b/>
                <w:sz w:val="28"/>
                <w:szCs w:val="28"/>
              </w:rPr>
            </w:pPr>
            <w:r w:rsidRPr="00DD5122">
              <w:rPr>
                <w:b/>
                <w:sz w:val="28"/>
                <w:szCs w:val="28"/>
              </w:rPr>
              <w:t>ISSUE</w:t>
            </w:r>
          </w:p>
        </w:tc>
        <w:tc>
          <w:tcPr>
            <w:tcW w:w="7650" w:type="dxa"/>
          </w:tcPr>
          <w:p w:rsidR="00971DDF" w:rsidRPr="00DD5122" w:rsidRDefault="00971DDF" w:rsidP="00971DDF">
            <w:pPr>
              <w:autoSpaceDE w:val="0"/>
              <w:autoSpaceDN w:val="0"/>
              <w:adjustRightInd w:val="0"/>
              <w:rPr>
                <w:rFonts w:ascii="Times New Roman" w:hAnsi="Times New Roman" w:cs="Times New Roman"/>
                <w:sz w:val="28"/>
                <w:szCs w:val="28"/>
              </w:rPr>
            </w:pPr>
            <w:r w:rsidRPr="00DD5122">
              <w:rPr>
                <w:rFonts w:ascii="Times New Roman" w:hAnsi="Times New Roman" w:cs="Times New Roman"/>
                <w:sz w:val="28"/>
                <w:szCs w:val="28"/>
              </w:rPr>
              <w:t>There is a possibility of a data acquisition disru</w:t>
            </w:r>
            <w:r w:rsidR="00DD5122" w:rsidRPr="00DD5122">
              <w:rPr>
                <w:rFonts w:ascii="Times New Roman" w:hAnsi="Times New Roman" w:cs="Times New Roman"/>
                <w:sz w:val="28"/>
                <w:szCs w:val="28"/>
              </w:rPr>
              <w:t xml:space="preserve">ption that may cause an unusual </w:t>
            </w:r>
            <w:r w:rsidRPr="00DD5122">
              <w:rPr>
                <w:rFonts w:ascii="Times New Roman" w:hAnsi="Times New Roman" w:cs="Times New Roman"/>
                <w:sz w:val="28"/>
                <w:szCs w:val="28"/>
              </w:rPr>
              <w:t>light scatter event pattern for the white blood cell d</w:t>
            </w:r>
            <w:r w:rsidR="00DD5122" w:rsidRPr="00DD5122">
              <w:rPr>
                <w:rFonts w:ascii="Times New Roman" w:hAnsi="Times New Roman" w:cs="Times New Roman"/>
                <w:sz w:val="28"/>
                <w:szCs w:val="28"/>
              </w:rPr>
              <w:t xml:space="preserve">ifferential that may not have a </w:t>
            </w:r>
            <w:r w:rsidRPr="00DD5122">
              <w:rPr>
                <w:rFonts w:ascii="Times New Roman" w:hAnsi="Times New Roman" w:cs="Times New Roman"/>
                <w:sz w:val="28"/>
                <w:szCs w:val="28"/>
              </w:rPr>
              <w:t>system flag and/or message. The events associated</w:t>
            </w:r>
            <w:r w:rsidR="00DD5122" w:rsidRPr="00DD5122">
              <w:rPr>
                <w:rFonts w:ascii="Times New Roman" w:hAnsi="Times New Roman" w:cs="Times New Roman"/>
                <w:sz w:val="28"/>
                <w:szCs w:val="28"/>
              </w:rPr>
              <w:t xml:space="preserve"> with the unusual light scatter </w:t>
            </w:r>
            <w:r w:rsidRPr="00DD5122">
              <w:rPr>
                <w:rFonts w:ascii="Times New Roman" w:hAnsi="Times New Roman" w:cs="Times New Roman"/>
                <w:sz w:val="28"/>
                <w:szCs w:val="28"/>
              </w:rPr>
              <w:t>pattern may be incorrectly removed from analysis w</w:t>
            </w:r>
            <w:r w:rsidR="00DD5122" w:rsidRPr="00DD5122">
              <w:rPr>
                <w:rFonts w:ascii="Times New Roman" w:hAnsi="Times New Roman" w:cs="Times New Roman"/>
                <w:sz w:val="28"/>
                <w:szCs w:val="28"/>
              </w:rPr>
              <w:t xml:space="preserve">hich can result in an erroneous </w:t>
            </w:r>
            <w:r w:rsidRPr="00DD5122">
              <w:rPr>
                <w:rFonts w:ascii="Times New Roman" w:hAnsi="Times New Roman" w:cs="Times New Roman"/>
                <w:sz w:val="28"/>
                <w:szCs w:val="28"/>
              </w:rPr>
              <w:t>differential result.</w:t>
            </w:r>
          </w:p>
          <w:p w:rsidR="00971DDF" w:rsidRPr="00DD5122" w:rsidRDefault="00971DDF" w:rsidP="00971DDF">
            <w:pPr>
              <w:autoSpaceDE w:val="0"/>
              <w:autoSpaceDN w:val="0"/>
              <w:adjustRightInd w:val="0"/>
              <w:rPr>
                <w:rFonts w:ascii="Times New Roman" w:hAnsi="Times New Roman" w:cs="Times New Roman"/>
                <w:sz w:val="28"/>
                <w:szCs w:val="28"/>
              </w:rPr>
            </w:pPr>
            <w:r w:rsidRPr="00DD5122">
              <w:rPr>
                <w:rFonts w:ascii="Times New Roman" w:hAnsi="Times New Roman" w:cs="Times New Roman"/>
                <w:sz w:val="28"/>
                <w:szCs w:val="28"/>
              </w:rPr>
              <w:t>In most cases, system flags and/or messages have accompanied the erroneous</w:t>
            </w:r>
          </w:p>
          <w:p w:rsidR="00971DDF" w:rsidRPr="00DD5122" w:rsidRDefault="00971DDF" w:rsidP="00971DDF">
            <w:pPr>
              <w:rPr>
                <w:sz w:val="28"/>
                <w:szCs w:val="28"/>
              </w:rPr>
            </w:pPr>
            <w:r w:rsidRPr="00DD5122">
              <w:rPr>
                <w:rFonts w:ascii="Times New Roman" w:hAnsi="Times New Roman" w:cs="Times New Roman"/>
                <w:sz w:val="28"/>
                <w:szCs w:val="28"/>
              </w:rPr>
              <w:t>results, indicating the need to review the</w:t>
            </w:r>
          </w:p>
        </w:tc>
      </w:tr>
      <w:tr w:rsidR="00971DDF" w:rsidTr="00971DDF">
        <w:tc>
          <w:tcPr>
            <w:tcW w:w="1435" w:type="dxa"/>
          </w:tcPr>
          <w:p w:rsidR="00971DDF" w:rsidRPr="00DD5122" w:rsidRDefault="00DD5122">
            <w:pPr>
              <w:rPr>
                <w:b/>
                <w:sz w:val="28"/>
                <w:szCs w:val="28"/>
              </w:rPr>
            </w:pPr>
            <w:r w:rsidRPr="00DD5122">
              <w:rPr>
                <w:b/>
                <w:sz w:val="28"/>
                <w:szCs w:val="28"/>
              </w:rPr>
              <w:t>IMPACT</w:t>
            </w:r>
          </w:p>
        </w:tc>
        <w:tc>
          <w:tcPr>
            <w:tcW w:w="7650" w:type="dxa"/>
          </w:tcPr>
          <w:p w:rsidR="00971DDF" w:rsidRPr="00DD5122" w:rsidRDefault="00971DDF" w:rsidP="00971DDF">
            <w:pPr>
              <w:pStyle w:val="ListParagraph"/>
              <w:numPr>
                <w:ilvl w:val="0"/>
                <w:numId w:val="1"/>
              </w:numPr>
              <w:autoSpaceDE w:val="0"/>
              <w:autoSpaceDN w:val="0"/>
              <w:adjustRightInd w:val="0"/>
              <w:rPr>
                <w:rFonts w:ascii="Times New Roman" w:eastAsia="SymbolMT" w:hAnsi="Times New Roman" w:cs="Times New Roman"/>
                <w:sz w:val="28"/>
                <w:szCs w:val="28"/>
              </w:rPr>
            </w:pPr>
            <w:r w:rsidRPr="00DD5122">
              <w:rPr>
                <w:rFonts w:ascii="Times New Roman" w:eastAsia="SymbolMT" w:hAnsi="Times New Roman" w:cs="Times New Roman"/>
                <w:sz w:val="28"/>
                <w:szCs w:val="28"/>
              </w:rPr>
              <w:t>An erroneous, automated White Blood Cell (WBC) differential result might be</w:t>
            </w:r>
            <w:r w:rsidR="00DD5122" w:rsidRPr="00DD5122">
              <w:rPr>
                <w:rFonts w:ascii="Times New Roman" w:eastAsia="SymbolMT" w:hAnsi="Times New Roman" w:cs="Times New Roman"/>
                <w:sz w:val="28"/>
                <w:szCs w:val="28"/>
              </w:rPr>
              <w:t xml:space="preserve"> </w:t>
            </w:r>
            <w:r w:rsidRPr="00DD5122">
              <w:rPr>
                <w:rFonts w:ascii="Times New Roman" w:eastAsia="SymbolMT" w:hAnsi="Times New Roman" w:cs="Times New Roman"/>
                <w:sz w:val="28"/>
                <w:szCs w:val="28"/>
              </w:rPr>
              <w:t>reported. The WBC count is correctly reported.</w:t>
            </w:r>
          </w:p>
          <w:p w:rsidR="00971DDF" w:rsidRPr="00DD5122" w:rsidRDefault="00971DDF" w:rsidP="00DD5122">
            <w:pPr>
              <w:pStyle w:val="ListParagraph"/>
              <w:numPr>
                <w:ilvl w:val="0"/>
                <w:numId w:val="1"/>
              </w:numPr>
              <w:autoSpaceDE w:val="0"/>
              <w:autoSpaceDN w:val="0"/>
              <w:adjustRightInd w:val="0"/>
              <w:rPr>
                <w:rFonts w:ascii="Times New Roman" w:eastAsia="SymbolMT" w:hAnsi="Times New Roman" w:cs="Times New Roman"/>
                <w:sz w:val="28"/>
                <w:szCs w:val="28"/>
              </w:rPr>
            </w:pPr>
            <w:r w:rsidRPr="00DD5122">
              <w:rPr>
                <w:rFonts w:ascii="Times New Roman" w:eastAsia="SymbolMT" w:hAnsi="Times New Roman" w:cs="Times New Roman"/>
                <w:sz w:val="28"/>
                <w:szCs w:val="28"/>
              </w:rPr>
              <w:t>The most significant clinical impact might be an incorrect neutrophil count</w:t>
            </w:r>
            <w:r w:rsidR="00DD5122" w:rsidRPr="00DD5122">
              <w:rPr>
                <w:rFonts w:ascii="Times New Roman" w:eastAsia="SymbolMT" w:hAnsi="Times New Roman" w:cs="Times New Roman"/>
                <w:sz w:val="28"/>
                <w:szCs w:val="28"/>
              </w:rPr>
              <w:t xml:space="preserve"> </w:t>
            </w:r>
            <w:r w:rsidRPr="00DD5122">
              <w:rPr>
                <w:rFonts w:ascii="Times New Roman" w:eastAsia="SymbolMT" w:hAnsi="Times New Roman" w:cs="Times New Roman"/>
                <w:sz w:val="28"/>
                <w:szCs w:val="28"/>
              </w:rPr>
              <w:t>potentially leading to errors in patient management.</w:t>
            </w:r>
          </w:p>
        </w:tc>
      </w:tr>
      <w:tr w:rsidR="00971DDF" w:rsidTr="00971DDF">
        <w:tc>
          <w:tcPr>
            <w:tcW w:w="1435" w:type="dxa"/>
          </w:tcPr>
          <w:p w:rsidR="00971DDF" w:rsidRPr="00DD5122" w:rsidRDefault="00DD5122">
            <w:pPr>
              <w:rPr>
                <w:b/>
                <w:sz w:val="28"/>
                <w:szCs w:val="28"/>
              </w:rPr>
            </w:pPr>
            <w:r w:rsidRPr="00DD5122">
              <w:rPr>
                <w:b/>
                <w:sz w:val="28"/>
                <w:szCs w:val="28"/>
              </w:rPr>
              <w:t>ACTION</w:t>
            </w:r>
          </w:p>
        </w:tc>
        <w:tc>
          <w:tcPr>
            <w:tcW w:w="7650" w:type="dxa"/>
          </w:tcPr>
          <w:p w:rsidR="00971DDF" w:rsidRPr="00C40FF3" w:rsidRDefault="00971DDF" w:rsidP="00971DDF">
            <w:pPr>
              <w:pStyle w:val="ListParagraph"/>
              <w:numPr>
                <w:ilvl w:val="0"/>
                <w:numId w:val="1"/>
              </w:numPr>
              <w:autoSpaceDE w:val="0"/>
              <w:autoSpaceDN w:val="0"/>
              <w:adjustRightInd w:val="0"/>
              <w:rPr>
                <w:rFonts w:ascii="Times New Roman" w:eastAsia="SymbolMT" w:hAnsi="Times New Roman" w:cs="Times New Roman"/>
                <w:b/>
                <w:sz w:val="28"/>
                <w:szCs w:val="28"/>
                <w:highlight w:val="yellow"/>
              </w:rPr>
            </w:pPr>
            <w:r w:rsidRPr="00C40FF3">
              <w:rPr>
                <w:rFonts w:ascii="Times New Roman" w:eastAsia="SymbolMT" w:hAnsi="Times New Roman" w:cs="Times New Roman"/>
                <w:b/>
                <w:sz w:val="28"/>
                <w:szCs w:val="28"/>
                <w:highlight w:val="yellow"/>
              </w:rPr>
              <w:t>Use all available features to assess patient results, including reference ranges, action and critical limits, instrument system flags, codes, messages, delta checks, and decision rules.</w:t>
            </w:r>
          </w:p>
          <w:p w:rsidR="00971DDF" w:rsidRPr="00C40FF3" w:rsidRDefault="00971DDF" w:rsidP="00971DDF">
            <w:pPr>
              <w:pStyle w:val="ListParagraph"/>
              <w:numPr>
                <w:ilvl w:val="0"/>
                <w:numId w:val="1"/>
              </w:numPr>
              <w:autoSpaceDE w:val="0"/>
              <w:autoSpaceDN w:val="0"/>
              <w:adjustRightInd w:val="0"/>
              <w:rPr>
                <w:rFonts w:ascii="Times New Roman" w:eastAsia="SymbolMT" w:hAnsi="Times New Roman" w:cs="Times New Roman"/>
                <w:b/>
                <w:sz w:val="28"/>
                <w:szCs w:val="28"/>
                <w:highlight w:val="yellow"/>
              </w:rPr>
            </w:pPr>
            <w:r w:rsidRPr="00C40FF3">
              <w:rPr>
                <w:rFonts w:ascii="Times New Roman" w:eastAsia="SymbolMT" w:hAnsi="Times New Roman" w:cs="Times New Roman"/>
                <w:b/>
                <w:sz w:val="28"/>
                <w:szCs w:val="28"/>
                <w:highlight w:val="yellow"/>
              </w:rPr>
              <w:t>Follow all Instructions for Use pertaining to flow cell error and warning messages, and ensure daily Shutdown is performed.</w:t>
            </w:r>
          </w:p>
          <w:p w:rsidR="00971DDF" w:rsidRPr="00C40FF3" w:rsidRDefault="00971DDF" w:rsidP="00971DDF">
            <w:pPr>
              <w:pStyle w:val="ListParagraph"/>
              <w:numPr>
                <w:ilvl w:val="0"/>
                <w:numId w:val="1"/>
              </w:numPr>
              <w:autoSpaceDE w:val="0"/>
              <w:autoSpaceDN w:val="0"/>
              <w:adjustRightInd w:val="0"/>
              <w:rPr>
                <w:rFonts w:ascii="Times New Roman" w:eastAsia="SymbolMT" w:hAnsi="Times New Roman" w:cs="Times New Roman"/>
                <w:b/>
                <w:sz w:val="28"/>
                <w:szCs w:val="28"/>
                <w:highlight w:val="yellow"/>
              </w:rPr>
            </w:pPr>
            <w:r w:rsidRPr="00C40FF3">
              <w:rPr>
                <w:rFonts w:ascii="Times New Roman" w:eastAsia="SymbolMT" w:hAnsi="Times New Roman" w:cs="Times New Roman"/>
                <w:b/>
                <w:sz w:val="28"/>
                <w:szCs w:val="28"/>
                <w:highlight w:val="yellow"/>
              </w:rPr>
              <w:t>Follow your laboratory’s standard operating procedure for confirming unexpected results.</w:t>
            </w:r>
          </w:p>
          <w:p w:rsidR="00971DDF" w:rsidRPr="00C40FF3" w:rsidRDefault="00971DDF" w:rsidP="00971DDF">
            <w:pPr>
              <w:pStyle w:val="ListParagraph"/>
              <w:numPr>
                <w:ilvl w:val="0"/>
                <w:numId w:val="1"/>
              </w:numPr>
              <w:autoSpaceDE w:val="0"/>
              <w:autoSpaceDN w:val="0"/>
              <w:adjustRightInd w:val="0"/>
              <w:rPr>
                <w:rFonts w:ascii="Times New Roman" w:eastAsia="SymbolMT" w:hAnsi="Times New Roman" w:cs="Times New Roman"/>
                <w:b/>
                <w:sz w:val="28"/>
                <w:szCs w:val="28"/>
                <w:highlight w:val="yellow"/>
              </w:rPr>
            </w:pPr>
            <w:r w:rsidRPr="00C40FF3">
              <w:rPr>
                <w:rFonts w:ascii="Times New Roman" w:eastAsia="SymbolMT" w:hAnsi="Times New Roman" w:cs="Times New Roman"/>
                <w:b/>
                <w:sz w:val="28"/>
                <w:szCs w:val="28"/>
                <w:highlight w:val="yellow"/>
              </w:rPr>
              <w:t>Communicate to your Laboratory Medical Director the need to avoid patient treatment based solely on any single test result, and to interpret all results in the context of other clinical and laboratory features.</w:t>
            </w:r>
          </w:p>
          <w:p w:rsidR="00971DDF" w:rsidRPr="00DD5122" w:rsidRDefault="00971DDF" w:rsidP="00971DDF">
            <w:pPr>
              <w:pStyle w:val="ListParagraph"/>
              <w:numPr>
                <w:ilvl w:val="0"/>
                <w:numId w:val="1"/>
              </w:numPr>
              <w:autoSpaceDE w:val="0"/>
              <w:autoSpaceDN w:val="0"/>
              <w:adjustRightInd w:val="0"/>
              <w:rPr>
                <w:rFonts w:ascii="Times New Roman" w:eastAsia="SymbolMT" w:hAnsi="Times New Roman" w:cs="Times New Roman"/>
                <w:sz w:val="28"/>
                <w:szCs w:val="28"/>
              </w:rPr>
            </w:pPr>
            <w:r w:rsidRPr="00C40FF3">
              <w:rPr>
                <w:rFonts w:ascii="Times New Roman" w:eastAsia="SymbolMT" w:hAnsi="Times New Roman" w:cs="Times New Roman"/>
                <w:b/>
                <w:sz w:val="28"/>
                <w:szCs w:val="28"/>
                <w:highlight w:val="yellow"/>
              </w:rPr>
              <w:t>Consult with your Medical Director to determine if a retrospective review of results is warranted</w:t>
            </w:r>
            <w:bookmarkStart w:id="0" w:name="_GoBack"/>
            <w:bookmarkEnd w:id="0"/>
            <w:r w:rsidRPr="00DD5122">
              <w:rPr>
                <w:rFonts w:ascii="Times New Roman" w:eastAsia="SymbolMT" w:hAnsi="Times New Roman" w:cs="Times New Roman"/>
                <w:b/>
                <w:sz w:val="28"/>
                <w:szCs w:val="28"/>
              </w:rPr>
              <w:t>.</w:t>
            </w:r>
          </w:p>
        </w:tc>
      </w:tr>
      <w:tr w:rsidR="00971DDF" w:rsidTr="00971DDF">
        <w:tc>
          <w:tcPr>
            <w:tcW w:w="1435" w:type="dxa"/>
          </w:tcPr>
          <w:p w:rsidR="00971DDF" w:rsidRPr="00DD5122" w:rsidRDefault="00DD5122">
            <w:pPr>
              <w:rPr>
                <w:b/>
                <w:sz w:val="28"/>
                <w:szCs w:val="28"/>
              </w:rPr>
            </w:pPr>
            <w:r w:rsidRPr="00DD5122">
              <w:rPr>
                <w:b/>
                <w:sz w:val="28"/>
                <w:szCs w:val="28"/>
              </w:rPr>
              <w:t>RESOLUTION</w:t>
            </w:r>
          </w:p>
        </w:tc>
        <w:tc>
          <w:tcPr>
            <w:tcW w:w="7650" w:type="dxa"/>
          </w:tcPr>
          <w:p w:rsidR="00971DDF" w:rsidRPr="00DD5122" w:rsidRDefault="00971DDF" w:rsidP="00DD5122">
            <w:pPr>
              <w:autoSpaceDE w:val="0"/>
              <w:autoSpaceDN w:val="0"/>
              <w:adjustRightInd w:val="0"/>
              <w:rPr>
                <w:rFonts w:ascii="Times New Roman" w:hAnsi="Times New Roman" w:cs="Times New Roman"/>
                <w:sz w:val="28"/>
                <w:szCs w:val="28"/>
              </w:rPr>
            </w:pPr>
            <w:r w:rsidRPr="00DD5122">
              <w:rPr>
                <w:rFonts w:ascii="Times New Roman" w:hAnsi="Times New Roman" w:cs="Times New Roman"/>
                <w:sz w:val="28"/>
                <w:szCs w:val="28"/>
              </w:rPr>
              <w:t>Beckman Coulter is working on a resolution to d</w:t>
            </w:r>
            <w:r w:rsidR="00DD5122" w:rsidRPr="00DD5122">
              <w:rPr>
                <w:rFonts w:ascii="Times New Roman" w:hAnsi="Times New Roman" w:cs="Times New Roman"/>
                <w:sz w:val="28"/>
                <w:szCs w:val="28"/>
              </w:rPr>
              <w:t xml:space="preserve">etect and flag these unexpected </w:t>
            </w:r>
            <w:r w:rsidRPr="00DD5122">
              <w:rPr>
                <w:rFonts w:ascii="Times New Roman" w:hAnsi="Times New Roman" w:cs="Times New Roman"/>
                <w:sz w:val="28"/>
                <w:szCs w:val="28"/>
              </w:rPr>
              <w:t>light scatter patterns.</w:t>
            </w:r>
          </w:p>
        </w:tc>
      </w:tr>
    </w:tbl>
    <w:p w:rsidR="00971DDF" w:rsidRDefault="00971DDF"/>
    <w:sectPr w:rsidR="00971DD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ymbolMT">
    <w:altName w:val="Arial Unicode MS"/>
    <w:panose1 w:val="00000000000000000000"/>
    <w:charset w:val="88"/>
    <w:family w:val="auto"/>
    <w:notTrueType/>
    <w:pitch w:val="default"/>
    <w:sig w:usb0="00000001" w:usb1="08080000" w:usb2="00000010" w:usb3="00000000" w:csb0="001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C9359E8"/>
    <w:multiLevelType w:val="hybridMultilevel"/>
    <w:tmpl w:val="0256F7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1DDF"/>
    <w:rsid w:val="001E3313"/>
    <w:rsid w:val="00971DDF"/>
    <w:rsid w:val="00C40FF3"/>
    <w:rsid w:val="00DD51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8653A6-6DD4-42DC-90B4-209B540D3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71D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71DD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247</Words>
  <Characters>1414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Kaiser Permanente</Company>
  <LinksUpToDate>false</LinksUpToDate>
  <CharactersWithSpaces>1658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Alvin A. Castillo</dc:creator>
  <cp:keywords/>
  <dc:description/>
  <cp:lastModifiedBy>Alvin A. Castillo</cp:lastModifiedBy>
  <cp:revision>2</cp:revision>
  <dcterms:created xsi:type="dcterms:W3CDTF">2017-04-26T20:02:00Z</dcterms:created>
  <dcterms:modified xsi:type="dcterms:W3CDTF">2017-04-26T20:33:00Z</dcterms:modified>
</cp:coreProperties>
</file>