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0D" w:rsidRPr="00F20D81" w:rsidRDefault="00A3670D" w:rsidP="008660FE">
      <w:pPr>
        <w:pStyle w:val="BlockLine"/>
        <w:ind w:left="0"/>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A3670D" w:rsidRPr="00F20D81" w:rsidTr="00D32C36">
        <w:trPr>
          <w:cantSplit/>
        </w:trPr>
        <w:tc>
          <w:tcPr>
            <w:tcW w:w="1728" w:type="dxa"/>
          </w:tcPr>
          <w:p w:rsidR="00A3670D" w:rsidRPr="00F20D81" w:rsidRDefault="00A3670D" w:rsidP="0009129B">
            <w:pPr>
              <w:pStyle w:val="Heading5"/>
              <w:rPr>
                <w:rFonts w:asciiTheme="minorHAnsi" w:hAnsiTheme="minorHAnsi"/>
                <w:szCs w:val="22"/>
              </w:rPr>
            </w:pPr>
            <w:r w:rsidRPr="00F20D81">
              <w:rPr>
                <w:rFonts w:asciiTheme="minorHAnsi" w:hAnsiTheme="minorHAnsi"/>
                <w:szCs w:val="22"/>
              </w:rPr>
              <w:t>Policy</w:t>
            </w:r>
          </w:p>
        </w:tc>
        <w:tc>
          <w:tcPr>
            <w:tcW w:w="8010" w:type="dxa"/>
          </w:tcPr>
          <w:p w:rsidR="00A3670D" w:rsidRPr="00F20D81" w:rsidRDefault="008660FE" w:rsidP="008660FE">
            <w:pPr>
              <w:rPr>
                <w:rFonts w:asciiTheme="minorHAnsi" w:hAnsiTheme="minorHAnsi"/>
                <w:sz w:val="22"/>
                <w:szCs w:val="22"/>
              </w:rPr>
            </w:pPr>
            <w:r>
              <w:t>It is the policy of the organization to perform WBC/Scan differential, RBC scan, Platelet scan, manual differential, supervisory review or a pathologist review on all CBC’s with differential that meet the organizations further review criteria. No Manual differential will be performed if the test order is CBC NO DIFF (</w:t>
            </w:r>
            <w:proofErr w:type="spellStart"/>
            <w:r>
              <w:t>Hemogram</w:t>
            </w:r>
            <w:proofErr w:type="spellEnd"/>
            <w:r>
              <w:t>) only.</w:t>
            </w:r>
          </w:p>
        </w:tc>
      </w:tr>
    </w:tbl>
    <w:p w:rsidR="009451A0" w:rsidRPr="00F20D81" w:rsidRDefault="009451A0" w:rsidP="009451A0">
      <w:pPr>
        <w:pStyle w:val="BlockLine"/>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9451A0" w:rsidRPr="00F20D81" w:rsidTr="00D32C36">
        <w:trPr>
          <w:cantSplit/>
        </w:trPr>
        <w:tc>
          <w:tcPr>
            <w:tcW w:w="1728" w:type="dxa"/>
          </w:tcPr>
          <w:p w:rsidR="009451A0" w:rsidRPr="00F20D81" w:rsidRDefault="00086A2C" w:rsidP="00803536">
            <w:pPr>
              <w:pStyle w:val="Heading5"/>
              <w:rPr>
                <w:rFonts w:asciiTheme="minorHAnsi" w:hAnsiTheme="minorHAnsi"/>
                <w:szCs w:val="22"/>
              </w:rPr>
            </w:pPr>
            <w:r w:rsidRPr="00F20D81">
              <w:rPr>
                <w:rFonts w:asciiTheme="minorHAnsi" w:hAnsiTheme="minorHAnsi"/>
                <w:szCs w:val="22"/>
              </w:rPr>
              <w:t>Workplace Safety</w:t>
            </w:r>
          </w:p>
        </w:tc>
        <w:tc>
          <w:tcPr>
            <w:tcW w:w="8010" w:type="dxa"/>
          </w:tcPr>
          <w:p w:rsidR="00086A2C" w:rsidRPr="00F20D81" w:rsidRDefault="00086A2C" w:rsidP="00086A2C">
            <w:pPr>
              <w:pStyle w:val="BlockText"/>
              <w:tabs>
                <w:tab w:val="left" w:pos="162"/>
              </w:tabs>
              <w:jc w:val="both"/>
              <w:rPr>
                <w:rFonts w:asciiTheme="minorHAnsi" w:hAnsiTheme="minorHAnsi"/>
                <w:sz w:val="22"/>
                <w:szCs w:val="22"/>
              </w:rPr>
            </w:pPr>
            <w:r w:rsidRPr="00F20D81">
              <w:rPr>
                <w:rFonts w:asciiTheme="minorHAnsi" w:hAnsi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standard precautions and safety practices in the laboratory;  see </w:t>
            </w:r>
            <w:r w:rsidRPr="00F20D81">
              <w:rPr>
                <w:rFonts w:asciiTheme="minorHAnsi" w:hAnsiTheme="minorHAnsi"/>
                <w:b/>
                <w:sz w:val="22"/>
                <w:szCs w:val="22"/>
              </w:rPr>
              <w:t>Safety Practices</w:t>
            </w:r>
            <w:r w:rsidRPr="00F20D81">
              <w:rPr>
                <w:rFonts w:asciiTheme="minorHAnsi" w:hAnsiTheme="minorHAnsi"/>
                <w:sz w:val="22"/>
                <w:szCs w:val="22"/>
              </w:rPr>
              <w:t>, specifically, but not limited to, equipment safety, proper body mechanics, sharps exposure and proper use of personal protective equipment (PPE).</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Universal Body Substance precautions, see </w:t>
            </w:r>
            <w:r w:rsidRPr="00F20D81">
              <w:rPr>
                <w:rFonts w:asciiTheme="minorHAnsi" w:hAnsiTheme="minorHAnsi"/>
                <w:b/>
                <w:sz w:val="22"/>
                <w:szCs w:val="22"/>
              </w:rPr>
              <w:t>Universal Body Substance Precautions</w:t>
            </w:r>
            <w:r w:rsidRPr="00F20D81">
              <w:rPr>
                <w:rFonts w:asciiTheme="minorHAnsi" w:hAnsiTheme="minorHAnsi"/>
                <w:sz w:val="22"/>
                <w:szCs w:val="22"/>
              </w:rPr>
              <w:t>, specifically, but not limited to, exposure to body fluids.</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hand-washing, see </w:t>
            </w:r>
            <w:r w:rsidRPr="00F20D81">
              <w:rPr>
                <w:rFonts w:asciiTheme="minorHAnsi" w:hAnsiTheme="minorHAnsi"/>
                <w:b/>
                <w:sz w:val="22"/>
                <w:szCs w:val="22"/>
              </w:rPr>
              <w:t>Hand washing Policy</w:t>
            </w:r>
            <w:r w:rsidRPr="00F20D81">
              <w:rPr>
                <w:rFonts w:asciiTheme="minorHAnsi" w:hAnsiTheme="minorHAnsi"/>
                <w:sz w:val="22"/>
                <w:szCs w:val="22"/>
              </w:rPr>
              <w:t>, specifically, not limited to, proper hand-washing.</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infection control, see </w:t>
            </w:r>
            <w:r w:rsidRPr="00F20D81">
              <w:rPr>
                <w:rFonts w:asciiTheme="minorHAnsi" w:hAnsiTheme="minorHAnsi"/>
                <w:b/>
                <w:sz w:val="22"/>
                <w:szCs w:val="22"/>
              </w:rPr>
              <w:t>Infection Control</w:t>
            </w:r>
            <w:r w:rsidRPr="00F20D81">
              <w:rPr>
                <w:rFonts w:asciiTheme="minorHAnsi" w:hAnsiTheme="minorHAnsi"/>
                <w:sz w:val="22"/>
                <w:szCs w:val="22"/>
              </w:rPr>
              <w:t>, specifically, but not limited to, proper use of gloves.</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handling of regular and infectious waste, see </w:t>
            </w:r>
            <w:r w:rsidRPr="00F20D81">
              <w:rPr>
                <w:rFonts w:asciiTheme="minorHAnsi" w:hAnsiTheme="minorHAnsi"/>
                <w:b/>
                <w:sz w:val="22"/>
                <w:szCs w:val="22"/>
              </w:rPr>
              <w:t>Handling of Regular and Infectious Waste</w:t>
            </w:r>
            <w:r w:rsidRPr="00F20D81">
              <w:rPr>
                <w:rFonts w:asciiTheme="minorHAnsi" w:hAnsiTheme="minorHAnsi"/>
                <w:sz w:val="22"/>
                <w:szCs w:val="22"/>
              </w:rPr>
              <w:t xml:space="preserve">, specifically, but not limited to, proper disposal of regular and </w:t>
            </w:r>
            <w:proofErr w:type="spellStart"/>
            <w:r w:rsidRPr="00F20D81">
              <w:rPr>
                <w:rFonts w:asciiTheme="minorHAnsi" w:hAnsiTheme="minorHAnsi"/>
                <w:sz w:val="22"/>
                <w:szCs w:val="22"/>
              </w:rPr>
              <w:t>biohazardous</w:t>
            </w:r>
            <w:proofErr w:type="spellEnd"/>
            <w:r w:rsidRPr="00F20D81">
              <w:rPr>
                <w:rFonts w:asciiTheme="minorHAnsi" w:hAnsiTheme="minorHAnsi"/>
                <w:sz w:val="22"/>
                <w:szCs w:val="22"/>
              </w:rPr>
              <w:t xml:space="preserve"> waste.</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cleaning of work area, see </w:t>
            </w:r>
            <w:r w:rsidRPr="00F20D81">
              <w:rPr>
                <w:rFonts w:asciiTheme="minorHAnsi" w:hAnsiTheme="minorHAnsi"/>
                <w:b/>
                <w:sz w:val="22"/>
                <w:szCs w:val="22"/>
              </w:rPr>
              <w:t>Cleaning Work Areas</w:t>
            </w:r>
            <w:r w:rsidRPr="00F20D81">
              <w:rPr>
                <w:rFonts w:asciiTheme="minorHAnsi" w:hAnsiTheme="minorHAnsi"/>
                <w:sz w:val="22"/>
                <w:szCs w:val="22"/>
              </w:rPr>
              <w:t>.</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For proper handling of chemicals and reagents, see the Chemical Hygiene Plan.</w:t>
            </w:r>
          </w:p>
          <w:p w:rsidR="009451A0" w:rsidRPr="00F20D81" w:rsidRDefault="00086A2C" w:rsidP="00086A2C">
            <w:pPr>
              <w:rPr>
                <w:rFonts w:asciiTheme="minorHAnsi" w:hAnsiTheme="minorHAnsi"/>
                <w:sz w:val="22"/>
                <w:szCs w:val="22"/>
              </w:rPr>
            </w:pPr>
            <w:r w:rsidRPr="00F20D81">
              <w:rPr>
                <w:rFonts w:asciiTheme="minorHAnsi" w:hAnsiTheme="minorHAnsi"/>
                <w:sz w:val="22"/>
                <w:szCs w:val="22"/>
              </w:rPr>
              <w:t xml:space="preserve">For proper storage and disposal of chemical hazardous waste, see </w:t>
            </w:r>
            <w:r w:rsidRPr="00F20D81">
              <w:rPr>
                <w:rFonts w:asciiTheme="minorHAnsi" w:hAnsiTheme="minorHAnsi"/>
                <w:b/>
                <w:sz w:val="22"/>
                <w:szCs w:val="22"/>
              </w:rPr>
              <w:t>Storage &amp; Disposal of Chemical Hazardous Waste</w:t>
            </w:r>
            <w:r w:rsidRPr="00F20D81">
              <w:rPr>
                <w:rFonts w:asciiTheme="minorHAnsi" w:hAnsiTheme="minorHAnsi"/>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F20D81" w:rsidRDefault="009451A0" w:rsidP="00803536">
            <w:pPr>
              <w:rPr>
                <w:rFonts w:asciiTheme="minorHAnsi" w:hAnsiTheme="minorHAnsi"/>
                <w:sz w:val="22"/>
                <w:szCs w:val="22"/>
              </w:rPr>
            </w:pPr>
          </w:p>
        </w:tc>
      </w:tr>
    </w:tbl>
    <w:p w:rsidR="005A6EE9" w:rsidRPr="00F20D81" w:rsidRDefault="005A6EE9" w:rsidP="008660FE">
      <w:pPr>
        <w:pStyle w:val="BlockLine"/>
        <w:ind w:left="0"/>
        <w:rPr>
          <w:rFonts w:asciiTheme="minorHAnsi" w:hAnsiTheme="minorHAnsi"/>
          <w:sz w:val="22"/>
          <w:szCs w:val="22"/>
        </w:rPr>
      </w:pPr>
    </w:p>
    <w:tbl>
      <w:tblPr>
        <w:tblW w:w="0" w:type="auto"/>
        <w:tblLayout w:type="fixed"/>
        <w:tblLook w:val="0000" w:firstRow="0" w:lastRow="0" w:firstColumn="0" w:lastColumn="0" w:noHBand="0" w:noVBand="0"/>
      </w:tblPr>
      <w:tblGrid>
        <w:gridCol w:w="9630"/>
      </w:tblGrid>
      <w:tr w:rsidR="008660FE" w:rsidRPr="00F20D81" w:rsidTr="008660FE">
        <w:trPr>
          <w:cantSplit/>
        </w:trPr>
        <w:tc>
          <w:tcPr>
            <w:tcW w:w="9630" w:type="dxa"/>
          </w:tcPr>
          <w:tbl>
            <w:tblPr>
              <w:tblW w:w="8681" w:type="dxa"/>
              <w:tblLayout w:type="fixed"/>
              <w:tblLook w:val="0000" w:firstRow="0" w:lastRow="0" w:firstColumn="0" w:lastColumn="0" w:noHBand="0" w:noVBand="0"/>
            </w:tblPr>
            <w:tblGrid>
              <w:gridCol w:w="1199"/>
              <w:gridCol w:w="2957"/>
              <w:gridCol w:w="3480"/>
              <w:gridCol w:w="1045"/>
            </w:tblGrid>
            <w:tr w:rsidR="008660FE" w:rsidTr="008660FE">
              <w:trPr>
                <w:cantSplit/>
                <w:trHeight w:val="2255"/>
              </w:trPr>
              <w:tc>
                <w:tcPr>
                  <w:tcW w:w="1200" w:type="dxa"/>
                </w:tcPr>
                <w:p w:rsidR="008660FE" w:rsidRDefault="008660FE" w:rsidP="008660FE">
                  <w:pPr>
                    <w:pStyle w:val="Heading5"/>
                  </w:pPr>
                  <w:r>
                    <w:lastRenderedPageBreak/>
                    <w:t>Procedure</w:t>
                  </w:r>
                </w:p>
              </w:tc>
              <w:tc>
                <w:tcPr>
                  <w:tcW w:w="7481" w:type="dxa"/>
                  <w:gridSpan w:val="3"/>
                </w:tcPr>
                <w:p w:rsidR="008660FE" w:rsidRDefault="008660FE" w:rsidP="008660FE">
                  <w:pPr>
                    <w:pStyle w:val="BulletText1"/>
                    <w:numPr>
                      <w:ilvl w:val="0"/>
                      <w:numId w:val="0"/>
                    </w:numPr>
                  </w:pPr>
                  <w:r>
                    <w:t xml:space="preserve">If any of the conditions outlined in the table below occur perform a repeat run, a WBC/Scan differential, a RBC scan, and Platelet scan. </w:t>
                  </w:r>
                </w:p>
                <w:p w:rsidR="008660FE" w:rsidRDefault="008660FE" w:rsidP="008660FE">
                  <w:pPr>
                    <w:pStyle w:val="BulletText1"/>
                    <w:numPr>
                      <w:ilvl w:val="0"/>
                      <w:numId w:val="0"/>
                    </w:numPr>
                  </w:pPr>
                </w:p>
                <w:p w:rsidR="008660FE" w:rsidRDefault="008660FE" w:rsidP="008660FE">
                  <w:pPr>
                    <w:pStyle w:val="BulletText1"/>
                    <w:numPr>
                      <w:ilvl w:val="0"/>
                      <w:numId w:val="0"/>
                    </w:numPr>
                  </w:pPr>
                  <w:r>
                    <w:t xml:space="preserve">Manual differential, supervisory review or a pathologist review is performed depending on which type of review is indicated. See section </w:t>
                  </w:r>
                  <w:r w:rsidRPr="004F4198">
                    <w:rPr>
                      <w:b/>
                      <w:i/>
                    </w:rPr>
                    <w:t>Criteria for manager review / pathologist’s review/ 2</w:t>
                  </w:r>
                  <w:r w:rsidRPr="004F4198">
                    <w:rPr>
                      <w:b/>
                      <w:i/>
                      <w:vertAlign w:val="superscript"/>
                    </w:rPr>
                    <w:t>nd</w:t>
                  </w:r>
                  <w:r w:rsidRPr="004F4198">
                    <w:rPr>
                      <w:b/>
                      <w:i/>
                    </w:rPr>
                    <w:t xml:space="preserve"> CLS review</w:t>
                  </w:r>
                  <w:r>
                    <w:rPr>
                      <w:b/>
                      <w:i/>
                    </w:rPr>
                    <w:t xml:space="preserve"> </w:t>
                  </w:r>
                  <w:r>
                    <w:t>for more detailed information</w:t>
                  </w:r>
                  <w:r>
                    <w:rPr>
                      <w:b/>
                      <w:i/>
                    </w:rPr>
                    <w:t>.</w:t>
                  </w:r>
                </w:p>
                <w:p w:rsidR="008660FE" w:rsidRDefault="008660FE" w:rsidP="008660FE">
                  <w:pPr>
                    <w:pStyle w:val="BulletText1"/>
                    <w:numPr>
                      <w:ilvl w:val="0"/>
                      <w:numId w:val="0"/>
                    </w:numPr>
                  </w:pP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76"/>
              </w:trPr>
              <w:tc>
                <w:tcPr>
                  <w:tcW w:w="2957" w:type="dxa"/>
                  <w:shd w:val="clear" w:color="auto" w:fill="auto"/>
                </w:tcPr>
                <w:p w:rsidR="008660FE" w:rsidRPr="00301B88" w:rsidRDefault="008660FE" w:rsidP="008660FE">
                  <w:pPr>
                    <w:jc w:val="center"/>
                    <w:rPr>
                      <w:b/>
                    </w:rPr>
                  </w:pPr>
                  <w:r w:rsidRPr="00301B88">
                    <w:rPr>
                      <w:b/>
                    </w:rPr>
                    <w:t>When to scan</w:t>
                  </w:r>
                </w:p>
              </w:tc>
              <w:tc>
                <w:tcPr>
                  <w:tcW w:w="3479" w:type="dxa"/>
                  <w:shd w:val="clear" w:color="auto" w:fill="auto"/>
                </w:tcPr>
                <w:p w:rsidR="008660FE" w:rsidRDefault="008660FE" w:rsidP="008660FE"/>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76"/>
              </w:trPr>
              <w:tc>
                <w:tcPr>
                  <w:tcW w:w="2957" w:type="dxa"/>
                  <w:shd w:val="clear" w:color="auto" w:fill="auto"/>
                </w:tcPr>
                <w:p w:rsidR="008660FE" w:rsidRDefault="008660FE" w:rsidP="008660FE">
                  <w:r>
                    <w:t>WBC ( White Blood Count)</w:t>
                  </w:r>
                </w:p>
              </w:tc>
              <w:tc>
                <w:tcPr>
                  <w:tcW w:w="3479" w:type="dxa"/>
                  <w:shd w:val="clear" w:color="auto" w:fill="auto"/>
                </w:tcPr>
                <w:p w:rsidR="008660FE" w:rsidRPr="00821D66" w:rsidRDefault="008660FE" w:rsidP="008660FE">
                  <w:pPr>
                    <w:jc w:val="center"/>
                  </w:pPr>
                  <w:r>
                    <w:t>&lt;3.0 x 10</w:t>
                  </w:r>
                  <w:r w:rsidRPr="00301B88">
                    <w:rPr>
                      <w:vertAlign w:val="superscript"/>
                    </w:rPr>
                    <w:t>3</w:t>
                  </w:r>
                  <w:r>
                    <w:t xml:space="preserve"> or &gt;25.0 x 10</w:t>
                  </w:r>
                  <w:r w:rsidRPr="00301B88">
                    <w:rPr>
                      <w:vertAlign w:val="superscript"/>
                    </w:rPr>
                    <w:t xml:space="preserve">3 </w:t>
                  </w:r>
                  <w:r>
                    <w:t xml:space="preserve"> </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76"/>
              </w:trPr>
              <w:tc>
                <w:tcPr>
                  <w:tcW w:w="2957" w:type="dxa"/>
                  <w:shd w:val="clear" w:color="auto" w:fill="auto"/>
                </w:tcPr>
                <w:p w:rsidR="008660FE" w:rsidRDefault="008660FE" w:rsidP="008660FE">
                  <w:r>
                    <w:t>Basophils</w:t>
                  </w:r>
                </w:p>
              </w:tc>
              <w:tc>
                <w:tcPr>
                  <w:tcW w:w="3479" w:type="dxa"/>
                  <w:shd w:val="clear" w:color="auto" w:fill="auto"/>
                </w:tcPr>
                <w:p w:rsidR="008660FE" w:rsidRDefault="008660FE" w:rsidP="008660FE">
                  <w:pPr>
                    <w:jc w:val="center"/>
                  </w:pPr>
                  <w:r>
                    <w:t>&gt;0.19 ABS</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567"/>
              </w:trPr>
              <w:tc>
                <w:tcPr>
                  <w:tcW w:w="2957" w:type="dxa"/>
                  <w:shd w:val="clear" w:color="auto" w:fill="auto"/>
                </w:tcPr>
                <w:p w:rsidR="008660FE" w:rsidRDefault="008660FE" w:rsidP="008660FE">
                  <w:r>
                    <w:t>MCV (Mean Corpuscular Volume)</w:t>
                  </w:r>
                </w:p>
              </w:tc>
              <w:tc>
                <w:tcPr>
                  <w:tcW w:w="3479" w:type="dxa"/>
                  <w:shd w:val="clear" w:color="auto" w:fill="auto"/>
                </w:tcPr>
                <w:p w:rsidR="008660FE" w:rsidRDefault="008660FE" w:rsidP="008660FE">
                  <w:pPr>
                    <w:jc w:val="center"/>
                  </w:pPr>
                  <w:r>
                    <w:t xml:space="preserve">&lt;75 or &gt; 105 </w:t>
                  </w:r>
                  <w:proofErr w:type="spellStart"/>
                  <w:r>
                    <w:t>fl</w:t>
                  </w:r>
                  <w:proofErr w:type="spellEnd"/>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76"/>
              </w:trPr>
              <w:tc>
                <w:tcPr>
                  <w:tcW w:w="2957" w:type="dxa"/>
                  <w:shd w:val="clear" w:color="auto" w:fill="auto"/>
                </w:tcPr>
                <w:p w:rsidR="008660FE" w:rsidRDefault="008660FE" w:rsidP="008660FE">
                  <w:r>
                    <w:t>RDW</w:t>
                  </w:r>
                </w:p>
              </w:tc>
              <w:tc>
                <w:tcPr>
                  <w:tcW w:w="3479" w:type="dxa"/>
                  <w:shd w:val="clear" w:color="auto" w:fill="auto"/>
                </w:tcPr>
                <w:p w:rsidR="008660FE" w:rsidRDefault="008660FE" w:rsidP="008660FE">
                  <w:pPr>
                    <w:jc w:val="center"/>
                  </w:pPr>
                  <w:r>
                    <w:t>&gt;22</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552"/>
              </w:trPr>
              <w:tc>
                <w:tcPr>
                  <w:tcW w:w="2957" w:type="dxa"/>
                  <w:shd w:val="clear" w:color="auto" w:fill="auto"/>
                </w:tcPr>
                <w:p w:rsidR="008660FE" w:rsidRDefault="008660FE" w:rsidP="008660FE">
                  <w:r>
                    <w:t>Platelet Count</w:t>
                  </w:r>
                </w:p>
              </w:tc>
              <w:tc>
                <w:tcPr>
                  <w:tcW w:w="3479" w:type="dxa"/>
                  <w:shd w:val="clear" w:color="auto" w:fill="auto"/>
                </w:tcPr>
                <w:p w:rsidR="008660FE" w:rsidRDefault="008660FE" w:rsidP="008660FE">
                  <w:pPr>
                    <w:jc w:val="center"/>
                  </w:pPr>
                  <w:r>
                    <w:t>&lt;100,000 No previous result w/in 7 days</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76"/>
              </w:trPr>
              <w:tc>
                <w:tcPr>
                  <w:tcW w:w="2957" w:type="dxa"/>
                  <w:shd w:val="clear" w:color="auto" w:fill="auto"/>
                </w:tcPr>
                <w:p w:rsidR="008660FE" w:rsidRDefault="008660FE" w:rsidP="008660FE">
                  <w:r>
                    <w:t>Additional criteria for scan</w:t>
                  </w:r>
                </w:p>
              </w:tc>
              <w:tc>
                <w:tcPr>
                  <w:tcW w:w="3479" w:type="dxa"/>
                  <w:shd w:val="clear" w:color="auto" w:fill="auto"/>
                </w:tcPr>
                <w:p w:rsidR="008660FE" w:rsidRDefault="008660FE" w:rsidP="008660FE">
                  <w:pPr>
                    <w:jc w:val="center"/>
                  </w:pPr>
                  <w:r>
                    <w:t>Suspect and specific flags</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567"/>
              </w:trPr>
              <w:tc>
                <w:tcPr>
                  <w:tcW w:w="2957" w:type="dxa"/>
                  <w:shd w:val="clear" w:color="auto" w:fill="auto"/>
                </w:tcPr>
                <w:p w:rsidR="008660FE" w:rsidRDefault="008660FE" w:rsidP="008660FE">
                  <w:r>
                    <w:rPr>
                      <w:b/>
                    </w:rPr>
                    <w:t>When to perform manual differential count</w:t>
                  </w:r>
                </w:p>
              </w:tc>
              <w:tc>
                <w:tcPr>
                  <w:tcW w:w="3479" w:type="dxa"/>
                  <w:shd w:val="clear" w:color="auto" w:fill="auto"/>
                </w:tcPr>
                <w:p w:rsidR="008660FE" w:rsidRDefault="008660FE" w:rsidP="008660FE">
                  <w:pPr>
                    <w:jc w:val="center"/>
                  </w:pP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76"/>
              </w:trPr>
              <w:tc>
                <w:tcPr>
                  <w:tcW w:w="2957" w:type="dxa"/>
                  <w:shd w:val="clear" w:color="auto" w:fill="auto"/>
                </w:tcPr>
                <w:p w:rsidR="008660FE" w:rsidRDefault="008660FE" w:rsidP="008660FE">
                  <w:r>
                    <w:t>Bands</w:t>
                  </w:r>
                </w:p>
              </w:tc>
              <w:tc>
                <w:tcPr>
                  <w:tcW w:w="3479" w:type="dxa"/>
                  <w:shd w:val="clear" w:color="auto" w:fill="auto"/>
                </w:tcPr>
                <w:p w:rsidR="008660FE" w:rsidRDefault="008660FE" w:rsidP="008660FE">
                  <w:pPr>
                    <w:jc w:val="center"/>
                  </w:pPr>
                  <w:r>
                    <w:t>&gt;10%</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552"/>
              </w:trPr>
              <w:tc>
                <w:tcPr>
                  <w:tcW w:w="2957" w:type="dxa"/>
                  <w:shd w:val="clear" w:color="auto" w:fill="auto"/>
                </w:tcPr>
                <w:p w:rsidR="008660FE" w:rsidRDefault="008660FE" w:rsidP="008660FE">
                  <w:r>
                    <w:t>Immature Granulocytes Blasts</w:t>
                  </w:r>
                </w:p>
              </w:tc>
              <w:tc>
                <w:tcPr>
                  <w:tcW w:w="3479" w:type="dxa"/>
                  <w:shd w:val="clear" w:color="auto" w:fill="auto"/>
                </w:tcPr>
                <w:p w:rsidR="008660FE" w:rsidRDefault="008660FE" w:rsidP="008660FE">
                  <w:pPr>
                    <w:jc w:val="center"/>
                  </w:pPr>
                  <w:r>
                    <w:t>present</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843"/>
              </w:trPr>
              <w:tc>
                <w:tcPr>
                  <w:tcW w:w="2957" w:type="dxa"/>
                  <w:shd w:val="clear" w:color="auto" w:fill="auto"/>
                </w:tcPr>
                <w:p w:rsidR="008660FE" w:rsidRDefault="008660FE" w:rsidP="008660FE">
                  <w:r>
                    <w:t>Additional criteria for manual differential count</w:t>
                  </w:r>
                </w:p>
              </w:tc>
              <w:tc>
                <w:tcPr>
                  <w:tcW w:w="3479" w:type="dxa"/>
                  <w:shd w:val="clear" w:color="auto" w:fill="auto"/>
                </w:tcPr>
                <w:p w:rsidR="008660FE" w:rsidRDefault="008660FE" w:rsidP="008660FE">
                  <w:pPr>
                    <w:jc w:val="center"/>
                  </w:pPr>
                  <w:r>
                    <w:t>Suspect and specific flags (e.g. questionable automated differential count results)</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4" w:type="dxa"/>
                <w:trHeight w:val="276"/>
              </w:trPr>
              <w:tc>
                <w:tcPr>
                  <w:tcW w:w="6437" w:type="dxa"/>
                  <w:gridSpan w:val="2"/>
                  <w:shd w:val="clear" w:color="auto" w:fill="auto"/>
                </w:tcPr>
                <w:p w:rsidR="008660FE" w:rsidRPr="00D411FD" w:rsidRDefault="008660FE" w:rsidP="008660FE">
                  <w:pPr>
                    <w:rPr>
                      <w:b/>
                    </w:rPr>
                  </w:pPr>
                  <w:r w:rsidRPr="00D411FD">
                    <w:rPr>
                      <w:b/>
                    </w:rPr>
                    <w:t>Delta Checks</w:t>
                  </w:r>
                </w:p>
              </w:tc>
            </w:tr>
            <w:tr w:rsidR="008660FE" w:rsidTr="0086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00" w:type="dxa"/>
                <w:wAfter w:w="1045" w:type="dxa"/>
                <w:trHeight w:val="2608"/>
              </w:trPr>
              <w:tc>
                <w:tcPr>
                  <w:tcW w:w="2957" w:type="dxa"/>
                  <w:shd w:val="clear" w:color="auto" w:fill="auto"/>
                </w:tcPr>
                <w:p w:rsidR="008660FE" w:rsidRDefault="008660FE" w:rsidP="008660FE">
                  <w:pPr>
                    <w:numPr>
                      <w:ilvl w:val="0"/>
                      <w:numId w:val="31"/>
                    </w:numPr>
                  </w:pPr>
                  <w:r>
                    <w:t>WBC: +/- 10 w/in 3 days</w:t>
                  </w:r>
                </w:p>
                <w:p w:rsidR="008660FE" w:rsidRDefault="008660FE" w:rsidP="008660FE">
                  <w:pPr>
                    <w:numPr>
                      <w:ilvl w:val="0"/>
                      <w:numId w:val="31"/>
                    </w:numPr>
                  </w:pPr>
                  <w:proofErr w:type="spellStart"/>
                  <w:r>
                    <w:t>Hgb</w:t>
                  </w:r>
                  <w:proofErr w:type="spellEnd"/>
                  <w:r>
                    <w:t>: +/- 2 w/in 7 days</w:t>
                  </w:r>
                </w:p>
                <w:p w:rsidR="008660FE" w:rsidRDefault="008660FE" w:rsidP="008660FE">
                  <w:pPr>
                    <w:numPr>
                      <w:ilvl w:val="0"/>
                      <w:numId w:val="31"/>
                    </w:numPr>
                  </w:pPr>
                  <w:r>
                    <w:t>MCV: +/- 5 w/in 90 days</w:t>
                  </w:r>
                </w:p>
                <w:p w:rsidR="008660FE" w:rsidRDefault="008660FE" w:rsidP="008660FE">
                  <w:pPr>
                    <w:numPr>
                      <w:ilvl w:val="0"/>
                      <w:numId w:val="31"/>
                    </w:numPr>
                  </w:pPr>
                  <w:r>
                    <w:t>PLT: &gt; 50% difference w/in 7 days</w:t>
                  </w:r>
                </w:p>
              </w:tc>
              <w:tc>
                <w:tcPr>
                  <w:tcW w:w="3479" w:type="dxa"/>
                  <w:shd w:val="clear" w:color="auto" w:fill="auto"/>
                </w:tcPr>
                <w:p w:rsidR="008660FE" w:rsidRDefault="008660FE" w:rsidP="008660FE">
                  <w:pPr>
                    <w:jc w:val="center"/>
                  </w:pPr>
                </w:p>
                <w:p w:rsidR="008660FE" w:rsidRDefault="008660FE" w:rsidP="008660FE">
                  <w:pPr>
                    <w:jc w:val="center"/>
                  </w:pPr>
                </w:p>
                <w:p w:rsidR="008660FE" w:rsidRDefault="008660FE" w:rsidP="008660FE">
                  <w:pPr>
                    <w:jc w:val="center"/>
                  </w:pPr>
                </w:p>
                <w:p w:rsidR="008660FE" w:rsidRDefault="008660FE" w:rsidP="008660FE">
                  <w:pPr>
                    <w:jc w:val="center"/>
                  </w:pPr>
                </w:p>
                <w:p w:rsidR="008660FE" w:rsidRDefault="008660FE" w:rsidP="008660FE">
                  <w:pPr>
                    <w:jc w:val="center"/>
                  </w:pPr>
                  <w:r>
                    <w:t>Review, Repeat Run, and Scan slide if necessary.</w:t>
                  </w:r>
                </w:p>
              </w:tc>
            </w:tr>
          </w:tbl>
          <w:p w:rsidR="008660FE" w:rsidRDefault="008660FE" w:rsidP="008660FE"/>
          <w:p w:rsidR="008660FE" w:rsidRPr="00F20D81" w:rsidRDefault="008660FE" w:rsidP="00803536">
            <w:pPr>
              <w:rPr>
                <w:rFonts w:asciiTheme="minorHAnsi" w:hAnsiTheme="minorHAnsi"/>
                <w:sz w:val="22"/>
                <w:szCs w:val="22"/>
              </w:rPr>
            </w:pPr>
          </w:p>
          <w:p w:rsidR="008660FE" w:rsidRPr="00F20D81" w:rsidRDefault="008660FE" w:rsidP="00803536">
            <w:pPr>
              <w:rPr>
                <w:rFonts w:asciiTheme="minorHAnsi" w:hAnsiTheme="minorHAnsi"/>
                <w:sz w:val="22"/>
                <w:szCs w:val="22"/>
              </w:rPr>
            </w:pPr>
          </w:p>
          <w:p w:rsidR="008660FE" w:rsidRPr="00F20D81" w:rsidRDefault="008660FE" w:rsidP="00803536">
            <w:pPr>
              <w:rPr>
                <w:rFonts w:asciiTheme="minorHAnsi" w:hAnsiTheme="minorHAnsi"/>
                <w:sz w:val="22"/>
                <w:szCs w:val="22"/>
              </w:rPr>
            </w:pPr>
          </w:p>
        </w:tc>
      </w:tr>
    </w:tbl>
    <w:p w:rsidR="005A6EE9" w:rsidRPr="00F20D81" w:rsidRDefault="005A6EE9" w:rsidP="005A6EE9">
      <w:pPr>
        <w:pStyle w:val="BlockLine"/>
        <w:rPr>
          <w:rFonts w:asciiTheme="minorHAnsi" w:hAnsiTheme="minorHAnsi"/>
          <w:sz w:val="22"/>
          <w:szCs w:val="22"/>
        </w:rPr>
      </w:pPr>
    </w:p>
    <w:p w:rsidR="005A6EE9" w:rsidRPr="00F20D81" w:rsidRDefault="005A6EE9" w:rsidP="005A6EE9">
      <w:pPr>
        <w:pStyle w:val="BlockLine"/>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5A6EE9" w:rsidRPr="00F20D81" w:rsidTr="00086A2C">
        <w:trPr>
          <w:cantSplit/>
        </w:trPr>
        <w:tc>
          <w:tcPr>
            <w:tcW w:w="1728" w:type="dxa"/>
          </w:tcPr>
          <w:p w:rsidR="005A6EE9" w:rsidRPr="00F20D81" w:rsidRDefault="00871559" w:rsidP="00086A2C">
            <w:pPr>
              <w:pStyle w:val="Heading5"/>
              <w:rPr>
                <w:rFonts w:asciiTheme="minorHAnsi" w:hAnsiTheme="minorHAnsi"/>
                <w:szCs w:val="22"/>
              </w:rPr>
            </w:pPr>
            <w:r>
              <w:rPr>
                <w:rFonts w:asciiTheme="minorHAnsi" w:hAnsiTheme="minorHAnsi"/>
                <w:szCs w:val="22"/>
              </w:rPr>
              <w:t>Procedure</w:t>
            </w:r>
            <w:r w:rsidR="008660FE">
              <w:rPr>
                <w:rFonts w:asciiTheme="minorHAnsi" w:hAnsiTheme="minorHAnsi"/>
                <w:szCs w:val="22"/>
              </w:rPr>
              <w:t>, continued</w:t>
            </w:r>
          </w:p>
        </w:tc>
        <w:tc>
          <w:tcPr>
            <w:tcW w:w="80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680"/>
            </w:tblGrid>
            <w:tr w:rsidR="008660FE" w:rsidRPr="00A32D30" w:rsidTr="008660FE">
              <w:trPr>
                <w:cantSplit/>
              </w:trPr>
              <w:tc>
                <w:tcPr>
                  <w:tcW w:w="3060" w:type="dxa"/>
                </w:tcPr>
                <w:p w:rsidR="008660FE" w:rsidRPr="00A32D30" w:rsidRDefault="008660FE" w:rsidP="008660FE">
                  <w:pPr>
                    <w:rPr>
                      <w:b/>
                    </w:rPr>
                  </w:pPr>
                  <w:r w:rsidRPr="00A32D30">
                    <w:rPr>
                      <w:b/>
                    </w:rPr>
                    <w:t>Critical Result description</w:t>
                  </w:r>
                </w:p>
              </w:tc>
              <w:tc>
                <w:tcPr>
                  <w:tcW w:w="4680" w:type="dxa"/>
                </w:tcPr>
                <w:p w:rsidR="008660FE" w:rsidRPr="00A32D30" w:rsidRDefault="008660FE" w:rsidP="008660FE">
                  <w:pPr>
                    <w:rPr>
                      <w:b/>
                    </w:rPr>
                  </w:pPr>
                  <w:r w:rsidRPr="00A32D30">
                    <w:rPr>
                      <w:b/>
                    </w:rPr>
                    <w:t>What to do</w:t>
                  </w:r>
                </w:p>
              </w:tc>
            </w:tr>
            <w:tr w:rsidR="008660FE" w:rsidRPr="00A32D30" w:rsidTr="008660FE">
              <w:trPr>
                <w:cantSplit/>
              </w:trPr>
              <w:tc>
                <w:tcPr>
                  <w:tcW w:w="3060" w:type="dxa"/>
                </w:tcPr>
                <w:p w:rsidR="008660FE" w:rsidRPr="009E7C80" w:rsidRDefault="008660FE" w:rsidP="008660FE">
                  <w:r w:rsidRPr="009E7C80">
                    <w:t>WBC &lt;2.0 or &gt;30.0</w:t>
                  </w:r>
                </w:p>
              </w:tc>
              <w:tc>
                <w:tcPr>
                  <w:tcW w:w="4680" w:type="dxa"/>
                </w:tcPr>
                <w:p w:rsidR="008660FE" w:rsidRPr="00A32D30" w:rsidRDefault="008660FE" w:rsidP="008660FE">
                  <w:r w:rsidRPr="00A32D30">
                    <w:t xml:space="preserve">Call critical, </w:t>
                  </w:r>
                  <w:r>
                    <w:t>and</w:t>
                  </w:r>
                  <w:r w:rsidRPr="00A32D30">
                    <w:t xml:space="preserve"> scan slide</w:t>
                  </w:r>
                  <w:r>
                    <w:t xml:space="preserve"> to confirm WBC Count. Perform manual differential count if indicated.</w:t>
                  </w:r>
                </w:p>
              </w:tc>
            </w:tr>
            <w:tr w:rsidR="008660FE" w:rsidRPr="00A32D30" w:rsidTr="008660FE">
              <w:trPr>
                <w:cantSplit/>
              </w:trPr>
              <w:tc>
                <w:tcPr>
                  <w:tcW w:w="3060" w:type="dxa"/>
                </w:tcPr>
                <w:p w:rsidR="008660FE" w:rsidRPr="009E7C80" w:rsidRDefault="008660FE" w:rsidP="008660FE">
                  <w:r>
                    <w:t>WBC &gt;400.3</w:t>
                  </w:r>
                </w:p>
              </w:tc>
              <w:tc>
                <w:tcPr>
                  <w:tcW w:w="4680" w:type="dxa"/>
                </w:tcPr>
                <w:p w:rsidR="008660FE" w:rsidRPr="00A32D30" w:rsidRDefault="008660FE" w:rsidP="008660FE">
                  <w:r>
                    <w:t>WBC</w:t>
                  </w:r>
                  <w:r w:rsidRPr="00A32D30">
                    <w:t xml:space="preserve"> linearity; dilute 1:5 with </w:t>
                  </w:r>
                  <w:r>
                    <w:t>diluent</w:t>
                  </w:r>
                  <w:r w:rsidRPr="00A32D30">
                    <w:t xml:space="preserve"> and rerun in </w:t>
                  </w:r>
                  <w:r>
                    <w:t>single tube presentation</w:t>
                  </w:r>
                  <w:r w:rsidRPr="00A32D30">
                    <w:t xml:space="preserve"> mode.</w:t>
                  </w:r>
                </w:p>
              </w:tc>
            </w:tr>
            <w:tr w:rsidR="008660FE" w:rsidRPr="00A32D30" w:rsidTr="008660FE">
              <w:trPr>
                <w:cantSplit/>
              </w:trPr>
              <w:tc>
                <w:tcPr>
                  <w:tcW w:w="3060" w:type="dxa"/>
                </w:tcPr>
                <w:p w:rsidR="008660FE" w:rsidRPr="009E7C80" w:rsidRDefault="008660FE" w:rsidP="008660FE">
                  <w:r w:rsidRPr="009E7C80">
                    <w:t>If ANC &lt;0.5</w:t>
                  </w:r>
                </w:p>
              </w:tc>
              <w:tc>
                <w:tcPr>
                  <w:tcW w:w="4680" w:type="dxa"/>
                </w:tcPr>
                <w:p w:rsidR="008660FE" w:rsidRPr="00A32D30" w:rsidRDefault="008660FE" w:rsidP="008660FE">
                  <w:r w:rsidRPr="00A32D30">
                    <w:t>Call critical, scan slide</w:t>
                  </w:r>
                </w:p>
              </w:tc>
            </w:tr>
            <w:tr w:rsidR="008660FE" w:rsidRPr="00A32D30" w:rsidTr="008660FE">
              <w:trPr>
                <w:cantSplit/>
              </w:trPr>
              <w:tc>
                <w:tcPr>
                  <w:tcW w:w="3060" w:type="dxa"/>
                </w:tcPr>
                <w:p w:rsidR="008660FE" w:rsidRPr="009E7C80" w:rsidRDefault="008660FE" w:rsidP="008660FE">
                  <w:r w:rsidRPr="009E7C80">
                    <w:t>Blast present</w:t>
                  </w:r>
                </w:p>
              </w:tc>
              <w:tc>
                <w:tcPr>
                  <w:tcW w:w="4680" w:type="dxa"/>
                </w:tcPr>
                <w:p w:rsidR="008660FE" w:rsidRPr="00A32D30" w:rsidRDefault="008660FE" w:rsidP="008660FE">
                  <w:r w:rsidRPr="00A32D30">
                    <w:t>Call critical result.</w:t>
                  </w:r>
                </w:p>
              </w:tc>
            </w:tr>
            <w:tr w:rsidR="008660FE" w:rsidRPr="00A32D30" w:rsidTr="008660FE">
              <w:trPr>
                <w:cantSplit/>
              </w:trPr>
              <w:tc>
                <w:tcPr>
                  <w:tcW w:w="3060" w:type="dxa"/>
                </w:tcPr>
                <w:p w:rsidR="008660FE" w:rsidRPr="009E7C80" w:rsidRDefault="008660FE" w:rsidP="008660FE">
                  <w:r w:rsidRPr="009E7C80">
                    <w:t>Patient &gt;30 days, HGB is &lt;6.6 or &gt;19.9</w:t>
                  </w:r>
                </w:p>
              </w:tc>
              <w:tc>
                <w:tcPr>
                  <w:tcW w:w="4680" w:type="dxa"/>
                </w:tcPr>
                <w:p w:rsidR="008660FE" w:rsidRPr="00A32D30" w:rsidRDefault="008660FE" w:rsidP="008660FE">
                  <w:proofErr w:type="spellStart"/>
                  <w:r w:rsidRPr="00A32D30">
                    <w:t>Hgb</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Patient &lt;/=30 days, HGB is &lt;9.5 or &gt;22.3</w:t>
                  </w:r>
                </w:p>
              </w:tc>
              <w:tc>
                <w:tcPr>
                  <w:tcW w:w="4680" w:type="dxa"/>
                </w:tcPr>
                <w:p w:rsidR="008660FE" w:rsidRPr="00A32D30" w:rsidRDefault="008660FE" w:rsidP="008660FE">
                  <w:proofErr w:type="spellStart"/>
                  <w:r w:rsidRPr="00A32D30">
                    <w:t>Hgb</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HGB &gt;2</w:t>
                  </w:r>
                  <w:r>
                    <w:t>3.9</w:t>
                  </w:r>
                </w:p>
              </w:tc>
              <w:tc>
                <w:tcPr>
                  <w:tcW w:w="4680" w:type="dxa"/>
                </w:tcPr>
                <w:p w:rsidR="008660FE" w:rsidRPr="00A32D30" w:rsidRDefault="008660FE" w:rsidP="008660FE">
                  <w:proofErr w:type="spellStart"/>
                  <w:r w:rsidRPr="00A32D30">
                    <w:t>Hgb</w:t>
                  </w:r>
                  <w:proofErr w:type="spellEnd"/>
                  <w:r w:rsidRPr="00A32D30">
                    <w:t xml:space="preserve"> linearity; dilute 1:5 with </w:t>
                  </w:r>
                  <w:r>
                    <w:t>diluent</w:t>
                  </w:r>
                  <w:r w:rsidRPr="00A32D30">
                    <w:t xml:space="preserve"> and rerun in </w:t>
                  </w:r>
                  <w:r>
                    <w:t>single tube presentation</w:t>
                  </w:r>
                  <w:r w:rsidRPr="00A32D30">
                    <w:t xml:space="preserve"> mode.</w:t>
                  </w:r>
                </w:p>
              </w:tc>
            </w:tr>
            <w:tr w:rsidR="008660FE" w:rsidRPr="00A32D30" w:rsidTr="008660FE">
              <w:trPr>
                <w:cantSplit/>
              </w:trPr>
              <w:tc>
                <w:tcPr>
                  <w:tcW w:w="3060" w:type="dxa"/>
                </w:tcPr>
                <w:p w:rsidR="008660FE" w:rsidRPr="009E7C80" w:rsidRDefault="008660FE" w:rsidP="008660FE">
                  <w:r w:rsidRPr="009E7C80">
                    <w:t>HGB Delta +/- 2# and inpatient within 7 days</w:t>
                  </w:r>
                </w:p>
              </w:tc>
              <w:tc>
                <w:tcPr>
                  <w:tcW w:w="4680" w:type="dxa"/>
                </w:tcPr>
                <w:p w:rsidR="008660FE" w:rsidRPr="00A32D30" w:rsidRDefault="008660FE" w:rsidP="008660FE">
                  <w:r w:rsidRPr="00A32D30">
                    <w:t>Investigate results</w:t>
                  </w:r>
                </w:p>
              </w:tc>
            </w:tr>
            <w:tr w:rsidR="008660FE" w:rsidRPr="00A32D30" w:rsidTr="008660FE">
              <w:trPr>
                <w:cantSplit/>
              </w:trPr>
              <w:tc>
                <w:tcPr>
                  <w:tcW w:w="3060" w:type="dxa"/>
                </w:tcPr>
                <w:p w:rsidR="008660FE" w:rsidRPr="009E7C80" w:rsidRDefault="008660FE" w:rsidP="008660FE">
                  <w:r w:rsidRPr="009E7C80">
                    <w:t>Patient &gt;30 days, HCT is &lt;18 or &gt;61</w:t>
                  </w:r>
                </w:p>
              </w:tc>
              <w:tc>
                <w:tcPr>
                  <w:tcW w:w="4680" w:type="dxa"/>
                </w:tcPr>
                <w:p w:rsidR="008660FE" w:rsidRPr="00A32D30" w:rsidRDefault="008660FE" w:rsidP="008660FE">
                  <w:proofErr w:type="spellStart"/>
                  <w:r w:rsidRPr="00A32D30">
                    <w:t>Hct</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Patient &lt;/=30 days, HCT is &lt;30 OR &gt;71</w:t>
                  </w:r>
                </w:p>
              </w:tc>
              <w:tc>
                <w:tcPr>
                  <w:tcW w:w="4680" w:type="dxa"/>
                </w:tcPr>
                <w:p w:rsidR="008660FE" w:rsidRPr="00A32D30" w:rsidRDefault="008660FE" w:rsidP="008660FE">
                  <w:proofErr w:type="spellStart"/>
                  <w:r w:rsidRPr="00A32D30">
                    <w:t>Hct</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Patient &gt;18Y, PLT is &lt;20 or &gt;999</w:t>
                  </w:r>
                </w:p>
              </w:tc>
              <w:tc>
                <w:tcPr>
                  <w:tcW w:w="4680" w:type="dxa"/>
                </w:tcPr>
                <w:p w:rsidR="008660FE" w:rsidRPr="00A32D30" w:rsidRDefault="008660FE" w:rsidP="008660FE">
                  <w:r w:rsidRPr="00A32D30">
                    <w:t>Platelet critical, review smear - platelet, call critical</w:t>
                  </w:r>
                </w:p>
              </w:tc>
            </w:tr>
            <w:tr w:rsidR="008660FE" w:rsidRPr="00A32D30" w:rsidTr="008660FE">
              <w:trPr>
                <w:cantSplit/>
              </w:trPr>
              <w:tc>
                <w:tcPr>
                  <w:tcW w:w="3060" w:type="dxa"/>
                </w:tcPr>
                <w:p w:rsidR="008660FE" w:rsidRPr="009E7C80" w:rsidRDefault="008660FE" w:rsidP="008660FE">
                  <w:r w:rsidRPr="009E7C80">
                    <w:t>Patient &lt;/=18Y, PLT is &lt;30 or &gt;999</w:t>
                  </w:r>
                </w:p>
              </w:tc>
              <w:tc>
                <w:tcPr>
                  <w:tcW w:w="4680" w:type="dxa"/>
                </w:tcPr>
                <w:p w:rsidR="008660FE" w:rsidRPr="00A32D30" w:rsidRDefault="008660FE" w:rsidP="008660FE">
                  <w:r w:rsidRPr="00A32D30">
                    <w:t>Platelet critical, review smear – platelet, call critical</w:t>
                  </w:r>
                </w:p>
              </w:tc>
            </w:tr>
          </w:tbl>
          <w:p w:rsidR="005A6EE9" w:rsidRPr="00F20D81" w:rsidRDefault="005A6EE9" w:rsidP="00803536">
            <w:pPr>
              <w:rPr>
                <w:rFonts w:asciiTheme="minorHAnsi" w:hAnsiTheme="minorHAnsi"/>
                <w:sz w:val="22"/>
                <w:szCs w:val="22"/>
              </w:rPr>
            </w:pPr>
          </w:p>
        </w:tc>
      </w:tr>
    </w:tbl>
    <w:p w:rsidR="005B1E7F" w:rsidRDefault="005B1E7F" w:rsidP="005B1E7F">
      <w:pPr>
        <w:pStyle w:val="BlockLine"/>
        <w:jc w:val="right"/>
        <w:rPr>
          <w:rFonts w:asciiTheme="minorHAnsi" w:hAnsiTheme="minorHAnsi"/>
          <w:iCs/>
          <w:sz w:val="22"/>
          <w:szCs w:val="22"/>
        </w:rPr>
      </w:pPr>
    </w:p>
    <w:p w:rsidR="008660FE" w:rsidRDefault="008660FE" w:rsidP="008660FE"/>
    <w:tbl>
      <w:tblPr>
        <w:tblW w:w="9828" w:type="dxa"/>
        <w:tblLayout w:type="fixed"/>
        <w:tblLook w:val="0000" w:firstRow="0" w:lastRow="0" w:firstColumn="0" w:lastColumn="0" w:noHBand="0" w:noVBand="0"/>
      </w:tblPr>
      <w:tblGrid>
        <w:gridCol w:w="2088"/>
        <w:gridCol w:w="7740"/>
      </w:tblGrid>
      <w:tr w:rsidR="008660FE" w:rsidTr="003A749C">
        <w:trPr>
          <w:cantSplit/>
        </w:trPr>
        <w:tc>
          <w:tcPr>
            <w:tcW w:w="2088" w:type="dxa"/>
          </w:tcPr>
          <w:p w:rsidR="008660FE" w:rsidRDefault="008660FE" w:rsidP="003A749C">
            <w:pPr>
              <w:pStyle w:val="Heading5"/>
            </w:pPr>
            <w:r>
              <w:lastRenderedPageBreak/>
              <w:t xml:space="preserve">Differential count and peripheral smear review reporting using </w:t>
            </w:r>
            <w:proofErr w:type="spellStart"/>
            <w:r>
              <w:t>Cellavision</w:t>
            </w:r>
            <w:proofErr w:type="spellEnd"/>
          </w:p>
        </w:tc>
        <w:tc>
          <w:tcPr>
            <w:tcW w:w="7740" w:type="dxa"/>
          </w:tcPr>
          <w:p w:rsidR="008660FE" w:rsidRDefault="008660FE" w:rsidP="003A749C">
            <w:pPr>
              <w:pStyle w:val="BulletText1"/>
              <w:numPr>
                <w:ilvl w:val="0"/>
                <w:numId w:val="0"/>
              </w:numPr>
            </w:pPr>
            <w:r>
              <w:t xml:space="preserve">See procedure </w:t>
            </w:r>
            <w:r w:rsidR="003C2269" w:rsidRPr="003C2269">
              <w:rPr>
                <w:b/>
                <w:i/>
              </w:rPr>
              <w:t>LAMC-PPP-0273</w:t>
            </w:r>
            <w:r w:rsidRPr="00AE3569">
              <w:rPr>
                <w:b/>
                <w:i/>
              </w:rPr>
              <w:t xml:space="preserve"> </w:t>
            </w:r>
            <w:proofErr w:type="spellStart"/>
            <w:r w:rsidRPr="00AE3569">
              <w:rPr>
                <w:b/>
                <w:i/>
              </w:rPr>
              <w:t>Cellavision</w:t>
            </w:r>
            <w:proofErr w:type="spellEnd"/>
            <w:r w:rsidRPr="00AE3569">
              <w:rPr>
                <w:b/>
                <w:i/>
              </w:rPr>
              <w:t xml:space="preserve"> DM96 Operating Procedure</w:t>
            </w:r>
            <w:r w:rsidRPr="00AE3569">
              <w:rPr>
                <w:b/>
              </w:rPr>
              <w:t xml:space="preserve"> </w:t>
            </w:r>
            <w:r>
              <w:t>for instrument operation.</w:t>
            </w:r>
          </w:p>
          <w:p w:rsidR="008660FE" w:rsidRDefault="008660FE" w:rsidP="003A749C">
            <w:pPr>
              <w:pStyle w:val="BulletText1"/>
              <w:numPr>
                <w:ilvl w:val="0"/>
                <w:numId w:val="0"/>
              </w:numPr>
            </w:pPr>
          </w:p>
          <w:p w:rsidR="008660FE" w:rsidRDefault="008660FE" w:rsidP="003A749C">
            <w:pPr>
              <w:pStyle w:val="BulletText1"/>
              <w:numPr>
                <w:ilvl w:val="0"/>
                <w:numId w:val="0"/>
              </w:numPr>
            </w:pPr>
            <w:r>
              <w:t xml:space="preserve">Follow steps below on how to perform WBC /scan differential and manual differential reporting using </w:t>
            </w:r>
            <w:proofErr w:type="spellStart"/>
            <w:r>
              <w:t>Cellavision</w:t>
            </w:r>
            <w:proofErr w:type="spellEnd"/>
            <w:r>
              <w:t>.</w:t>
            </w:r>
          </w:p>
          <w:p w:rsidR="008660FE" w:rsidRDefault="008660FE" w:rsidP="003A749C">
            <w:pPr>
              <w:pStyle w:val="BulletText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660"/>
            </w:tblGrid>
            <w:tr w:rsidR="008660FE" w:rsidTr="003A749C">
              <w:tc>
                <w:tcPr>
                  <w:tcW w:w="787" w:type="dxa"/>
                  <w:shd w:val="clear" w:color="auto" w:fill="auto"/>
                </w:tcPr>
                <w:p w:rsidR="008660FE" w:rsidRDefault="008660FE" w:rsidP="003A749C">
                  <w:pPr>
                    <w:pStyle w:val="BulletText1"/>
                    <w:numPr>
                      <w:ilvl w:val="0"/>
                      <w:numId w:val="0"/>
                    </w:numPr>
                    <w:jc w:val="center"/>
                  </w:pPr>
                  <w:r>
                    <w:t>Step</w:t>
                  </w:r>
                </w:p>
              </w:tc>
              <w:tc>
                <w:tcPr>
                  <w:tcW w:w="6660" w:type="dxa"/>
                  <w:shd w:val="clear" w:color="auto" w:fill="auto"/>
                </w:tcPr>
                <w:p w:rsidR="008660FE" w:rsidRDefault="008660FE" w:rsidP="003A749C">
                  <w:pPr>
                    <w:pStyle w:val="BulletText1"/>
                    <w:numPr>
                      <w:ilvl w:val="0"/>
                      <w:numId w:val="0"/>
                    </w:numPr>
                    <w:jc w:val="center"/>
                  </w:pPr>
                  <w:r>
                    <w:t>Action</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Log in the </w:t>
                  </w:r>
                  <w:proofErr w:type="spellStart"/>
                  <w:r>
                    <w:t>Cellavision</w:t>
                  </w:r>
                  <w:proofErr w:type="spellEnd"/>
                  <w:r>
                    <w:t xml:space="preserve"> Software using assigned username and password.</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E96E28" w:rsidRDefault="008660FE" w:rsidP="003A749C">
                  <w:pPr>
                    <w:pStyle w:val="BulletText1"/>
                    <w:numPr>
                      <w:ilvl w:val="0"/>
                      <w:numId w:val="0"/>
                    </w:numPr>
                  </w:pPr>
                  <w:r>
                    <w:t xml:space="preserve">Make sure Cell Location QC was performed in the </w:t>
                  </w:r>
                  <w:proofErr w:type="spellStart"/>
                  <w:r>
                    <w:t>Cellavision</w:t>
                  </w:r>
                  <w:proofErr w:type="spellEnd"/>
                  <w:r>
                    <w:t xml:space="preserve"> instrument. See procedure </w:t>
                  </w:r>
                  <w:r w:rsidR="003C2269" w:rsidRPr="003C2269">
                    <w:rPr>
                      <w:i/>
                    </w:rPr>
                    <w:t>LAMC-PPP-0274</w:t>
                  </w:r>
                  <w:r w:rsidRPr="00581EC1">
                    <w:rPr>
                      <w:i/>
                    </w:rPr>
                    <w:t xml:space="preserve">Cellavision Quality Control Procedure </w:t>
                  </w:r>
                  <w:r>
                    <w:t>on how to perform Cell Location QC.</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To start analysis on a patient, click on Database View </w:t>
                  </w:r>
                  <w:r w:rsidRPr="00336585">
                    <w:rPr>
                      <w:noProof/>
                    </w:rPr>
                    <w:drawing>
                      <wp:inline distT="0" distB="0" distL="0" distR="0">
                        <wp:extent cx="2952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to see the list of slides that is ready to be reviewed. Patient list will be under the </w:t>
                  </w:r>
                  <w:r w:rsidRPr="00581EC1">
                    <w:rPr>
                      <w:i/>
                    </w:rPr>
                    <w:t>Processed Order tab</w:t>
                  </w:r>
                  <w:r>
                    <w:t>.</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Double click on the accession number to be reviewed. </w:t>
                  </w:r>
                </w:p>
                <w:p w:rsidR="008660FE" w:rsidRDefault="008660FE" w:rsidP="003A749C">
                  <w:pPr>
                    <w:pStyle w:val="BulletText1"/>
                    <w:numPr>
                      <w:ilvl w:val="0"/>
                      <w:numId w:val="0"/>
                    </w:numPr>
                  </w:pPr>
                  <w:r w:rsidRPr="00581EC1">
                    <w:rPr>
                      <w:i/>
                    </w:rPr>
                    <w:t>Note: Verified/Completed slides will have a green check mark before the accession numbers.</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After opening the desired slide, window will display these areas:</w:t>
                  </w:r>
                </w:p>
                <w:p w:rsidR="008660FE" w:rsidRDefault="008660FE" w:rsidP="008660FE">
                  <w:pPr>
                    <w:pStyle w:val="BulletText1"/>
                    <w:numPr>
                      <w:ilvl w:val="0"/>
                      <w:numId w:val="33"/>
                    </w:numPr>
                  </w:pPr>
                  <w:r>
                    <w:t>Patient Data- patient demographics with hematology analyzer results(</w:t>
                  </w:r>
                  <w:proofErr w:type="spellStart"/>
                  <w:r>
                    <w:t>hemogram</w:t>
                  </w:r>
                  <w:proofErr w:type="spellEnd"/>
                  <w:r>
                    <w:t xml:space="preserve"> and auto differential count)</w:t>
                  </w:r>
                </w:p>
                <w:p w:rsidR="008660FE" w:rsidRDefault="008660FE" w:rsidP="008660FE">
                  <w:pPr>
                    <w:pStyle w:val="BulletText1"/>
                    <w:numPr>
                      <w:ilvl w:val="0"/>
                      <w:numId w:val="33"/>
                    </w:numPr>
                  </w:pPr>
                  <w:r>
                    <w:t xml:space="preserve">WBC tab – </w:t>
                  </w:r>
                  <w:proofErr w:type="spellStart"/>
                  <w:r>
                    <w:t>Cellavision</w:t>
                  </w:r>
                  <w:proofErr w:type="spellEnd"/>
                  <w:r>
                    <w:t xml:space="preserve"> differential count</w:t>
                  </w:r>
                </w:p>
                <w:p w:rsidR="008660FE" w:rsidRDefault="008660FE" w:rsidP="008660FE">
                  <w:pPr>
                    <w:pStyle w:val="BulletText1"/>
                    <w:numPr>
                      <w:ilvl w:val="0"/>
                      <w:numId w:val="33"/>
                    </w:numPr>
                  </w:pPr>
                  <w:r>
                    <w:t xml:space="preserve">RBC tab- </w:t>
                  </w:r>
                  <w:proofErr w:type="spellStart"/>
                  <w:r>
                    <w:t>Cellavision</w:t>
                  </w:r>
                  <w:proofErr w:type="spellEnd"/>
                  <w:r>
                    <w:t xml:space="preserve"> </w:t>
                  </w:r>
                  <w:proofErr w:type="spellStart"/>
                  <w:r>
                    <w:t>rbc</w:t>
                  </w:r>
                  <w:proofErr w:type="spellEnd"/>
                  <w:r>
                    <w:t xml:space="preserve"> morphology analysis with a monolayer scanned area from slide for review</w:t>
                  </w:r>
                </w:p>
                <w:p w:rsidR="008660FE" w:rsidRDefault="008660FE" w:rsidP="008660FE">
                  <w:pPr>
                    <w:pStyle w:val="BulletText1"/>
                    <w:numPr>
                      <w:ilvl w:val="0"/>
                      <w:numId w:val="33"/>
                    </w:numPr>
                  </w:pPr>
                  <w:r>
                    <w:t>PLT tab- 9 fields from the slide to be reviewed for platelet analysis</w:t>
                  </w:r>
                </w:p>
                <w:p w:rsidR="008660FE" w:rsidRDefault="008660FE" w:rsidP="008660FE">
                  <w:pPr>
                    <w:pStyle w:val="BulletText1"/>
                    <w:numPr>
                      <w:ilvl w:val="0"/>
                      <w:numId w:val="33"/>
                    </w:numPr>
                  </w:pPr>
                  <w:r>
                    <w:t>Sign Slide tab – Summary of results to be verified</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Start with the </w:t>
                  </w:r>
                  <w:r w:rsidRPr="00581EC1">
                    <w:rPr>
                      <w:b/>
                    </w:rPr>
                    <w:t>WBC tab</w:t>
                  </w:r>
                  <w:r>
                    <w:t xml:space="preserve">, relocate all cells that were differentiated incorrectly by </w:t>
                  </w:r>
                  <w:proofErr w:type="spellStart"/>
                  <w:r>
                    <w:t>Cellavision</w:t>
                  </w:r>
                  <w:proofErr w:type="spellEnd"/>
                  <w:r>
                    <w:t xml:space="preserve"> instrument by either dragging cell(s) to desire cell group or right clicking on the cell(s) to choose which cell group the cell(s) should be relocated. </w:t>
                  </w:r>
                </w:p>
                <w:p w:rsidR="008660FE" w:rsidRPr="000D22EE" w:rsidRDefault="008660FE" w:rsidP="003A749C">
                  <w:pPr>
                    <w:pStyle w:val="BulletText1"/>
                    <w:numPr>
                      <w:ilvl w:val="0"/>
                      <w:numId w:val="0"/>
                    </w:numPr>
                  </w:pPr>
                  <w:r>
                    <w:t xml:space="preserve">Make sure to identify all </w:t>
                  </w:r>
                  <w:r w:rsidRPr="00581EC1">
                    <w:rPr>
                      <w:i/>
                    </w:rPr>
                    <w:t xml:space="preserve">Unidentified Cells </w:t>
                  </w:r>
                  <w:r>
                    <w:t xml:space="preserve">and that all cells scanned by the instrument were reviewed. Additional </w:t>
                  </w:r>
                  <w:proofErr w:type="spellStart"/>
                  <w:r>
                    <w:t>wbc</w:t>
                  </w:r>
                  <w:proofErr w:type="spellEnd"/>
                  <w:r>
                    <w:t xml:space="preserve"> morphology can be entered by clicking WBC Comment.</w:t>
                  </w:r>
                </w:p>
              </w:tc>
            </w:tr>
          </w:tbl>
          <w:p w:rsidR="008660FE" w:rsidRDefault="008660FE" w:rsidP="003A749C">
            <w:pPr>
              <w:pStyle w:val="BulletText1"/>
              <w:numPr>
                <w:ilvl w:val="0"/>
                <w:numId w:val="0"/>
              </w:numPr>
            </w:pPr>
          </w:p>
          <w:p w:rsidR="008660FE" w:rsidRDefault="008660FE" w:rsidP="003A749C">
            <w:pPr>
              <w:pStyle w:val="BulletText1"/>
              <w:numPr>
                <w:ilvl w:val="0"/>
                <w:numId w:val="0"/>
              </w:numPr>
            </w:pPr>
          </w:p>
        </w:tc>
      </w:tr>
      <w:tr w:rsidR="008660FE" w:rsidTr="008660FE">
        <w:trPr>
          <w:cantSplit/>
        </w:trPr>
        <w:tc>
          <w:tcPr>
            <w:tcW w:w="2088" w:type="dxa"/>
          </w:tcPr>
          <w:p w:rsidR="008660FE" w:rsidRPr="008660FE" w:rsidRDefault="008660FE" w:rsidP="003A749C">
            <w:pPr>
              <w:pStyle w:val="Heading5"/>
            </w:pPr>
            <w:r>
              <w:lastRenderedPageBreak/>
              <w:t xml:space="preserve">Differential count and peripheral smear review reporting using </w:t>
            </w:r>
            <w:proofErr w:type="spellStart"/>
            <w:r>
              <w:t>Cellavision</w:t>
            </w:r>
            <w:proofErr w:type="spellEnd"/>
            <w:r>
              <w:t xml:space="preserve">, </w:t>
            </w:r>
            <w:r w:rsidRPr="008660FE">
              <w:t>continued</w:t>
            </w:r>
          </w:p>
        </w:tc>
        <w:tc>
          <w:tcPr>
            <w:tcW w:w="77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660"/>
            </w:tblGrid>
            <w:tr w:rsidR="008660FE" w:rsidTr="003A749C">
              <w:tc>
                <w:tcPr>
                  <w:tcW w:w="787" w:type="dxa"/>
                  <w:shd w:val="clear" w:color="auto" w:fill="auto"/>
                </w:tcPr>
                <w:p w:rsidR="008660FE" w:rsidRDefault="008660FE" w:rsidP="003A749C">
                  <w:pPr>
                    <w:pStyle w:val="BulletText1"/>
                    <w:numPr>
                      <w:ilvl w:val="0"/>
                      <w:numId w:val="0"/>
                    </w:numPr>
                    <w:jc w:val="center"/>
                  </w:pPr>
                  <w:r>
                    <w:t>Step</w:t>
                  </w:r>
                </w:p>
              </w:tc>
              <w:tc>
                <w:tcPr>
                  <w:tcW w:w="6660" w:type="dxa"/>
                  <w:shd w:val="clear" w:color="auto" w:fill="auto"/>
                </w:tcPr>
                <w:p w:rsidR="008660FE" w:rsidRDefault="008660FE" w:rsidP="003A749C">
                  <w:pPr>
                    <w:pStyle w:val="BulletText1"/>
                    <w:numPr>
                      <w:ilvl w:val="0"/>
                      <w:numId w:val="0"/>
                    </w:numPr>
                    <w:jc w:val="center"/>
                  </w:pPr>
                  <w:r>
                    <w:t>Action</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7D1648" w:rsidRDefault="008660FE" w:rsidP="003A749C">
                  <w:pPr>
                    <w:pStyle w:val="BulletText1"/>
                    <w:numPr>
                      <w:ilvl w:val="0"/>
                      <w:numId w:val="0"/>
                    </w:numPr>
                  </w:pPr>
                  <w:r>
                    <w:t xml:space="preserve">After reviewing </w:t>
                  </w:r>
                  <w:r w:rsidRPr="00BF2C6D">
                    <w:t>WBC tab</w:t>
                  </w:r>
                  <w:r>
                    <w:t xml:space="preserve">, proceed to </w:t>
                  </w:r>
                  <w:r w:rsidRPr="00581EC1">
                    <w:rPr>
                      <w:b/>
                    </w:rPr>
                    <w:t>RBC tab</w:t>
                  </w:r>
                  <w:r>
                    <w:t xml:space="preserve"> to review RBC morphology. Scan the image from the smear by zooming in an out to confirm RBC morphology. Choose </w:t>
                  </w:r>
                  <w:r w:rsidRPr="00581EC1">
                    <w:rPr>
                      <w:i/>
                    </w:rPr>
                    <w:t xml:space="preserve">Use characterization </w:t>
                  </w:r>
                  <w:r>
                    <w:t xml:space="preserve">to use or edit </w:t>
                  </w:r>
                  <w:proofErr w:type="spellStart"/>
                  <w:r>
                    <w:t>Cellavision</w:t>
                  </w:r>
                  <w:proofErr w:type="spellEnd"/>
                  <w:r>
                    <w:t xml:space="preserve"> RBC morphology analysis. </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E96E28" w:rsidRDefault="008660FE" w:rsidP="003A749C">
                  <w:pPr>
                    <w:pStyle w:val="BulletText1"/>
                    <w:numPr>
                      <w:ilvl w:val="0"/>
                      <w:numId w:val="0"/>
                    </w:numPr>
                  </w:pPr>
                  <w:r>
                    <w:t xml:space="preserve">Proceed to </w:t>
                  </w:r>
                  <w:r w:rsidRPr="00581EC1">
                    <w:rPr>
                      <w:b/>
                    </w:rPr>
                    <w:t>PLT tab</w:t>
                  </w:r>
                  <w:r>
                    <w:t xml:space="preserve"> to review platelet count. Identify Concentration Level by clicking the drop down list to choose if platelets are increased, decreased, or normal. Click on platelet comment to enter additional morphology such as giant and large platelets.</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280B62" w:rsidRDefault="008660FE" w:rsidP="003A749C">
                  <w:pPr>
                    <w:pStyle w:val="BulletText1"/>
                    <w:numPr>
                      <w:ilvl w:val="0"/>
                      <w:numId w:val="0"/>
                    </w:numPr>
                  </w:pPr>
                  <w:r>
                    <w:t xml:space="preserve">Review results by clicking on the </w:t>
                  </w:r>
                  <w:r w:rsidRPr="00581EC1">
                    <w:rPr>
                      <w:b/>
                    </w:rPr>
                    <w:t xml:space="preserve">Sign Slide tab </w:t>
                  </w:r>
                  <w:r>
                    <w:t>to display summary of analysis. Verify results by using username and password provided.</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581EC1" w:rsidRDefault="008660FE" w:rsidP="003A749C">
                  <w:pPr>
                    <w:pStyle w:val="Heading4"/>
                    <w:rPr>
                      <w:rFonts w:ascii="Times New Roman" w:hAnsi="Times New Roman"/>
                    </w:rPr>
                  </w:pPr>
                  <w:r w:rsidRPr="00581EC1">
                    <w:rPr>
                      <w:rFonts w:ascii="Times New Roman" w:hAnsi="Times New Roman"/>
                      <w:b w:val="0"/>
                      <w:sz w:val="22"/>
                      <w:szCs w:val="22"/>
                    </w:rPr>
                    <w:t xml:space="preserve">Results will be sent to LIS for final verification. See </w:t>
                  </w:r>
                  <w:proofErr w:type="gramStart"/>
                  <w:r w:rsidRPr="00581EC1">
                    <w:rPr>
                      <w:rFonts w:ascii="Times New Roman" w:hAnsi="Times New Roman"/>
                      <w:b w:val="0"/>
                      <w:sz w:val="22"/>
                      <w:szCs w:val="22"/>
                    </w:rPr>
                    <w:t xml:space="preserve">procedure  </w:t>
                  </w:r>
                  <w:r w:rsidR="003C2269" w:rsidRPr="003C2269">
                    <w:rPr>
                      <w:rFonts w:ascii="Times New Roman" w:hAnsi="Times New Roman"/>
                      <w:b w:val="0"/>
                      <w:i/>
                      <w:sz w:val="22"/>
                      <w:szCs w:val="22"/>
                    </w:rPr>
                    <w:t>LAMC</w:t>
                  </w:r>
                  <w:proofErr w:type="gramEnd"/>
                  <w:r w:rsidR="003C2269" w:rsidRPr="003C2269">
                    <w:rPr>
                      <w:rFonts w:ascii="Times New Roman" w:hAnsi="Times New Roman"/>
                      <w:b w:val="0"/>
                      <w:i/>
                      <w:sz w:val="22"/>
                      <w:szCs w:val="22"/>
                    </w:rPr>
                    <w:t>-PPP-0391</w:t>
                  </w:r>
                  <w:r w:rsidRPr="00581EC1">
                    <w:rPr>
                      <w:rFonts w:ascii="Times New Roman" w:hAnsi="Times New Roman"/>
                      <w:b w:val="0"/>
                      <w:i/>
                      <w:sz w:val="22"/>
                      <w:szCs w:val="22"/>
                    </w:rPr>
                    <w:t xml:space="preserve"> Manual Validation of Patient’s Results on </w:t>
                  </w:r>
                  <w:proofErr w:type="spellStart"/>
                  <w:r w:rsidRPr="00581EC1">
                    <w:rPr>
                      <w:rFonts w:ascii="Times New Roman" w:hAnsi="Times New Roman"/>
                      <w:b w:val="0"/>
                      <w:i/>
                      <w:sz w:val="22"/>
                      <w:szCs w:val="22"/>
                    </w:rPr>
                    <w:t>Remisol</w:t>
                  </w:r>
                  <w:proofErr w:type="spellEnd"/>
                  <w:r w:rsidRPr="00581EC1">
                    <w:rPr>
                      <w:rFonts w:ascii="Times New Roman" w:hAnsi="Times New Roman"/>
                      <w:b w:val="0"/>
                      <w:i/>
                      <w:sz w:val="22"/>
                      <w:szCs w:val="22"/>
                    </w:rPr>
                    <w:t xml:space="preserve"> Advance</w:t>
                  </w:r>
                  <w:r w:rsidRPr="00581EC1">
                    <w:rPr>
                      <w:rFonts w:ascii="Times New Roman" w:hAnsi="Times New Roman"/>
                      <w:b w:val="0"/>
                      <w:sz w:val="22"/>
                      <w:szCs w:val="22"/>
                    </w:rPr>
                    <w:t xml:space="preserve"> to use middleware for final verification results.</w:t>
                  </w:r>
                </w:p>
              </w:tc>
            </w:tr>
          </w:tbl>
          <w:p w:rsidR="008660FE" w:rsidRDefault="008660FE" w:rsidP="003A749C">
            <w:pPr>
              <w:pStyle w:val="BulletText1"/>
              <w:numPr>
                <w:ilvl w:val="0"/>
                <w:numId w:val="0"/>
              </w:numPr>
            </w:pPr>
          </w:p>
        </w:tc>
      </w:tr>
    </w:tbl>
    <w:p w:rsidR="008660FE" w:rsidRDefault="008660FE" w:rsidP="008660FE"/>
    <w:tbl>
      <w:tblPr>
        <w:tblW w:w="9828" w:type="dxa"/>
        <w:tblLayout w:type="fixed"/>
        <w:tblLook w:val="0000" w:firstRow="0" w:lastRow="0" w:firstColumn="0" w:lastColumn="0" w:noHBand="0" w:noVBand="0"/>
      </w:tblPr>
      <w:tblGrid>
        <w:gridCol w:w="2988"/>
        <w:gridCol w:w="6840"/>
      </w:tblGrid>
      <w:tr w:rsidR="008660FE" w:rsidTr="003A749C">
        <w:trPr>
          <w:cantSplit/>
        </w:trPr>
        <w:tc>
          <w:tcPr>
            <w:tcW w:w="2988" w:type="dxa"/>
          </w:tcPr>
          <w:p w:rsidR="008660FE" w:rsidRDefault="008660FE" w:rsidP="003A749C">
            <w:pPr>
              <w:pStyle w:val="Heading5"/>
            </w:pPr>
            <w:r>
              <w:t>Differential count and peripheral smear review reporting using microscope for analysis</w:t>
            </w:r>
          </w:p>
        </w:tc>
        <w:tc>
          <w:tcPr>
            <w:tcW w:w="6840" w:type="dxa"/>
          </w:tcPr>
          <w:p w:rsidR="008660FE" w:rsidRDefault="008660FE" w:rsidP="003A749C">
            <w:pPr>
              <w:pStyle w:val="BulletText1"/>
              <w:numPr>
                <w:ilvl w:val="0"/>
                <w:numId w:val="0"/>
              </w:numPr>
              <w:ind w:left="187" w:hanging="187"/>
            </w:pPr>
            <w:r>
              <w:t xml:space="preserve">   If in need to perform differential count or peripheral smear review using a microscope, follow the procedure below: </w:t>
            </w:r>
          </w:p>
          <w:p w:rsidR="008660FE" w:rsidRDefault="008660FE" w:rsidP="003A749C">
            <w:pPr>
              <w:pStyle w:val="BulletText1"/>
              <w:numPr>
                <w:ilvl w:val="0"/>
                <w:numId w:val="0"/>
              </w:numPr>
            </w:pPr>
          </w:p>
          <w:p w:rsidR="008660FE" w:rsidRPr="000E2AB7" w:rsidRDefault="008660FE" w:rsidP="003A749C">
            <w:pPr>
              <w:pStyle w:val="BulletText1"/>
              <w:numPr>
                <w:ilvl w:val="0"/>
                <w:numId w:val="0"/>
              </w:numPr>
              <w:ind w:left="252" w:hanging="187"/>
            </w:pPr>
            <w:r>
              <w:t xml:space="preserve">   </w:t>
            </w:r>
          </w:p>
        </w:tc>
      </w:tr>
    </w:tbl>
    <w:p w:rsidR="008660FE" w:rsidRDefault="008660FE" w:rsidP="008660FE"/>
    <w:tbl>
      <w:tblPr>
        <w:tblW w:w="10066" w:type="dxa"/>
        <w:tblLayout w:type="fixed"/>
        <w:tblLook w:val="0000" w:firstRow="0" w:lastRow="0" w:firstColumn="0" w:lastColumn="0" w:noHBand="0" w:noVBand="0"/>
      </w:tblPr>
      <w:tblGrid>
        <w:gridCol w:w="1368"/>
        <w:gridCol w:w="270"/>
        <w:gridCol w:w="277"/>
        <w:gridCol w:w="1073"/>
        <w:gridCol w:w="1915"/>
        <w:gridCol w:w="1915"/>
        <w:gridCol w:w="2740"/>
        <w:gridCol w:w="508"/>
      </w:tblGrid>
      <w:tr w:rsidR="008660FE" w:rsidTr="00023379">
        <w:trPr>
          <w:cantSplit/>
        </w:trPr>
        <w:tc>
          <w:tcPr>
            <w:tcW w:w="1368" w:type="dxa"/>
          </w:tcPr>
          <w:p w:rsidR="008660FE" w:rsidRDefault="008660FE" w:rsidP="003A749C">
            <w:pPr>
              <w:pStyle w:val="Heading5"/>
            </w:pPr>
            <w:r>
              <w:t>WBC Scan/ Differential count</w:t>
            </w:r>
          </w:p>
          <w:p w:rsidR="008660FE" w:rsidRPr="00991E1D" w:rsidRDefault="008660FE" w:rsidP="003A749C"/>
        </w:tc>
        <w:tc>
          <w:tcPr>
            <w:tcW w:w="8698" w:type="dxa"/>
            <w:gridSpan w:val="7"/>
          </w:tcPr>
          <w:p w:rsidR="008660FE" w:rsidRDefault="008660FE" w:rsidP="003A749C">
            <w:pPr>
              <w:pStyle w:val="BulletText1"/>
              <w:numPr>
                <w:ilvl w:val="0"/>
                <w:numId w:val="0"/>
              </w:numPr>
              <w:ind w:left="252" w:hanging="187"/>
            </w:pPr>
            <w:r>
              <w:t xml:space="preserve">   Scanning is defined as the scanning of minimum of 10 fields at 40X or 50X magnification when the WBC is equal or greater than 25,000/cm</w:t>
            </w:r>
            <w:r w:rsidRPr="00D3262D">
              <w:rPr>
                <w:vertAlign w:val="superscript"/>
              </w:rPr>
              <w:t>3</w:t>
            </w:r>
            <w:r>
              <w:t xml:space="preserve"> or scanning of minimum of 15 fields at 40X or 50X when the WBC is less than 3,000/cm</w:t>
            </w:r>
            <w:r w:rsidRPr="00D3262D">
              <w:rPr>
                <w:vertAlign w:val="superscript"/>
              </w:rPr>
              <w:t>3</w:t>
            </w:r>
            <w:r>
              <w:t xml:space="preserve">. Manual differential is defined as classification of 100 WBC. If cells counted for manual differential is less than 25 WBCs, release the results in percentage and insert a comment under the result comment field for the </w:t>
            </w:r>
            <w:r w:rsidRPr="007C1038">
              <w:rPr>
                <w:b/>
              </w:rPr>
              <w:t>total number of WBCs</w:t>
            </w:r>
            <w:r>
              <w:t xml:space="preserve"> differentiated. </w:t>
            </w: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tc>
      </w:tr>
      <w:tr w:rsidR="008660FE" w:rsidTr="00023379">
        <w:trPr>
          <w:cantSplit/>
        </w:trPr>
        <w:tc>
          <w:tcPr>
            <w:tcW w:w="1368" w:type="dxa"/>
          </w:tcPr>
          <w:p w:rsidR="008660FE" w:rsidRDefault="008660FE" w:rsidP="003A749C">
            <w:pPr>
              <w:pStyle w:val="Heading5"/>
            </w:pPr>
            <w:r>
              <w:lastRenderedPageBreak/>
              <w:t xml:space="preserve"> RBC scan</w:t>
            </w:r>
          </w:p>
        </w:tc>
        <w:tc>
          <w:tcPr>
            <w:tcW w:w="8698" w:type="dxa"/>
            <w:gridSpan w:val="7"/>
          </w:tcPr>
          <w:p w:rsidR="008660FE" w:rsidRDefault="008660FE" w:rsidP="003A749C">
            <w:pPr>
              <w:pStyle w:val="BulletText1"/>
              <w:numPr>
                <w:ilvl w:val="0"/>
                <w:numId w:val="0"/>
              </w:numPr>
            </w:pPr>
            <w:r>
              <w:t>RBC scanning is defined as the scanning of minimum of 10 fields at 40X or 50X magnification in order to observe and report RBC morphology and immature RBC’s. Follow the table below on how to report RBC morphology.</w:t>
            </w:r>
          </w:p>
        </w:tc>
      </w:tr>
      <w:tr w:rsidR="008660FE" w:rsidTr="00023379">
        <w:trPr>
          <w:cantSplit/>
        </w:trPr>
        <w:tc>
          <w:tcPr>
            <w:tcW w:w="1638" w:type="dxa"/>
            <w:gridSpan w:val="2"/>
          </w:tcPr>
          <w:p w:rsidR="008660FE" w:rsidRDefault="008660FE" w:rsidP="003A749C">
            <w:pPr>
              <w:pStyle w:val="Heading5"/>
            </w:pPr>
          </w:p>
        </w:tc>
        <w:tc>
          <w:tcPr>
            <w:tcW w:w="8428" w:type="dxa"/>
            <w:gridSpan w:val="6"/>
          </w:tcPr>
          <w:p w:rsidR="008660FE" w:rsidRDefault="008660FE" w:rsidP="003A749C">
            <w:pPr>
              <w:pStyle w:val="BulletText1"/>
              <w:numPr>
                <w:ilvl w:val="0"/>
                <w:numId w:val="0"/>
              </w:numPr>
            </w:pP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Pr>
        <w:tc>
          <w:tcPr>
            <w:tcW w:w="9558" w:type="dxa"/>
            <w:gridSpan w:val="7"/>
            <w:shd w:val="clear" w:color="auto" w:fill="auto"/>
          </w:tcPr>
          <w:p w:rsidR="008660FE" w:rsidRDefault="008660FE" w:rsidP="003A749C">
            <w:pPr>
              <w:pStyle w:val="BlockLine"/>
              <w:pBdr>
                <w:top w:val="none" w:sz="0" w:space="0" w:color="auto"/>
                <w:between w:val="none" w:sz="0" w:space="0" w:color="auto"/>
              </w:pBdr>
              <w:ind w:left="0"/>
            </w:pPr>
            <w:r>
              <w:t>How to report RBC morphology at 100X</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Pr>
        <w:tc>
          <w:tcPr>
            <w:tcW w:w="1915" w:type="dxa"/>
            <w:gridSpan w:val="3"/>
            <w:shd w:val="clear" w:color="auto" w:fill="auto"/>
          </w:tcPr>
          <w:p w:rsidR="008660FE" w:rsidRDefault="008660FE" w:rsidP="003A749C">
            <w:pPr>
              <w:pStyle w:val="BlockLine"/>
              <w:pBdr>
                <w:top w:val="none" w:sz="0" w:space="0" w:color="auto"/>
                <w:between w:val="none" w:sz="0" w:space="0" w:color="auto"/>
              </w:pBdr>
              <w:ind w:left="0"/>
            </w:pPr>
          </w:p>
        </w:tc>
        <w:tc>
          <w:tcPr>
            <w:tcW w:w="1073"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sidRPr="00301B88">
              <w:rPr>
                <w:b/>
              </w:rPr>
              <w:t>Normal</w:t>
            </w:r>
          </w:p>
        </w:tc>
        <w:tc>
          <w:tcPr>
            <w:tcW w:w="1915"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sidRPr="00301B88">
              <w:rPr>
                <w:b/>
              </w:rPr>
              <w:t>Few</w:t>
            </w:r>
          </w:p>
        </w:tc>
        <w:tc>
          <w:tcPr>
            <w:tcW w:w="1915"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sidRPr="00301B88">
              <w:rPr>
                <w:b/>
              </w:rPr>
              <w:t>Moderate</w:t>
            </w:r>
          </w:p>
        </w:tc>
        <w:tc>
          <w:tcPr>
            <w:tcW w:w="2740"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Pr>
                <w:b/>
              </w:rPr>
              <w:t>Many</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Pr>
        <w:tc>
          <w:tcPr>
            <w:tcW w:w="1915" w:type="dxa"/>
            <w:gridSpan w:val="3"/>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Anisocytosis</w:t>
            </w:r>
            <w:proofErr w:type="spellEnd"/>
          </w:p>
        </w:tc>
        <w:tc>
          <w:tcPr>
            <w:tcW w:w="1073" w:type="dxa"/>
            <w:shd w:val="clear" w:color="auto" w:fill="auto"/>
          </w:tcPr>
          <w:p w:rsidR="008660FE" w:rsidRDefault="008660FE" w:rsidP="003A749C">
            <w:pPr>
              <w:pStyle w:val="BlockLine"/>
              <w:pBdr>
                <w:top w:val="none" w:sz="0" w:space="0" w:color="auto"/>
                <w:between w:val="none" w:sz="0" w:space="0" w:color="auto"/>
              </w:pBdr>
              <w:spacing w:before="0"/>
              <w:ind w:left="0"/>
            </w:pPr>
            <w:r>
              <w:t>RDW &lt;14.9</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RDW 14.9-17.0</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RDW 17.1-21.0</w:t>
            </w:r>
          </w:p>
        </w:tc>
        <w:tc>
          <w:tcPr>
            <w:tcW w:w="2740" w:type="dxa"/>
            <w:shd w:val="clear" w:color="auto" w:fill="auto"/>
          </w:tcPr>
          <w:p w:rsidR="008660FE" w:rsidRDefault="008660FE" w:rsidP="003A749C">
            <w:pPr>
              <w:pStyle w:val="BlockLine"/>
              <w:pBdr>
                <w:top w:val="none" w:sz="0" w:space="0" w:color="auto"/>
                <w:between w:val="none" w:sz="0" w:space="0" w:color="auto"/>
              </w:pBdr>
              <w:spacing w:before="0"/>
              <w:ind w:left="0"/>
            </w:pPr>
            <w:r>
              <w:t>RDW &gt;21.0</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Poikilocytosis</w:t>
            </w:r>
            <w:proofErr w:type="spellEnd"/>
          </w:p>
        </w:tc>
        <w:tc>
          <w:tcPr>
            <w:tcW w:w="1073" w:type="dxa"/>
            <w:shd w:val="clear" w:color="auto" w:fill="auto"/>
          </w:tcPr>
          <w:p w:rsidR="008660FE" w:rsidRDefault="008660FE" w:rsidP="003A749C">
            <w:pPr>
              <w:pStyle w:val="BlockLine"/>
              <w:pBdr>
                <w:top w:val="none" w:sz="0" w:space="0" w:color="auto"/>
                <w:between w:val="none" w:sz="0" w:space="0" w:color="auto"/>
              </w:pBdr>
              <w:spacing w:before="0"/>
              <w:ind w:left="0"/>
            </w:pPr>
            <w:r>
              <w:t>0-3 cells/100X field</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4-10 cells/100X field</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11-20 cells/100X field</w:t>
            </w:r>
          </w:p>
        </w:tc>
        <w:tc>
          <w:tcPr>
            <w:tcW w:w="2740" w:type="dxa"/>
            <w:shd w:val="clear" w:color="auto" w:fill="auto"/>
          </w:tcPr>
          <w:p w:rsidR="008660FE" w:rsidRDefault="008660FE" w:rsidP="003A749C">
            <w:pPr>
              <w:pStyle w:val="BlockLine"/>
              <w:pBdr>
                <w:top w:val="none" w:sz="0" w:space="0" w:color="auto"/>
                <w:between w:val="none" w:sz="0" w:space="0" w:color="auto"/>
              </w:pBdr>
              <w:spacing w:before="0"/>
              <w:ind w:left="0"/>
            </w:pPr>
            <w:r>
              <w:t>&gt;20 cells/100X field</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Hypochromasia</w:t>
            </w:r>
            <w:proofErr w:type="spellEnd"/>
          </w:p>
        </w:tc>
        <w:tc>
          <w:tcPr>
            <w:tcW w:w="1073" w:type="dxa"/>
            <w:shd w:val="clear" w:color="auto" w:fill="auto"/>
          </w:tcPr>
          <w:p w:rsidR="008660FE" w:rsidRDefault="008660FE" w:rsidP="003A749C">
            <w:pPr>
              <w:pStyle w:val="BlockLine"/>
              <w:pBdr>
                <w:top w:val="none" w:sz="0" w:space="0" w:color="auto"/>
                <w:between w:val="none" w:sz="0" w:space="0" w:color="auto"/>
              </w:pBdr>
              <w:spacing w:before="0"/>
              <w:ind w:left="0"/>
            </w:pPr>
            <w:r>
              <w:t xml:space="preserve">0-5% </w:t>
            </w:r>
          </w:p>
          <w:p w:rsidR="008660FE" w:rsidRPr="005B5773" w:rsidRDefault="008660FE" w:rsidP="003A749C">
            <w:r>
              <w:t>MCHC &gt;32</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6-25%</w:t>
            </w:r>
          </w:p>
          <w:p w:rsidR="008660FE" w:rsidRPr="005B5773" w:rsidRDefault="008660FE" w:rsidP="003A749C">
            <w:r>
              <w:t>MCHC 30-32</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26-50%</w:t>
            </w:r>
          </w:p>
          <w:p w:rsidR="008660FE" w:rsidRPr="005B5773" w:rsidRDefault="008660FE" w:rsidP="003A749C">
            <w:r>
              <w:t>MCHC 20-29</w:t>
            </w:r>
          </w:p>
        </w:tc>
        <w:tc>
          <w:tcPr>
            <w:tcW w:w="2740" w:type="dxa"/>
            <w:shd w:val="clear" w:color="auto" w:fill="auto"/>
          </w:tcPr>
          <w:p w:rsidR="008660FE" w:rsidRDefault="008660FE" w:rsidP="003A749C">
            <w:pPr>
              <w:pStyle w:val="BlockLine"/>
              <w:pBdr>
                <w:top w:val="none" w:sz="0" w:space="0" w:color="auto"/>
                <w:between w:val="none" w:sz="0" w:space="0" w:color="auto"/>
              </w:pBdr>
              <w:spacing w:before="0"/>
              <w:ind w:left="0"/>
            </w:pPr>
            <w:r>
              <w:t>&gt;50%</w:t>
            </w:r>
          </w:p>
          <w:p w:rsidR="008660FE" w:rsidRPr="005B5773" w:rsidRDefault="008660FE" w:rsidP="003A749C">
            <w:r>
              <w:t>MCHC &lt;20</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Polychromasia</w:t>
            </w:r>
            <w:proofErr w:type="spellEnd"/>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0-1 cells/100X field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2-3 cells/100X field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4-6 cells/100X field</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&gt;6 cells/100X field</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818"/>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Macrocytosis</w:t>
            </w:r>
            <w:proofErr w:type="spellEnd"/>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0-5%</w:t>
            </w:r>
          </w:p>
          <w:p w:rsidR="008660FE" w:rsidRPr="005B5773" w:rsidRDefault="008660FE" w:rsidP="00023379">
            <w:pPr>
              <w:pStyle w:val="BlockLine"/>
              <w:pBdr>
                <w:top w:val="none" w:sz="0" w:space="0" w:color="auto"/>
                <w:between w:val="none" w:sz="0" w:space="0" w:color="auto"/>
              </w:pBdr>
              <w:spacing w:before="0"/>
              <w:ind w:left="0"/>
            </w:pPr>
            <w:r>
              <w:t>MCV 80-99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 xml:space="preserve">6-25% </w:t>
            </w:r>
          </w:p>
          <w:p w:rsidR="008660FE" w:rsidRDefault="008660FE" w:rsidP="003A749C">
            <w:pPr>
              <w:pStyle w:val="BlockLine"/>
              <w:pBdr>
                <w:top w:val="none" w:sz="0" w:space="0" w:color="auto"/>
                <w:between w:val="none" w:sz="0" w:space="0" w:color="auto"/>
              </w:pBdr>
              <w:spacing w:before="0"/>
              <w:ind w:left="0"/>
            </w:pPr>
            <w:r>
              <w:t>MCV 100-109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26-50%</w:t>
            </w:r>
          </w:p>
          <w:p w:rsidR="008660FE" w:rsidRPr="005B5773" w:rsidRDefault="008660FE" w:rsidP="00023379">
            <w:pPr>
              <w:pStyle w:val="BlockLine"/>
              <w:pBdr>
                <w:top w:val="none" w:sz="0" w:space="0" w:color="auto"/>
                <w:between w:val="none" w:sz="0" w:space="0" w:color="auto"/>
              </w:pBdr>
              <w:spacing w:before="0"/>
              <w:ind w:left="0"/>
            </w:pPr>
            <w:r>
              <w:t>MCV 110-120</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50%</w:t>
            </w:r>
          </w:p>
          <w:p w:rsidR="008660FE" w:rsidRPr="005B5773" w:rsidRDefault="008660FE" w:rsidP="00023379">
            <w:pPr>
              <w:pStyle w:val="BlockLine"/>
              <w:pBdr>
                <w:top w:val="none" w:sz="0" w:space="0" w:color="auto"/>
                <w:between w:val="none" w:sz="0" w:space="0" w:color="auto"/>
              </w:pBdr>
              <w:spacing w:before="0"/>
              <w:ind w:left="0"/>
            </w:pPr>
            <w:r>
              <w:t>MCV &gt;120</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Microcytosis</w:t>
            </w:r>
            <w:proofErr w:type="spellEnd"/>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0-5%</w:t>
            </w:r>
          </w:p>
          <w:p w:rsidR="008660FE" w:rsidRPr="005B5773" w:rsidRDefault="008660FE" w:rsidP="00023379">
            <w:pPr>
              <w:pStyle w:val="BlockLine"/>
              <w:pBdr>
                <w:top w:val="none" w:sz="0" w:space="0" w:color="auto"/>
                <w:between w:val="none" w:sz="0" w:space="0" w:color="auto"/>
              </w:pBdr>
              <w:spacing w:before="0"/>
              <w:ind w:left="0"/>
            </w:pPr>
            <w:r>
              <w:t>MCV 80-99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 xml:space="preserve">6-25% </w:t>
            </w:r>
          </w:p>
          <w:p w:rsidR="008660FE" w:rsidRDefault="008660FE" w:rsidP="003A749C">
            <w:pPr>
              <w:pStyle w:val="BlockLine"/>
              <w:pBdr>
                <w:top w:val="none" w:sz="0" w:space="0" w:color="auto"/>
                <w:between w:val="none" w:sz="0" w:space="0" w:color="auto"/>
              </w:pBdr>
              <w:spacing w:before="0"/>
              <w:ind w:left="0"/>
            </w:pPr>
            <w:r>
              <w:t>MCV 76-79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26-50%</w:t>
            </w:r>
          </w:p>
          <w:p w:rsidR="008660FE" w:rsidRPr="005B5773" w:rsidRDefault="008660FE" w:rsidP="00023379">
            <w:pPr>
              <w:pStyle w:val="BlockLine"/>
              <w:pBdr>
                <w:top w:val="none" w:sz="0" w:space="0" w:color="auto"/>
                <w:between w:val="none" w:sz="0" w:space="0" w:color="auto"/>
              </w:pBdr>
              <w:spacing w:before="0"/>
              <w:ind w:left="0"/>
            </w:pPr>
            <w:r>
              <w:t>MCV 65-75</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50%</w:t>
            </w:r>
          </w:p>
          <w:p w:rsidR="008660FE" w:rsidRPr="005B5773" w:rsidRDefault="008660FE" w:rsidP="00023379">
            <w:pPr>
              <w:pStyle w:val="BlockLine"/>
              <w:pBdr>
                <w:top w:val="none" w:sz="0" w:space="0" w:color="auto"/>
                <w:between w:val="none" w:sz="0" w:space="0" w:color="auto"/>
              </w:pBdr>
              <w:spacing w:before="0"/>
              <w:ind w:left="0"/>
            </w:pPr>
            <w:r>
              <w:t>MCV &lt;65</w:t>
            </w:r>
          </w:p>
        </w:tc>
      </w:tr>
      <w:tr w:rsidR="00023379"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Basophilic stippling</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None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1-2 cells/100X field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3-5 cells/100X field</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&gt;5 cells/100X field</w:t>
            </w:r>
          </w:p>
        </w:tc>
      </w:tr>
      <w:tr w:rsidR="00023379"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Inclusions</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Report as present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p>
        </w:tc>
      </w:tr>
    </w:tbl>
    <w:p w:rsidR="008660FE" w:rsidRDefault="008660FE"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3773"/>
        <w:gridCol w:w="3888"/>
      </w:tblGrid>
      <w:tr w:rsidR="00023379" w:rsidTr="003A749C">
        <w:tc>
          <w:tcPr>
            <w:tcW w:w="9576" w:type="dxa"/>
            <w:gridSpan w:val="3"/>
            <w:shd w:val="clear" w:color="auto" w:fill="auto"/>
          </w:tcPr>
          <w:p w:rsidR="00023379" w:rsidRDefault="00023379" w:rsidP="003A749C">
            <w:pPr>
              <w:pStyle w:val="BlockLine"/>
              <w:pBdr>
                <w:top w:val="none" w:sz="0" w:space="0" w:color="auto"/>
                <w:between w:val="none" w:sz="0" w:space="0" w:color="auto"/>
              </w:pBdr>
              <w:ind w:left="0"/>
            </w:pPr>
            <w:r>
              <w:t xml:space="preserve">How to report Nucleated RBC’s </w:t>
            </w:r>
          </w:p>
        </w:tc>
      </w:tr>
      <w:tr w:rsidR="00023379" w:rsidTr="003A749C">
        <w:tc>
          <w:tcPr>
            <w:tcW w:w="1915" w:type="dxa"/>
            <w:shd w:val="clear" w:color="auto" w:fill="auto"/>
          </w:tcPr>
          <w:p w:rsidR="00023379" w:rsidRDefault="00023379" w:rsidP="003A749C">
            <w:pPr>
              <w:pStyle w:val="BlockLine"/>
              <w:pBdr>
                <w:top w:val="none" w:sz="0" w:space="0" w:color="auto"/>
                <w:between w:val="none" w:sz="0" w:space="0" w:color="auto"/>
              </w:pBdr>
              <w:spacing w:before="0"/>
              <w:ind w:left="0"/>
            </w:pPr>
          </w:p>
        </w:tc>
        <w:tc>
          <w:tcPr>
            <w:tcW w:w="3773" w:type="dxa"/>
            <w:shd w:val="clear" w:color="auto" w:fill="auto"/>
          </w:tcPr>
          <w:p w:rsidR="00023379" w:rsidRDefault="00023379" w:rsidP="003A749C">
            <w:pPr>
              <w:pStyle w:val="BlockLine"/>
              <w:pBdr>
                <w:top w:val="none" w:sz="0" w:space="0" w:color="auto"/>
                <w:between w:val="none" w:sz="0" w:space="0" w:color="auto"/>
              </w:pBdr>
              <w:spacing w:before="0"/>
              <w:ind w:left="0"/>
              <w:jc w:val="center"/>
            </w:pPr>
            <w:r>
              <w:t>NRBC &gt;2.0%</w:t>
            </w:r>
          </w:p>
        </w:tc>
        <w:tc>
          <w:tcPr>
            <w:tcW w:w="3888" w:type="dxa"/>
            <w:shd w:val="clear" w:color="auto" w:fill="auto"/>
          </w:tcPr>
          <w:p w:rsidR="00023379" w:rsidRDefault="00023379" w:rsidP="003A749C">
            <w:pPr>
              <w:pStyle w:val="BlockLine"/>
              <w:pBdr>
                <w:top w:val="none" w:sz="0" w:space="0" w:color="auto"/>
                <w:between w:val="none" w:sz="0" w:space="0" w:color="auto"/>
              </w:pBdr>
              <w:spacing w:before="0"/>
              <w:ind w:left="0"/>
              <w:jc w:val="center"/>
            </w:pPr>
            <w:r>
              <w:t>Do scan, if scan agrees report automated results. If disagrees, do manual differential and correct WBC if NRC&gt;10%, use uncorrected WBC count to correct WBC</w:t>
            </w:r>
          </w:p>
        </w:tc>
      </w:tr>
    </w:tbl>
    <w:p w:rsidR="00023379" w:rsidRDefault="00023379" w:rsidP="008660FE"/>
    <w:p w:rsidR="00023379" w:rsidRDefault="00023379" w:rsidP="008660FE"/>
    <w:p w:rsidR="00023379" w:rsidRDefault="00023379"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740"/>
      </w:tblGrid>
      <w:tr w:rsidR="00023379" w:rsidRPr="00992E69" w:rsidTr="003A749C">
        <w:tc>
          <w:tcPr>
            <w:tcW w:w="1728" w:type="dxa"/>
            <w:tcBorders>
              <w:top w:val="nil"/>
              <w:left w:val="nil"/>
              <w:bottom w:val="nil"/>
              <w:right w:val="nil"/>
            </w:tcBorders>
            <w:shd w:val="clear" w:color="auto" w:fill="auto"/>
          </w:tcPr>
          <w:p w:rsidR="00023379" w:rsidRPr="00024E05" w:rsidRDefault="00023379" w:rsidP="003A749C">
            <w:pPr>
              <w:pStyle w:val="Heading5"/>
              <w:rPr>
                <w:rFonts w:eastAsia="Calibri"/>
                <w:sz w:val="24"/>
                <w:szCs w:val="22"/>
              </w:rPr>
            </w:pPr>
            <w:r w:rsidRPr="00024E05">
              <w:rPr>
                <w:rFonts w:eastAsia="Calibri"/>
                <w:sz w:val="24"/>
                <w:szCs w:val="22"/>
              </w:rPr>
              <w:lastRenderedPageBreak/>
              <w:t>Platelet scan</w:t>
            </w:r>
          </w:p>
        </w:tc>
        <w:tc>
          <w:tcPr>
            <w:tcW w:w="7740" w:type="dxa"/>
            <w:tcBorders>
              <w:top w:val="nil"/>
              <w:left w:val="nil"/>
              <w:bottom w:val="nil"/>
              <w:right w:val="nil"/>
            </w:tcBorders>
            <w:shd w:val="clear" w:color="auto" w:fill="auto"/>
          </w:tcPr>
          <w:p w:rsidR="00023379" w:rsidRPr="00024E05" w:rsidRDefault="00023379" w:rsidP="003A749C">
            <w:pPr>
              <w:pStyle w:val="BulletText1"/>
              <w:numPr>
                <w:ilvl w:val="0"/>
                <w:numId w:val="0"/>
              </w:numPr>
              <w:rPr>
                <w:rFonts w:eastAsia="Calibri"/>
                <w:szCs w:val="22"/>
              </w:rPr>
            </w:pPr>
            <w:r w:rsidRPr="00024E05">
              <w:rPr>
                <w:rFonts w:eastAsia="Calibri"/>
                <w:szCs w:val="22"/>
              </w:rPr>
              <w:t xml:space="preserve">Platelet scan is defined as the scanning of minimum of 10 fields at 40X or 50X magnification in order to estimate platelet count and observe platelet morphology. Scan platelets and comment morphology. </w:t>
            </w:r>
          </w:p>
        </w:tc>
      </w:tr>
    </w:tbl>
    <w:p w:rsidR="00023379" w:rsidRDefault="00023379" w:rsidP="00023379">
      <w:pPr>
        <w:ind w:left="1440"/>
      </w:pPr>
    </w:p>
    <w:p w:rsidR="00023379" w:rsidRDefault="00023379" w:rsidP="00023379">
      <w:pPr>
        <w:ind w:left="1440"/>
      </w:pPr>
      <w:r>
        <w:t xml:space="preserve">     How to report Platelet enumeration at 100X</w:t>
      </w:r>
    </w:p>
    <w:p w:rsidR="00023379" w:rsidRDefault="00023379" w:rsidP="00023379"/>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28"/>
      </w:tblGrid>
      <w:tr w:rsidR="00023379" w:rsidTr="003A749C">
        <w:tc>
          <w:tcPr>
            <w:tcW w:w="2610"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Platelets / 100x field</w:t>
            </w:r>
          </w:p>
        </w:tc>
        <w:tc>
          <w:tcPr>
            <w:tcW w:w="2610"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Description</w:t>
            </w:r>
          </w:p>
        </w:tc>
        <w:tc>
          <w:tcPr>
            <w:tcW w:w="2628"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Estimated Platelet count (1000/mm</w:t>
            </w:r>
            <w:r w:rsidRPr="00301B88">
              <w:rPr>
                <w:b/>
                <w:vertAlign w:val="superscript"/>
              </w:rPr>
              <w:t>3</w:t>
            </w:r>
            <w:r w:rsidRPr="00301B88">
              <w:rPr>
                <w:b/>
              </w:rPr>
              <w:t>)</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&lt;2.5 to &lt;6.5</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Decreased</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50-129</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&gt;=6.5 but &lt;20</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Adequate</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130-400</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&gt;=20 to &gt;=30</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Increased</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401-600</w:t>
            </w:r>
          </w:p>
        </w:tc>
      </w:tr>
    </w:tbl>
    <w:p w:rsidR="00023379" w:rsidRDefault="00023379" w:rsidP="00023379">
      <w:pPr>
        <w:pStyle w:val="BlockLine"/>
      </w:pP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28"/>
      </w:tblGrid>
      <w:tr w:rsidR="00023379" w:rsidTr="003A749C">
        <w:tc>
          <w:tcPr>
            <w:tcW w:w="7848" w:type="dxa"/>
            <w:gridSpan w:val="3"/>
            <w:shd w:val="clear" w:color="auto" w:fill="auto"/>
          </w:tcPr>
          <w:p w:rsidR="00023379" w:rsidRPr="00CA547F" w:rsidRDefault="00023379" w:rsidP="003A749C">
            <w:pPr>
              <w:pStyle w:val="BlockLine"/>
              <w:pBdr>
                <w:top w:val="none" w:sz="0" w:space="0" w:color="auto"/>
                <w:between w:val="none" w:sz="0" w:space="0" w:color="auto"/>
              </w:pBdr>
              <w:spacing w:before="0"/>
              <w:ind w:left="0"/>
            </w:pPr>
            <w:r>
              <w:t>HOW TO REPORT PLATELET MORPHOLOGY AT 100X, report as few, moderate, many</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p>
        </w:tc>
        <w:tc>
          <w:tcPr>
            <w:tcW w:w="2610"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Size</w:t>
            </w:r>
          </w:p>
        </w:tc>
        <w:tc>
          <w:tcPr>
            <w:tcW w:w="2628"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Appearance</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Large</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4-6.5 µm</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Round or ovoid, pale blue or colorless, containing purplish-red granules</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Giant</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Larger than normal</w:t>
            </w:r>
          </w:p>
          <w:p w:rsidR="00023379" w:rsidRDefault="00023379" w:rsidP="003A749C">
            <w:pPr>
              <w:pStyle w:val="BlockLine"/>
              <w:pBdr>
                <w:top w:val="none" w:sz="0" w:space="0" w:color="auto"/>
                <w:between w:val="none" w:sz="0" w:space="0" w:color="auto"/>
              </w:pBdr>
              <w:spacing w:before="0"/>
              <w:ind w:left="0"/>
            </w:pPr>
            <w:r>
              <w:t>RBC (7)µm</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 xml:space="preserve">Irregularly shaped or </w:t>
            </w:r>
            <w:proofErr w:type="spellStart"/>
            <w:r>
              <w:t>agranular</w:t>
            </w:r>
            <w:proofErr w:type="spellEnd"/>
            <w:r>
              <w:t>.</w:t>
            </w:r>
          </w:p>
        </w:tc>
      </w:tr>
    </w:tbl>
    <w:p w:rsidR="00023379" w:rsidRDefault="00023379" w:rsidP="00023379"/>
    <w:p w:rsidR="00023379" w:rsidRDefault="00023379" w:rsidP="00023379"/>
    <w:tbl>
      <w:tblPr>
        <w:tblW w:w="9648" w:type="dxa"/>
        <w:tblLayout w:type="fixed"/>
        <w:tblLook w:val="0000" w:firstRow="0" w:lastRow="0" w:firstColumn="0" w:lastColumn="0" w:noHBand="0" w:noVBand="0"/>
      </w:tblPr>
      <w:tblGrid>
        <w:gridCol w:w="1368"/>
        <w:gridCol w:w="8280"/>
      </w:tblGrid>
      <w:tr w:rsidR="00023379" w:rsidRPr="00560F42" w:rsidTr="003A749C">
        <w:trPr>
          <w:cantSplit/>
        </w:trPr>
        <w:tc>
          <w:tcPr>
            <w:tcW w:w="1368" w:type="dxa"/>
          </w:tcPr>
          <w:p w:rsidR="00023379" w:rsidRPr="00560F42" w:rsidRDefault="00023379" w:rsidP="003A749C">
            <w:pPr>
              <w:pStyle w:val="Heading5"/>
              <w:rPr>
                <w:b w:val="0"/>
              </w:rPr>
            </w:pPr>
          </w:p>
        </w:tc>
        <w:tc>
          <w:tcPr>
            <w:tcW w:w="8280" w:type="dxa"/>
          </w:tcPr>
          <w:p w:rsidR="00023379" w:rsidRPr="00D7394C" w:rsidRDefault="00023379" w:rsidP="003A749C">
            <w:pPr>
              <w:pStyle w:val="BulletText1"/>
              <w:numPr>
                <w:ilvl w:val="0"/>
                <w:numId w:val="0"/>
              </w:numPr>
              <w:ind w:left="162" w:hanging="187"/>
            </w:pPr>
            <w:r>
              <w:rPr>
                <w:sz w:val="22"/>
                <w:szCs w:val="22"/>
              </w:rPr>
              <w:t xml:space="preserve">   </w:t>
            </w:r>
            <w:r w:rsidRPr="00031FC2">
              <w:rPr>
                <w:sz w:val="22"/>
                <w:szCs w:val="22"/>
              </w:rPr>
              <w:t xml:space="preserve">See procedure </w:t>
            </w:r>
            <w:r w:rsidR="003C2269" w:rsidRPr="003C2269">
              <w:rPr>
                <w:b/>
                <w:i/>
                <w:sz w:val="22"/>
                <w:szCs w:val="22"/>
              </w:rPr>
              <w:t>LAMC-PPP-</w:t>
            </w:r>
            <w:r w:rsidR="003C2269" w:rsidRPr="003C2269">
              <w:rPr>
                <w:b/>
                <w:i/>
                <w:color w:val="000000" w:themeColor="text1"/>
                <w:sz w:val="22"/>
                <w:szCs w:val="22"/>
              </w:rPr>
              <w:t xml:space="preserve">0391 </w:t>
            </w:r>
            <w:r w:rsidRPr="003C2269">
              <w:rPr>
                <w:b/>
                <w:i/>
                <w:color w:val="000000" w:themeColor="text1"/>
                <w:sz w:val="22"/>
                <w:szCs w:val="22"/>
              </w:rPr>
              <w:t xml:space="preserve">Manual Validation of Patient’s Results on </w:t>
            </w:r>
            <w:proofErr w:type="spellStart"/>
            <w:r w:rsidRPr="003C2269">
              <w:rPr>
                <w:b/>
                <w:i/>
                <w:color w:val="000000" w:themeColor="text1"/>
                <w:sz w:val="22"/>
                <w:szCs w:val="22"/>
              </w:rPr>
              <w:t>Remisol</w:t>
            </w:r>
            <w:proofErr w:type="spellEnd"/>
            <w:r w:rsidRPr="003C2269">
              <w:rPr>
                <w:b/>
                <w:i/>
                <w:color w:val="000000" w:themeColor="text1"/>
                <w:sz w:val="22"/>
                <w:szCs w:val="22"/>
              </w:rPr>
              <w:t xml:space="preserve"> Advance</w:t>
            </w:r>
            <w:r w:rsidRPr="003C2269">
              <w:rPr>
                <w:b/>
                <w:color w:val="000000" w:themeColor="text1"/>
                <w:sz w:val="22"/>
                <w:szCs w:val="22"/>
              </w:rPr>
              <w:t xml:space="preserve"> </w:t>
            </w:r>
            <w:r w:rsidRPr="00031FC2">
              <w:rPr>
                <w:sz w:val="22"/>
                <w:szCs w:val="22"/>
              </w:rPr>
              <w:t>to use middleware for</w:t>
            </w:r>
            <w:r>
              <w:rPr>
                <w:sz w:val="22"/>
                <w:szCs w:val="22"/>
              </w:rPr>
              <w:t xml:space="preserve"> result entry and</w:t>
            </w:r>
            <w:r w:rsidRPr="00031FC2">
              <w:rPr>
                <w:sz w:val="22"/>
                <w:szCs w:val="22"/>
              </w:rPr>
              <w:t xml:space="preserve"> final verification results</w:t>
            </w:r>
            <w:r>
              <w:t xml:space="preserve"> or follow steps below for result entry and final verification using Cerner.</w:t>
            </w:r>
          </w:p>
          <w:p w:rsidR="00023379" w:rsidRDefault="00023379" w:rsidP="00023379">
            <w:pPr>
              <w:pStyle w:val="BulletText1"/>
              <w:numPr>
                <w:ilvl w:val="0"/>
                <w:numId w:val="35"/>
              </w:numPr>
            </w:pPr>
            <w:r>
              <w:t>Review the results received in Accession Result Entry (ARE), either in Accession Mode or in Instrument</w:t>
            </w:r>
          </w:p>
          <w:p w:rsidR="00023379" w:rsidRDefault="00023379" w:rsidP="003A749C">
            <w:pPr>
              <w:pStyle w:val="BulletText1"/>
              <w:numPr>
                <w:ilvl w:val="0"/>
                <w:numId w:val="0"/>
              </w:numPr>
              <w:ind w:left="720"/>
            </w:pPr>
            <w:r>
              <w:t xml:space="preserve">Queue Mode. </w:t>
            </w:r>
          </w:p>
          <w:p w:rsidR="00023379" w:rsidRDefault="00023379" w:rsidP="00023379">
            <w:pPr>
              <w:pStyle w:val="BulletText1"/>
              <w:numPr>
                <w:ilvl w:val="0"/>
                <w:numId w:val="35"/>
              </w:numPr>
            </w:pPr>
            <w:r w:rsidRPr="00F22F47">
              <w:t>If a Manual Differential is indicated</w:t>
            </w:r>
            <w:r>
              <w:t>:</w:t>
            </w:r>
          </w:p>
          <w:p w:rsidR="00023379" w:rsidRDefault="00023379" w:rsidP="00023379">
            <w:pPr>
              <w:pStyle w:val="BulletText1"/>
              <w:numPr>
                <w:ilvl w:val="0"/>
                <w:numId w:val="36"/>
              </w:numPr>
            </w:pPr>
            <w:r>
              <w:t xml:space="preserve">Click the </w:t>
            </w:r>
            <w:proofErr w:type="spellStart"/>
            <w:r>
              <w:t>dns</w:t>
            </w:r>
            <w:proofErr w:type="spellEnd"/>
            <w:r>
              <w:t xml:space="preserve"> Diff Type field.</w:t>
            </w:r>
          </w:p>
          <w:p w:rsidR="00023379" w:rsidRDefault="00023379" w:rsidP="00023379">
            <w:pPr>
              <w:pStyle w:val="BulletText1"/>
              <w:numPr>
                <w:ilvl w:val="0"/>
                <w:numId w:val="36"/>
              </w:numPr>
            </w:pPr>
            <w:r>
              <w:t>Click arrow down.</w:t>
            </w:r>
          </w:p>
          <w:p w:rsidR="00023379" w:rsidRDefault="00023379" w:rsidP="00023379">
            <w:pPr>
              <w:pStyle w:val="BulletText1"/>
              <w:numPr>
                <w:ilvl w:val="0"/>
                <w:numId w:val="36"/>
              </w:numPr>
            </w:pPr>
            <w:r>
              <w:t>Choose Manual Diff.</w:t>
            </w:r>
          </w:p>
          <w:p w:rsidR="00023379" w:rsidRDefault="00023379" w:rsidP="003A749C">
            <w:pPr>
              <w:pStyle w:val="BulletText1"/>
              <w:ind w:left="720"/>
            </w:pPr>
            <w:r>
              <w:t xml:space="preserve">Warning: </w:t>
            </w:r>
          </w:p>
          <w:p w:rsidR="00023379" w:rsidRDefault="00023379" w:rsidP="003A749C">
            <w:pPr>
              <w:pStyle w:val="BulletText1"/>
              <w:numPr>
                <w:ilvl w:val="0"/>
                <w:numId w:val="0"/>
              </w:numPr>
              <w:ind w:left="720"/>
            </w:pPr>
            <w:r>
              <w:t xml:space="preserve">Do not click Verify until the Manual Differential has been completed. If a CLS clicks Verify after step 3, both the </w:t>
            </w:r>
            <w:proofErr w:type="spellStart"/>
            <w:r>
              <w:t>hemogram</w:t>
            </w:r>
            <w:proofErr w:type="spellEnd"/>
            <w:r>
              <w:t xml:space="preserve"> and the auto differential are sent to KP </w:t>
            </w:r>
            <w:proofErr w:type="spellStart"/>
            <w:r>
              <w:t>HealthConnect</w:t>
            </w:r>
            <w:proofErr w:type="spellEnd"/>
            <w:r>
              <w:t>. Click Perform to convert to a Manual Differential and cancel the Auto Differential.</w:t>
            </w:r>
          </w:p>
          <w:p w:rsidR="00023379" w:rsidRDefault="00023379" w:rsidP="00023379">
            <w:pPr>
              <w:pStyle w:val="BulletText1"/>
              <w:numPr>
                <w:ilvl w:val="0"/>
                <w:numId w:val="36"/>
              </w:numPr>
            </w:pPr>
            <w:r>
              <w:t>Click Perform</w:t>
            </w:r>
          </w:p>
          <w:p w:rsidR="00023379" w:rsidRDefault="00023379" w:rsidP="00023379">
            <w:pPr>
              <w:pStyle w:val="BulletText1"/>
              <w:numPr>
                <w:ilvl w:val="0"/>
                <w:numId w:val="36"/>
              </w:numPr>
            </w:pPr>
            <w:r>
              <w:t>Click after the Accession Number in the Accession Field</w:t>
            </w:r>
          </w:p>
          <w:p w:rsidR="00023379" w:rsidRDefault="00023379" w:rsidP="00023379">
            <w:pPr>
              <w:pStyle w:val="BulletText1"/>
              <w:numPr>
                <w:ilvl w:val="0"/>
                <w:numId w:val="36"/>
              </w:numPr>
            </w:pPr>
            <w:r>
              <w:t>Click Retrieve</w:t>
            </w:r>
          </w:p>
          <w:p w:rsidR="00023379" w:rsidRDefault="00023379" w:rsidP="00023379">
            <w:pPr>
              <w:pStyle w:val="BulletText1"/>
              <w:numPr>
                <w:ilvl w:val="0"/>
                <w:numId w:val="36"/>
              </w:numPr>
            </w:pPr>
            <w:r>
              <w:t xml:space="preserve"> </w:t>
            </w:r>
            <w:r w:rsidRPr="00F22F47">
              <w:t>The Manual Differential DTAs appear</w:t>
            </w:r>
          </w:p>
          <w:p w:rsidR="00023379" w:rsidRDefault="00023379" w:rsidP="00023379">
            <w:pPr>
              <w:pStyle w:val="BulletText1"/>
              <w:numPr>
                <w:ilvl w:val="0"/>
                <w:numId w:val="36"/>
              </w:numPr>
            </w:pPr>
            <w:r>
              <w:t>Click Mode</w:t>
            </w:r>
          </w:p>
          <w:p w:rsidR="00023379" w:rsidRDefault="00023379" w:rsidP="00023379">
            <w:pPr>
              <w:pStyle w:val="BulletText1"/>
              <w:numPr>
                <w:ilvl w:val="0"/>
                <w:numId w:val="36"/>
              </w:numPr>
            </w:pPr>
            <w:r>
              <w:t>Select Differential</w:t>
            </w:r>
          </w:p>
          <w:p w:rsidR="00023379" w:rsidRDefault="00023379" w:rsidP="00023379">
            <w:pPr>
              <w:pStyle w:val="BulletText1"/>
              <w:numPr>
                <w:ilvl w:val="0"/>
                <w:numId w:val="36"/>
              </w:numPr>
            </w:pPr>
            <w:r>
              <w:t>Select Man Diff in the Procedure</w:t>
            </w:r>
          </w:p>
          <w:p w:rsidR="00023379" w:rsidRDefault="00023379" w:rsidP="00023379">
            <w:pPr>
              <w:pStyle w:val="BulletText1"/>
              <w:numPr>
                <w:ilvl w:val="0"/>
                <w:numId w:val="36"/>
              </w:numPr>
            </w:pPr>
            <w:r w:rsidRPr="00F22F47">
              <w:t>Select CBC Diff in the Option field.</w:t>
            </w:r>
          </w:p>
          <w:p w:rsidR="00023379" w:rsidRDefault="00023379" w:rsidP="00023379">
            <w:pPr>
              <w:pStyle w:val="BulletText1"/>
              <w:numPr>
                <w:ilvl w:val="0"/>
                <w:numId w:val="36"/>
              </w:numPr>
            </w:pPr>
            <w:r w:rsidRPr="00F22F47">
              <w:t>Click OK.</w:t>
            </w:r>
          </w:p>
          <w:p w:rsidR="00023379" w:rsidRDefault="00023379" w:rsidP="00023379">
            <w:pPr>
              <w:pStyle w:val="BulletText1"/>
              <w:numPr>
                <w:ilvl w:val="0"/>
                <w:numId w:val="36"/>
              </w:numPr>
            </w:pPr>
            <w:r>
              <w:t>Use the keys indicated next to the</w:t>
            </w:r>
          </w:p>
          <w:p w:rsidR="00023379" w:rsidRDefault="00023379" w:rsidP="00023379">
            <w:pPr>
              <w:pStyle w:val="BulletText1"/>
              <w:numPr>
                <w:ilvl w:val="0"/>
                <w:numId w:val="36"/>
              </w:numPr>
            </w:pPr>
            <w:r>
              <w:t>Procedure name on the computer</w:t>
            </w:r>
          </w:p>
          <w:p w:rsidR="00023379" w:rsidRDefault="00023379" w:rsidP="00023379">
            <w:pPr>
              <w:pStyle w:val="BulletText1"/>
              <w:numPr>
                <w:ilvl w:val="0"/>
                <w:numId w:val="36"/>
              </w:numPr>
            </w:pPr>
            <w:r>
              <w:t>Keyboard to perform the Diff Count.</w:t>
            </w:r>
          </w:p>
          <w:p w:rsidR="00023379" w:rsidRDefault="00023379" w:rsidP="00023379">
            <w:pPr>
              <w:pStyle w:val="BulletText1"/>
              <w:numPr>
                <w:ilvl w:val="0"/>
                <w:numId w:val="36"/>
              </w:numPr>
            </w:pPr>
            <w:r w:rsidRPr="00FE58B3">
              <w:t>Click OK.</w:t>
            </w:r>
          </w:p>
          <w:p w:rsidR="00023379" w:rsidRDefault="00023379" w:rsidP="00023379">
            <w:pPr>
              <w:pStyle w:val="BulletText1"/>
              <w:numPr>
                <w:ilvl w:val="0"/>
                <w:numId w:val="36"/>
              </w:numPr>
            </w:pPr>
            <w:r w:rsidRPr="00FE58B3">
              <w:t>Add Morphology Results as needed.</w:t>
            </w:r>
          </w:p>
          <w:p w:rsidR="00023379" w:rsidRDefault="00023379" w:rsidP="00023379">
            <w:pPr>
              <w:numPr>
                <w:ilvl w:val="0"/>
                <w:numId w:val="35"/>
              </w:numPr>
            </w:pPr>
            <w:r w:rsidRPr="00FE58B3">
              <w:t>Click Verify.</w:t>
            </w:r>
            <w:r>
              <w:t xml:space="preserve"> Both the CBC and the Manual Differential are sent to KP </w:t>
            </w:r>
            <w:proofErr w:type="spellStart"/>
            <w:r>
              <w:t>HealthConnect</w:t>
            </w:r>
            <w:proofErr w:type="spellEnd"/>
            <w:r>
              <w:t>.</w:t>
            </w:r>
          </w:p>
          <w:tbl>
            <w:tblPr>
              <w:tblW w:w="8516" w:type="dxa"/>
              <w:tblLayout w:type="fixed"/>
              <w:tblLook w:val="0000" w:firstRow="0" w:lastRow="0" w:firstColumn="0" w:lastColumn="0" w:noHBand="0" w:noVBand="0"/>
            </w:tblPr>
            <w:tblGrid>
              <w:gridCol w:w="236"/>
              <w:gridCol w:w="8280"/>
            </w:tblGrid>
            <w:tr w:rsidR="00023379" w:rsidRPr="00560F42" w:rsidTr="00023379">
              <w:trPr>
                <w:cantSplit/>
              </w:trPr>
              <w:tc>
                <w:tcPr>
                  <w:tcW w:w="236" w:type="dxa"/>
                </w:tcPr>
                <w:p w:rsidR="00023379" w:rsidRPr="00560F42" w:rsidRDefault="00023379" w:rsidP="00023379">
                  <w:pPr>
                    <w:outlineLvl w:val="4"/>
                    <w:rPr>
                      <w:b/>
                      <w:sz w:val="22"/>
                    </w:rPr>
                  </w:pPr>
                </w:p>
              </w:tc>
              <w:tc>
                <w:tcPr>
                  <w:tcW w:w="8280" w:type="dxa"/>
                </w:tcPr>
                <w:p w:rsidR="00023379" w:rsidRDefault="00023379" w:rsidP="00023379">
                  <w:pPr>
                    <w:numPr>
                      <w:ilvl w:val="0"/>
                      <w:numId w:val="35"/>
                    </w:numPr>
                    <w:ind w:left="430"/>
                  </w:pPr>
                  <w:r>
                    <w:t>If scanning criteria were determined, prepare peripheral smear for scanning.</w:t>
                  </w:r>
                </w:p>
                <w:p w:rsidR="00023379" w:rsidRDefault="00023379" w:rsidP="00023379">
                  <w:pPr>
                    <w:numPr>
                      <w:ilvl w:val="0"/>
                      <w:numId w:val="37"/>
                    </w:numPr>
                    <w:ind w:left="790"/>
                  </w:pPr>
                  <w:r>
                    <w:t>CLS holds the result for pending investigation and skips to the next result in ARE</w:t>
                  </w:r>
                </w:p>
                <w:p w:rsidR="00023379" w:rsidRDefault="00023379" w:rsidP="00023379">
                  <w:pPr>
                    <w:numPr>
                      <w:ilvl w:val="0"/>
                      <w:numId w:val="37"/>
                    </w:numPr>
                    <w:ind w:left="790"/>
                  </w:pPr>
                  <w:r>
                    <w:t>CLS scans the slide.</w:t>
                  </w:r>
                </w:p>
                <w:p w:rsidR="00023379" w:rsidRDefault="00023379" w:rsidP="00023379">
                  <w:pPr>
                    <w:numPr>
                      <w:ilvl w:val="0"/>
                      <w:numId w:val="37"/>
                    </w:numPr>
                    <w:ind w:left="790"/>
                  </w:pPr>
                  <w:r>
                    <w:t>If results are acceptable, CLS adds a result comment at the assay level – “Smear Review Consistent with Automated results”.</w:t>
                  </w:r>
                </w:p>
                <w:p w:rsidR="00023379" w:rsidRDefault="00023379" w:rsidP="00023379">
                  <w:pPr>
                    <w:numPr>
                      <w:ilvl w:val="0"/>
                      <w:numId w:val="37"/>
                    </w:numPr>
                    <w:ind w:left="790"/>
                  </w:pPr>
                  <w:r>
                    <w:t>CLS verifies the result and clicks on the Verify button</w:t>
                  </w:r>
                </w:p>
                <w:p w:rsidR="00023379" w:rsidRDefault="00023379" w:rsidP="00023379">
                  <w:pPr>
                    <w:numPr>
                      <w:ilvl w:val="0"/>
                      <w:numId w:val="37"/>
                    </w:numPr>
                    <w:ind w:left="790"/>
                  </w:pPr>
                  <w:r>
                    <w:t>The result is send to KPHC</w:t>
                  </w:r>
                </w:p>
                <w:p w:rsidR="00023379" w:rsidRDefault="00023379" w:rsidP="00023379">
                  <w:pPr>
                    <w:numPr>
                      <w:ilvl w:val="0"/>
                      <w:numId w:val="37"/>
                    </w:numPr>
                    <w:ind w:left="790"/>
                  </w:pPr>
                  <w:r>
                    <w:t xml:space="preserve">If results are not acceptable, CLS selects “Manual Diff” or “Cell Morph” in </w:t>
                  </w:r>
                  <w:proofErr w:type="spellStart"/>
                  <w:r>
                    <w:t>dns</w:t>
                  </w:r>
                  <w:proofErr w:type="spellEnd"/>
                  <w:r>
                    <w:t xml:space="preserve"> DIFF TYPE and clicks on the Perform button.</w:t>
                  </w:r>
                </w:p>
                <w:p w:rsidR="00023379" w:rsidRDefault="00023379" w:rsidP="00023379">
                  <w:pPr>
                    <w:ind w:left="720"/>
                  </w:pPr>
                  <w:r>
                    <w:lastRenderedPageBreak/>
                    <w:t>Note: For “Cell Morph”, the auto differential order is NOT canceled and the Cell Morph order is reflexed.</w:t>
                  </w:r>
                </w:p>
              </w:tc>
            </w:tr>
          </w:tbl>
          <w:p w:rsidR="00023379" w:rsidRPr="00560F42" w:rsidRDefault="00023379" w:rsidP="003A749C">
            <w:pPr>
              <w:ind w:left="1080"/>
            </w:pPr>
          </w:p>
        </w:tc>
      </w:tr>
      <w:tr w:rsidR="00023379" w:rsidRPr="00560F42" w:rsidTr="003A749C">
        <w:trPr>
          <w:cantSplit/>
        </w:trPr>
        <w:tc>
          <w:tcPr>
            <w:tcW w:w="1368" w:type="dxa"/>
          </w:tcPr>
          <w:p w:rsidR="00023379" w:rsidRDefault="00023379" w:rsidP="003A749C">
            <w:pPr>
              <w:outlineLvl w:val="4"/>
              <w:rPr>
                <w:b/>
                <w:sz w:val="22"/>
              </w:rPr>
            </w:pPr>
          </w:p>
          <w:p w:rsidR="00023379" w:rsidRPr="00560F42" w:rsidRDefault="00023379" w:rsidP="003A749C">
            <w:pPr>
              <w:outlineLvl w:val="4"/>
              <w:rPr>
                <w:b/>
                <w:sz w:val="22"/>
              </w:rPr>
            </w:pPr>
          </w:p>
        </w:tc>
        <w:tc>
          <w:tcPr>
            <w:tcW w:w="8280" w:type="dxa"/>
          </w:tcPr>
          <w:p w:rsidR="00023379" w:rsidRDefault="00023379" w:rsidP="003A749C">
            <w:pPr>
              <w:ind w:left="720"/>
            </w:pPr>
          </w:p>
        </w:tc>
      </w:tr>
    </w:tbl>
    <w:p w:rsidR="00023379" w:rsidRDefault="00023379"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080"/>
        <w:gridCol w:w="360"/>
        <w:gridCol w:w="7740"/>
      </w:tblGrid>
      <w:tr w:rsidR="00023379" w:rsidRPr="00992E69" w:rsidTr="003A749C">
        <w:tc>
          <w:tcPr>
            <w:tcW w:w="1728" w:type="dxa"/>
            <w:gridSpan w:val="3"/>
            <w:tcBorders>
              <w:top w:val="nil"/>
              <w:left w:val="nil"/>
              <w:bottom w:val="nil"/>
              <w:right w:val="nil"/>
            </w:tcBorders>
            <w:shd w:val="clear" w:color="auto" w:fill="auto"/>
          </w:tcPr>
          <w:p w:rsidR="00023379" w:rsidRDefault="00023379" w:rsidP="003A749C">
            <w:pPr>
              <w:pStyle w:val="Heading5"/>
              <w:rPr>
                <w:rFonts w:eastAsia="Calibri"/>
                <w:sz w:val="24"/>
                <w:szCs w:val="22"/>
              </w:rPr>
            </w:pPr>
            <w:r w:rsidRPr="00024E05">
              <w:rPr>
                <w:rFonts w:eastAsia="Calibri"/>
                <w:sz w:val="24"/>
                <w:szCs w:val="22"/>
              </w:rPr>
              <w:t xml:space="preserve">Platelet </w:t>
            </w:r>
            <w:r>
              <w:rPr>
                <w:rFonts w:eastAsia="Calibri"/>
                <w:sz w:val="24"/>
                <w:szCs w:val="22"/>
              </w:rPr>
              <w:t>clumps/ Platelet clump flags</w:t>
            </w:r>
          </w:p>
          <w:p w:rsidR="00023379" w:rsidRPr="00C24345" w:rsidRDefault="00023379" w:rsidP="003A749C">
            <w:pPr>
              <w:rPr>
                <w:rFonts w:eastAsia="Calibri"/>
              </w:rPr>
            </w:pPr>
          </w:p>
        </w:tc>
        <w:tc>
          <w:tcPr>
            <w:tcW w:w="7740" w:type="dxa"/>
            <w:tcBorders>
              <w:top w:val="nil"/>
              <w:left w:val="nil"/>
              <w:bottom w:val="nil"/>
              <w:right w:val="nil"/>
            </w:tcBorders>
            <w:shd w:val="clear" w:color="auto" w:fill="auto"/>
          </w:tcPr>
          <w:p w:rsidR="00023379" w:rsidRPr="00024E05" w:rsidRDefault="00023379" w:rsidP="003A749C">
            <w:pPr>
              <w:pStyle w:val="BulletText1"/>
              <w:numPr>
                <w:ilvl w:val="0"/>
                <w:numId w:val="0"/>
              </w:numPr>
              <w:rPr>
                <w:rFonts w:eastAsia="Calibri"/>
                <w:szCs w:val="22"/>
              </w:rPr>
            </w:pPr>
            <w:r>
              <w:rPr>
                <w:rFonts w:eastAsia="Calibri"/>
                <w:szCs w:val="22"/>
              </w:rPr>
              <w:t>Follow steps below on how to report results with Platelet clumps/Platelet clump flags</w:t>
            </w:r>
            <w:r w:rsidRPr="00024E05">
              <w:rPr>
                <w:rFonts w:eastAsia="Calibri"/>
                <w:szCs w:val="22"/>
              </w:rPr>
              <w:t xml:space="preserve"> </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3A749C">
            <w:pPr>
              <w:pStyle w:val="BlockLine"/>
              <w:pBdr>
                <w:top w:val="none" w:sz="0" w:space="0" w:color="auto"/>
                <w:between w:val="none" w:sz="0" w:space="0" w:color="auto"/>
              </w:pBdr>
              <w:spacing w:before="0"/>
              <w:ind w:left="0"/>
              <w:rPr>
                <w:szCs w:val="24"/>
              </w:rPr>
            </w:pPr>
            <w:r>
              <w:rPr>
                <w:szCs w:val="24"/>
              </w:rPr>
              <w:t>STEPS</w:t>
            </w:r>
          </w:p>
        </w:tc>
        <w:tc>
          <w:tcPr>
            <w:tcW w:w="8100" w:type="dxa"/>
            <w:gridSpan w:val="2"/>
            <w:shd w:val="clear" w:color="auto" w:fill="auto"/>
          </w:tcPr>
          <w:p w:rsidR="00023379" w:rsidRPr="00AB4308" w:rsidRDefault="00023379" w:rsidP="003A749C">
            <w:pPr>
              <w:pStyle w:val="TableText"/>
              <w:rPr>
                <w:szCs w:val="24"/>
              </w:rPr>
            </w:pPr>
            <w:r>
              <w:rPr>
                <w:szCs w:val="24"/>
              </w:rPr>
              <w:t>ACTION</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023379">
            <w:pPr>
              <w:pStyle w:val="BlockLine"/>
              <w:numPr>
                <w:ilvl w:val="0"/>
                <w:numId w:val="38"/>
              </w:numPr>
              <w:pBdr>
                <w:top w:val="none" w:sz="0" w:space="0" w:color="auto"/>
                <w:between w:val="none" w:sz="0" w:space="0" w:color="auto"/>
              </w:pBdr>
              <w:spacing w:before="0"/>
              <w:rPr>
                <w:szCs w:val="24"/>
              </w:rPr>
            </w:pPr>
          </w:p>
        </w:tc>
        <w:tc>
          <w:tcPr>
            <w:tcW w:w="8100" w:type="dxa"/>
            <w:gridSpan w:val="2"/>
            <w:shd w:val="clear" w:color="auto" w:fill="auto"/>
          </w:tcPr>
          <w:p w:rsidR="00023379" w:rsidRPr="00AB4308" w:rsidRDefault="00023379" w:rsidP="003A749C">
            <w:pPr>
              <w:pStyle w:val="TableText"/>
              <w:rPr>
                <w:szCs w:val="24"/>
              </w:rPr>
            </w:pPr>
            <w:r w:rsidRPr="00AB4308">
              <w:rPr>
                <w:szCs w:val="24"/>
              </w:rPr>
              <w:t xml:space="preserve">Scan a manual slide and if the slide shows evidence of platelet clumping </w:t>
            </w:r>
            <w:r w:rsidRPr="00AB4308">
              <w:rPr>
                <w:b/>
                <w:szCs w:val="24"/>
                <w:u w:val="single"/>
              </w:rPr>
              <w:t>do not report the platelet instrument result</w:t>
            </w:r>
            <w:r w:rsidRPr="00AB4308">
              <w:rPr>
                <w:szCs w:val="24"/>
              </w:rPr>
              <w:t xml:space="preserve">. </w:t>
            </w:r>
          </w:p>
          <w:p w:rsidR="00023379" w:rsidRPr="00AB4308" w:rsidRDefault="00023379" w:rsidP="003A749C">
            <w:pPr>
              <w:pStyle w:val="TableText"/>
              <w:rPr>
                <w:szCs w:val="24"/>
              </w:rPr>
            </w:pPr>
            <w:r w:rsidRPr="00AB4308">
              <w:rPr>
                <w:szCs w:val="24"/>
              </w:rPr>
              <w:t xml:space="preserve">  </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023379">
            <w:pPr>
              <w:pStyle w:val="BlockLine"/>
              <w:numPr>
                <w:ilvl w:val="0"/>
                <w:numId w:val="38"/>
              </w:numPr>
              <w:pBdr>
                <w:top w:val="none" w:sz="0" w:space="0" w:color="auto"/>
                <w:between w:val="none" w:sz="0" w:space="0" w:color="auto"/>
              </w:pBdr>
              <w:spacing w:before="0"/>
              <w:rPr>
                <w:szCs w:val="24"/>
              </w:rPr>
            </w:pPr>
          </w:p>
        </w:tc>
        <w:tc>
          <w:tcPr>
            <w:tcW w:w="8100" w:type="dxa"/>
            <w:gridSpan w:val="2"/>
            <w:shd w:val="clear" w:color="auto" w:fill="auto"/>
          </w:tcPr>
          <w:p w:rsidR="00023379" w:rsidRPr="00AB4308" w:rsidRDefault="00023379" w:rsidP="003A749C">
            <w:pPr>
              <w:pStyle w:val="TableText"/>
              <w:rPr>
                <w:szCs w:val="24"/>
              </w:rPr>
            </w:pPr>
            <w:r>
              <w:rPr>
                <w:szCs w:val="24"/>
              </w:rPr>
              <w:t xml:space="preserve">Vortex EDTA specimen and rerun test. </w:t>
            </w:r>
            <w:r w:rsidRPr="006B30D2">
              <w:rPr>
                <w:b/>
                <w:szCs w:val="24"/>
              </w:rPr>
              <w:t>Verify result if flag corrected</w:t>
            </w:r>
            <w:r>
              <w:rPr>
                <w:szCs w:val="24"/>
              </w:rPr>
              <w:t>, if not proceed to STEP 3</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023379">
            <w:pPr>
              <w:pStyle w:val="BlockLine"/>
              <w:numPr>
                <w:ilvl w:val="0"/>
                <w:numId w:val="38"/>
              </w:numPr>
              <w:pBdr>
                <w:top w:val="none" w:sz="0" w:space="0" w:color="auto"/>
                <w:between w:val="none" w:sz="0" w:space="0" w:color="auto"/>
              </w:pBdr>
              <w:spacing w:before="0"/>
              <w:rPr>
                <w:noProof/>
                <w:szCs w:val="24"/>
              </w:rPr>
            </w:pPr>
          </w:p>
        </w:tc>
        <w:tc>
          <w:tcPr>
            <w:tcW w:w="8100" w:type="dxa"/>
            <w:gridSpan w:val="2"/>
            <w:shd w:val="clear" w:color="auto" w:fill="auto"/>
          </w:tcPr>
          <w:p w:rsidR="00023379" w:rsidRPr="00AB4308" w:rsidRDefault="00023379" w:rsidP="003A749C">
            <w:pPr>
              <w:pStyle w:val="TableText"/>
              <w:rPr>
                <w:szCs w:val="24"/>
              </w:rPr>
            </w:pPr>
            <w:r w:rsidRPr="00AB4308">
              <w:rPr>
                <w:b/>
                <w:szCs w:val="24"/>
              </w:rPr>
              <w:t>Report as “==”</w:t>
            </w:r>
            <w:r w:rsidRPr="00AB4308">
              <w:rPr>
                <w:szCs w:val="24"/>
              </w:rPr>
              <w:t xml:space="preserve"> with a report comment of “Platelet clumping present</w:t>
            </w:r>
            <w:r>
              <w:rPr>
                <w:szCs w:val="24"/>
              </w:rPr>
              <w:t>”</w:t>
            </w:r>
          </w:p>
        </w:tc>
      </w:tr>
    </w:tbl>
    <w:p w:rsidR="008660FE" w:rsidRPr="008660FE" w:rsidRDefault="008660FE"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750"/>
      </w:tblGrid>
      <w:tr w:rsidR="00023379" w:rsidTr="003A749C">
        <w:tc>
          <w:tcPr>
            <w:tcW w:w="2718" w:type="dxa"/>
            <w:tcBorders>
              <w:top w:val="nil"/>
              <w:left w:val="nil"/>
              <w:bottom w:val="nil"/>
              <w:right w:val="nil"/>
            </w:tcBorders>
            <w:shd w:val="clear" w:color="auto" w:fill="auto"/>
          </w:tcPr>
          <w:p w:rsidR="00023379" w:rsidRDefault="00023379" w:rsidP="003A749C">
            <w:pPr>
              <w:pStyle w:val="Heading5"/>
            </w:pPr>
            <w:r>
              <w:t>Criteria for manager review / pathologist’s review/ 2</w:t>
            </w:r>
            <w:r w:rsidRPr="000F7668">
              <w:rPr>
                <w:vertAlign w:val="superscript"/>
              </w:rPr>
              <w:t>nd</w:t>
            </w:r>
            <w:r>
              <w:t xml:space="preserve"> CLS review</w:t>
            </w:r>
          </w:p>
        </w:tc>
        <w:tc>
          <w:tcPr>
            <w:tcW w:w="6750" w:type="dxa"/>
            <w:tcBorders>
              <w:top w:val="nil"/>
              <w:left w:val="nil"/>
              <w:bottom w:val="nil"/>
              <w:right w:val="nil"/>
            </w:tcBorders>
            <w:shd w:val="clear" w:color="auto" w:fill="auto"/>
          </w:tcPr>
          <w:p w:rsidR="00023379" w:rsidRDefault="00023379" w:rsidP="003A749C">
            <w:pPr>
              <w:pStyle w:val="BulletText1"/>
              <w:numPr>
                <w:ilvl w:val="0"/>
                <w:numId w:val="0"/>
              </w:numPr>
            </w:pPr>
            <w:r>
              <w:t xml:space="preserve">Refer patients with </w:t>
            </w:r>
            <w:r w:rsidRPr="0084301C">
              <w:rPr>
                <w:i/>
              </w:rPr>
              <w:t>no previous history of blasts, who have any number of blasts on their differential,</w:t>
            </w:r>
            <w:r>
              <w:rPr>
                <w:i/>
              </w:rPr>
              <w:t xml:space="preserve"> &amp;</w:t>
            </w:r>
            <w:r w:rsidRPr="0084301C">
              <w:rPr>
                <w:i/>
              </w:rPr>
              <w:t xml:space="preserve"> patients with unexpected or unusual cells</w:t>
            </w:r>
            <w:r>
              <w:t xml:space="preserve"> for a 2</w:t>
            </w:r>
            <w:r w:rsidRPr="000F7668">
              <w:rPr>
                <w:vertAlign w:val="superscript"/>
              </w:rPr>
              <w:t>nd</w:t>
            </w:r>
            <w:r>
              <w:t xml:space="preserve"> CLS review/manager review. Documentation of review will be entered in the result comment as “Result reviewed with a 2</w:t>
            </w:r>
            <w:r w:rsidRPr="000F7668">
              <w:rPr>
                <w:vertAlign w:val="superscript"/>
              </w:rPr>
              <w:t>nd</w:t>
            </w:r>
            <w:r>
              <w:t xml:space="preserve"> CLS/Manager”. </w:t>
            </w:r>
          </w:p>
          <w:p w:rsidR="00023379" w:rsidRDefault="00023379" w:rsidP="003A749C">
            <w:pPr>
              <w:pStyle w:val="BulletText1"/>
              <w:numPr>
                <w:ilvl w:val="0"/>
                <w:numId w:val="0"/>
              </w:numPr>
            </w:pPr>
            <w:r>
              <w:t>Save the slide resulted for the manager to determine if further review by pathologist is required.</w:t>
            </w:r>
          </w:p>
        </w:tc>
      </w:tr>
    </w:tbl>
    <w:p w:rsidR="00F20D81" w:rsidRDefault="00F20D81" w:rsidP="00F20D81">
      <w:pPr>
        <w:rPr>
          <w:rFonts w:asciiTheme="minorHAnsi" w:hAnsiTheme="minorHAnsi"/>
          <w:sz w:val="22"/>
          <w:szCs w:val="22"/>
        </w:rPr>
      </w:pPr>
    </w:p>
    <w:p w:rsidR="00781F79" w:rsidRPr="00F20D81" w:rsidRDefault="00781F79" w:rsidP="00781F79">
      <w:pPr>
        <w:pStyle w:val="BlockLine"/>
        <w:rPr>
          <w:rFonts w:asciiTheme="minorHAnsi" w:hAnsiTheme="minorHAnsi"/>
          <w:sz w:val="22"/>
          <w:szCs w:val="22"/>
        </w:rPr>
      </w:pPr>
    </w:p>
    <w:tbl>
      <w:tblPr>
        <w:tblW w:w="0" w:type="auto"/>
        <w:tblLayout w:type="fixed"/>
        <w:tblLook w:val="0000" w:firstRow="0" w:lastRow="0" w:firstColumn="0" w:lastColumn="0" w:noHBand="0" w:noVBand="0"/>
      </w:tblPr>
      <w:tblGrid>
        <w:gridCol w:w="1709"/>
        <w:gridCol w:w="8014"/>
      </w:tblGrid>
      <w:tr w:rsidR="00781F79" w:rsidRPr="00F20D81" w:rsidTr="00F06DB2">
        <w:trPr>
          <w:cantSplit/>
          <w:trHeight w:val="972"/>
        </w:trPr>
        <w:tc>
          <w:tcPr>
            <w:tcW w:w="1709" w:type="dxa"/>
          </w:tcPr>
          <w:p w:rsidR="00781F79" w:rsidRPr="00F20D81" w:rsidRDefault="00781F79" w:rsidP="0009129B">
            <w:pPr>
              <w:pStyle w:val="Heading5"/>
              <w:rPr>
                <w:rFonts w:asciiTheme="minorHAnsi" w:hAnsiTheme="minorHAnsi"/>
                <w:szCs w:val="22"/>
              </w:rPr>
            </w:pPr>
            <w:r w:rsidRPr="00F20D81">
              <w:rPr>
                <w:rFonts w:asciiTheme="minorHAnsi" w:hAnsiTheme="minorHAnsi"/>
                <w:szCs w:val="22"/>
              </w:rPr>
              <w:t>Non-Controlled Documents</w:t>
            </w:r>
          </w:p>
        </w:tc>
        <w:tc>
          <w:tcPr>
            <w:tcW w:w="8014" w:type="dxa"/>
          </w:tcPr>
          <w:p w:rsidR="00781F79" w:rsidRPr="00F20D81" w:rsidRDefault="00781F79" w:rsidP="0009129B">
            <w:pPr>
              <w:pStyle w:val="BlockText"/>
              <w:jc w:val="left"/>
              <w:rPr>
                <w:rFonts w:asciiTheme="minorHAnsi" w:hAnsiTheme="minorHAnsi"/>
                <w:sz w:val="22"/>
                <w:szCs w:val="22"/>
              </w:rPr>
            </w:pPr>
            <w:r w:rsidRPr="00F20D81">
              <w:rPr>
                <w:rFonts w:asciiTheme="minorHAnsi" w:hAnsiTheme="minorHAnsi"/>
                <w:sz w:val="22"/>
                <w:szCs w:val="22"/>
              </w:rPr>
              <w:t>The following non-controlled documents support this p</w:t>
            </w:r>
            <w:r w:rsidR="00D20336" w:rsidRPr="00F20D81">
              <w:rPr>
                <w:rFonts w:asciiTheme="minorHAnsi" w:hAnsiTheme="minorHAnsi"/>
                <w:sz w:val="22"/>
                <w:szCs w:val="22"/>
              </w:rPr>
              <w:t>rocedure</w:t>
            </w:r>
            <w:r w:rsidRPr="00F20D81">
              <w:rPr>
                <w:rFonts w:asciiTheme="minorHAnsi" w:hAnsiTheme="minorHAnsi"/>
                <w:sz w:val="22"/>
                <w:szCs w:val="22"/>
              </w:rPr>
              <w:t>.</w:t>
            </w:r>
          </w:p>
          <w:p w:rsidR="00781F79" w:rsidRPr="00F20D81" w:rsidRDefault="00781F79" w:rsidP="0009129B">
            <w:pPr>
              <w:pStyle w:val="BlockText"/>
              <w:tabs>
                <w:tab w:val="left" w:pos="162"/>
              </w:tabs>
              <w:jc w:val="left"/>
              <w:rPr>
                <w:rFonts w:asciiTheme="minorHAnsi" w:hAnsiTheme="minorHAnsi"/>
                <w:sz w:val="22"/>
                <w:szCs w:val="22"/>
              </w:rPr>
            </w:pPr>
          </w:p>
          <w:p w:rsidR="00781F79" w:rsidRPr="00F20D81" w:rsidRDefault="006C461B" w:rsidP="006C461B">
            <w:pPr>
              <w:pStyle w:val="BlockText"/>
              <w:numPr>
                <w:ilvl w:val="0"/>
                <w:numId w:val="4"/>
              </w:numPr>
              <w:tabs>
                <w:tab w:val="left" w:pos="162"/>
              </w:tabs>
              <w:jc w:val="left"/>
              <w:rPr>
                <w:rFonts w:asciiTheme="minorHAnsi" w:hAnsiTheme="minorHAnsi"/>
                <w:sz w:val="22"/>
                <w:szCs w:val="22"/>
              </w:rPr>
            </w:pPr>
            <w:r w:rsidRPr="006C461B">
              <w:rPr>
                <w:rFonts w:asciiTheme="minorHAnsi" w:hAnsiTheme="minorHAnsi"/>
                <w:sz w:val="22"/>
                <w:szCs w:val="22"/>
              </w:rPr>
              <w:t xml:space="preserve">SCPMG LIS </w:t>
            </w:r>
            <w:r>
              <w:rPr>
                <w:rFonts w:asciiTheme="minorHAnsi" w:hAnsiTheme="minorHAnsi"/>
                <w:sz w:val="22"/>
                <w:szCs w:val="22"/>
              </w:rPr>
              <w:t>–</w:t>
            </w:r>
            <w:r w:rsidRPr="006C461B">
              <w:rPr>
                <w:rFonts w:asciiTheme="minorHAnsi" w:hAnsiTheme="minorHAnsi"/>
                <w:sz w:val="22"/>
                <w:szCs w:val="22"/>
              </w:rPr>
              <w:t xml:space="preserve"> 0080</w:t>
            </w:r>
            <w:r>
              <w:rPr>
                <w:rFonts w:asciiTheme="minorHAnsi" w:hAnsiTheme="minorHAnsi"/>
                <w:sz w:val="22"/>
                <w:szCs w:val="22"/>
              </w:rPr>
              <w:t xml:space="preserve"> </w:t>
            </w:r>
            <w:proofErr w:type="spellStart"/>
            <w:r w:rsidRPr="006C461B">
              <w:rPr>
                <w:rFonts w:asciiTheme="minorHAnsi" w:hAnsiTheme="minorHAnsi"/>
                <w:sz w:val="22"/>
                <w:szCs w:val="22"/>
              </w:rPr>
              <w:t>Procedure_Resulting</w:t>
            </w:r>
            <w:proofErr w:type="spellEnd"/>
            <w:r w:rsidRPr="006C461B">
              <w:rPr>
                <w:rFonts w:asciiTheme="minorHAnsi" w:hAnsiTheme="minorHAnsi"/>
                <w:sz w:val="22"/>
                <w:szCs w:val="22"/>
              </w:rPr>
              <w:t xml:space="preserve"> in Cerner </w:t>
            </w:r>
            <w:proofErr w:type="spellStart"/>
            <w:r w:rsidRPr="006C461B">
              <w:rPr>
                <w:rFonts w:asciiTheme="minorHAnsi" w:hAnsiTheme="minorHAnsi"/>
                <w:sz w:val="22"/>
                <w:szCs w:val="22"/>
              </w:rPr>
              <w:t>GenLab</w:t>
            </w:r>
            <w:proofErr w:type="spellEnd"/>
            <w:r w:rsidRPr="006C461B">
              <w:rPr>
                <w:rFonts w:asciiTheme="minorHAnsi" w:hAnsiTheme="minorHAnsi"/>
                <w:sz w:val="22"/>
                <w:szCs w:val="22"/>
              </w:rPr>
              <w:t xml:space="preserve"> - Manual Entry</w:t>
            </w:r>
          </w:p>
          <w:p w:rsidR="00F06DB2" w:rsidRPr="00F20D81" w:rsidRDefault="00F06DB2" w:rsidP="0009129B">
            <w:pPr>
              <w:pStyle w:val="BlockText"/>
              <w:numPr>
                <w:ilvl w:val="0"/>
                <w:numId w:val="4"/>
              </w:numPr>
              <w:tabs>
                <w:tab w:val="left" w:pos="162"/>
              </w:tabs>
              <w:jc w:val="left"/>
              <w:rPr>
                <w:rFonts w:asciiTheme="minorHAnsi" w:hAnsiTheme="minorHAnsi"/>
                <w:sz w:val="22"/>
                <w:szCs w:val="22"/>
              </w:rPr>
            </w:pPr>
          </w:p>
        </w:tc>
      </w:tr>
    </w:tbl>
    <w:p w:rsidR="00D05042" w:rsidRPr="00F20D81" w:rsidRDefault="00D05042" w:rsidP="00D05042">
      <w:pPr>
        <w:pStyle w:val="BlockLine"/>
        <w:jc w:val="right"/>
        <w:rPr>
          <w:rFonts w:asciiTheme="minorHAnsi" w:hAnsiTheme="minorHAnsi"/>
          <w:i/>
          <w:iCs/>
          <w:sz w:val="22"/>
          <w:szCs w:val="22"/>
        </w:rPr>
      </w:pPr>
    </w:p>
    <w:p w:rsidR="00D05042" w:rsidRPr="00F20D81" w:rsidRDefault="00D05042" w:rsidP="00D05042">
      <w:pPr>
        <w:pStyle w:val="Heading4"/>
        <w:rPr>
          <w:rFonts w:asciiTheme="minorHAnsi" w:hAnsiTheme="minorHAnsi"/>
          <w:sz w:val="22"/>
          <w:szCs w:val="22"/>
        </w:rPr>
      </w:pPr>
    </w:p>
    <w:p w:rsidR="00D05042" w:rsidRPr="00F20D81" w:rsidRDefault="00D05042" w:rsidP="00D05042">
      <w:pPr>
        <w:pStyle w:val="Heading4"/>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F06DB2" w:rsidRPr="00F20D81" w:rsidRDefault="00F06DB2" w:rsidP="00F06DB2">
      <w:pPr>
        <w:pStyle w:val="BlockLine"/>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A41190" w:rsidRPr="00F20D81" w:rsidTr="00A41190">
        <w:trPr>
          <w:cantSplit/>
        </w:trPr>
        <w:tc>
          <w:tcPr>
            <w:tcW w:w="1728" w:type="dxa"/>
          </w:tcPr>
          <w:p w:rsidR="00A41190" w:rsidRPr="00F20D81" w:rsidRDefault="00A41190" w:rsidP="003A749C">
            <w:pPr>
              <w:pStyle w:val="Heading5"/>
              <w:rPr>
                <w:rFonts w:asciiTheme="minorHAnsi" w:hAnsiTheme="minorHAnsi"/>
                <w:szCs w:val="22"/>
              </w:rPr>
            </w:pPr>
            <w:r w:rsidRPr="00F20D81">
              <w:rPr>
                <w:rFonts w:asciiTheme="minorHAnsi" w:hAnsiTheme="minorHAnsi"/>
                <w:szCs w:val="22"/>
              </w:rPr>
              <w:t>Controlled Documents</w:t>
            </w:r>
          </w:p>
        </w:tc>
        <w:tc>
          <w:tcPr>
            <w:tcW w:w="8010" w:type="dxa"/>
          </w:tcPr>
          <w:p w:rsidR="00A41190" w:rsidRPr="00F20D81" w:rsidRDefault="00A41190" w:rsidP="00A41190">
            <w:pPr>
              <w:rPr>
                <w:rFonts w:asciiTheme="minorHAnsi" w:hAnsiTheme="minorHAnsi"/>
                <w:sz w:val="22"/>
                <w:szCs w:val="22"/>
              </w:rPr>
            </w:pPr>
            <w:r w:rsidRPr="00F20D81">
              <w:rPr>
                <w:rFonts w:asciiTheme="minorHAnsi" w:hAnsiTheme="minorHAnsi"/>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693D62" w:rsidTr="003A749C">
              <w:tc>
                <w:tcPr>
                  <w:tcW w:w="2407" w:type="dxa"/>
                  <w:shd w:val="clear" w:color="auto" w:fill="auto"/>
                </w:tcPr>
                <w:p w:rsidR="00A41190" w:rsidRPr="00693D62" w:rsidRDefault="00A41190" w:rsidP="003A749C">
                  <w:pPr>
                    <w:pStyle w:val="BlockText"/>
                    <w:rPr>
                      <w:b/>
                      <w:szCs w:val="24"/>
                    </w:rPr>
                  </w:pPr>
                  <w:r w:rsidRPr="00693D62">
                    <w:rPr>
                      <w:b/>
                      <w:szCs w:val="24"/>
                    </w:rPr>
                    <w:t>Document Number</w:t>
                  </w:r>
                </w:p>
              </w:tc>
              <w:tc>
                <w:tcPr>
                  <w:tcW w:w="5102" w:type="dxa"/>
                  <w:shd w:val="clear" w:color="auto" w:fill="auto"/>
                </w:tcPr>
                <w:p w:rsidR="00A41190" w:rsidRPr="00693D62" w:rsidRDefault="00A41190" w:rsidP="003A749C">
                  <w:pPr>
                    <w:pStyle w:val="BlockText"/>
                    <w:rPr>
                      <w:b/>
                      <w:szCs w:val="24"/>
                    </w:rPr>
                  </w:pPr>
                  <w:r w:rsidRPr="00693D62">
                    <w:rPr>
                      <w:b/>
                      <w:szCs w:val="24"/>
                    </w:rPr>
                    <w:t>Document Name</w:t>
                  </w:r>
                </w:p>
              </w:tc>
            </w:tr>
            <w:tr w:rsidR="00A41190" w:rsidRPr="00693D62" w:rsidTr="003A749C">
              <w:tc>
                <w:tcPr>
                  <w:tcW w:w="2407" w:type="dxa"/>
                  <w:shd w:val="clear" w:color="auto" w:fill="auto"/>
                </w:tcPr>
                <w:p w:rsidR="00A41190" w:rsidRPr="00693D62" w:rsidRDefault="00A41190" w:rsidP="003A749C">
                  <w:pPr>
                    <w:pStyle w:val="BlockText"/>
                    <w:rPr>
                      <w:szCs w:val="24"/>
                    </w:rPr>
                  </w:pPr>
                  <w:r w:rsidRPr="00693D62">
                    <w:rPr>
                      <w:szCs w:val="24"/>
                    </w:rPr>
                    <w:t>LAMC-PPP-0123</w:t>
                  </w:r>
                </w:p>
              </w:tc>
              <w:tc>
                <w:tcPr>
                  <w:tcW w:w="5102" w:type="dxa"/>
                  <w:shd w:val="clear" w:color="auto" w:fill="auto"/>
                </w:tcPr>
                <w:p w:rsidR="00A41190" w:rsidRPr="00693D62" w:rsidRDefault="00A41190" w:rsidP="003A749C">
                  <w:pPr>
                    <w:pStyle w:val="BlockText"/>
                    <w:jc w:val="left"/>
                    <w:rPr>
                      <w:szCs w:val="24"/>
                    </w:rPr>
                  </w:pPr>
                  <w:r w:rsidRPr="00693D62">
                    <w:rPr>
                      <w:szCs w:val="24"/>
                    </w:rPr>
                    <w:t>Safety Practices</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LAMC-PPP-0127</w:t>
                  </w:r>
                </w:p>
              </w:tc>
              <w:tc>
                <w:tcPr>
                  <w:tcW w:w="5102" w:type="dxa"/>
                  <w:shd w:val="clear" w:color="auto" w:fill="auto"/>
                </w:tcPr>
                <w:p w:rsidR="00A41190" w:rsidRPr="00693D62" w:rsidRDefault="00A41190" w:rsidP="003A749C">
                  <w:pPr>
                    <w:pStyle w:val="BlockText"/>
                    <w:jc w:val="left"/>
                    <w:rPr>
                      <w:szCs w:val="24"/>
                    </w:rPr>
                  </w:pPr>
                  <w:r w:rsidRPr="00693D62">
                    <w:rPr>
                      <w:szCs w:val="24"/>
                    </w:rPr>
                    <w:t>Infection Control</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LAMC-PPP-0128</w:t>
                  </w:r>
                </w:p>
              </w:tc>
              <w:tc>
                <w:tcPr>
                  <w:tcW w:w="5102" w:type="dxa"/>
                  <w:shd w:val="clear" w:color="auto" w:fill="auto"/>
                </w:tcPr>
                <w:p w:rsidR="00A41190" w:rsidRPr="00693D62" w:rsidRDefault="00A41190" w:rsidP="003A749C">
                  <w:pPr>
                    <w:pStyle w:val="BlockText"/>
                    <w:jc w:val="left"/>
                    <w:rPr>
                      <w:szCs w:val="24"/>
                    </w:rPr>
                  </w:pPr>
                  <w:r w:rsidRPr="00693D62">
                    <w:rPr>
                      <w:szCs w:val="24"/>
                    </w:rPr>
                    <w:t>Universal Body Substance Precaution</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LAMC-PPP-0129</w:t>
                  </w:r>
                </w:p>
              </w:tc>
              <w:tc>
                <w:tcPr>
                  <w:tcW w:w="5102" w:type="dxa"/>
                  <w:shd w:val="clear" w:color="auto" w:fill="auto"/>
                </w:tcPr>
                <w:p w:rsidR="00A41190" w:rsidRPr="00693D62" w:rsidRDefault="00A41190" w:rsidP="003A749C">
                  <w:pPr>
                    <w:pStyle w:val="BlockText"/>
                    <w:jc w:val="left"/>
                    <w:rPr>
                      <w:szCs w:val="24"/>
                    </w:rPr>
                  </w:pPr>
                  <w:r w:rsidRPr="00693D62">
                    <w:rPr>
                      <w:szCs w:val="24"/>
                    </w:rPr>
                    <w:t>Handling of Regular and Infectious Waste</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LAMC-PPP-0130</w:t>
                  </w:r>
                </w:p>
              </w:tc>
              <w:tc>
                <w:tcPr>
                  <w:tcW w:w="5102" w:type="dxa"/>
                  <w:shd w:val="clear" w:color="auto" w:fill="auto"/>
                </w:tcPr>
                <w:p w:rsidR="00A41190" w:rsidRPr="00693D62" w:rsidRDefault="00A41190" w:rsidP="003A749C">
                  <w:pPr>
                    <w:pStyle w:val="BlockText"/>
                    <w:jc w:val="left"/>
                    <w:rPr>
                      <w:szCs w:val="24"/>
                    </w:rPr>
                  </w:pPr>
                  <w:r w:rsidRPr="00693D62">
                    <w:rPr>
                      <w:szCs w:val="24"/>
                    </w:rPr>
                    <w:t>Cleaning Work Areas</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LAMC-PPP-0132</w:t>
                  </w:r>
                </w:p>
              </w:tc>
              <w:tc>
                <w:tcPr>
                  <w:tcW w:w="5102" w:type="dxa"/>
                  <w:shd w:val="clear" w:color="auto" w:fill="auto"/>
                </w:tcPr>
                <w:p w:rsidR="00A41190" w:rsidRPr="00693D62" w:rsidRDefault="00A41190" w:rsidP="003A749C">
                  <w:pPr>
                    <w:pStyle w:val="BlockText"/>
                    <w:jc w:val="left"/>
                    <w:rPr>
                      <w:szCs w:val="24"/>
                    </w:rPr>
                  </w:pPr>
                  <w:r w:rsidRPr="00693D62">
                    <w:rPr>
                      <w:szCs w:val="24"/>
                    </w:rPr>
                    <w:t>Hand-washing Policy</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LAMC-PPP-0134</w:t>
                  </w:r>
                </w:p>
              </w:tc>
              <w:tc>
                <w:tcPr>
                  <w:tcW w:w="5102" w:type="dxa"/>
                  <w:shd w:val="clear" w:color="auto" w:fill="auto"/>
                </w:tcPr>
                <w:p w:rsidR="00A41190" w:rsidRPr="00693D62" w:rsidRDefault="00A41190" w:rsidP="003A749C">
                  <w:pPr>
                    <w:pStyle w:val="BlockText"/>
                    <w:jc w:val="left"/>
                    <w:rPr>
                      <w:szCs w:val="24"/>
                    </w:rPr>
                  </w:pPr>
                  <w:r w:rsidRPr="00693D62">
                    <w:rPr>
                      <w:szCs w:val="24"/>
                    </w:rPr>
                    <w:t>Storage and Disposal of Chemical Hazardous Waste</w:t>
                  </w:r>
                </w:p>
              </w:tc>
            </w:tr>
            <w:tr w:rsidR="004223E3" w:rsidRPr="00693D62" w:rsidTr="003A749C">
              <w:tc>
                <w:tcPr>
                  <w:tcW w:w="2407" w:type="dxa"/>
                  <w:shd w:val="clear" w:color="auto" w:fill="auto"/>
                </w:tcPr>
                <w:p w:rsidR="004223E3" w:rsidRPr="00693D62" w:rsidRDefault="003C2269" w:rsidP="004223E3">
                  <w:pPr>
                    <w:jc w:val="center"/>
                    <w:rPr>
                      <w:szCs w:val="24"/>
                    </w:rPr>
                  </w:pPr>
                  <w:r w:rsidRPr="003C2269">
                    <w:rPr>
                      <w:szCs w:val="24"/>
                    </w:rPr>
                    <w:t>LAMC-PPP-0391</w:t>
                  </w:r>
                </w:p>
              </w:tc>
              <w:tc>
                <w:tcPr>
                  <w:tcW w:w="5102" w:type="dxa"/>
                  <w:shd w:val="clear" w:color="auto" w:fill="auto"/>
                </w:tcPr>
                <w:p w:rsidR="004223E3" w:rsidRPr="00AE3569" w:rsidRDefault="004223E3" w:rsidP="004223E3">
                  <w:pPr>
                    <w:pStyle w:val="BlockText"/>
                    <w:jc w:val="left"/>
                  </w:pPr>
                  <w:r w:rsidRPr="00AE3569">
                    <w:rPr>
                      <w:sz w:val="22"/>
                      <w:szCs w:val="22"/>
                    </w:rPr>
                    <w:t xml:space="preserve">Manual Validation of Patient’s Results on </w:t>
                  </w:r>
                  <w:proofErr w:type="spellStart"/>
                  <w:r w:rsidRPr="00AE3569">
                    <w:rPr>
                      <w:sz w:val="22"/>
                      <w:szCs w:val="22"/>
                    </w:rPr>
                    <w:t>Remisol</w:t>
                  </w:r>
                  <w:proofErr w:type="spellEnd"/>
                  <w:r w:rsidRPr="00AE3569">
                    <w:rPr>
                      <w:sz w:val="22"/>
                      <w:szCs w:val="22"/>
                    </w:rPr>
                    <w:t xml:space="preserve"> Advance</w:t>
                  </w:r>
                </w:p>
              </w:tc>
            </w:tr>
            <w:tr w:rsidR="004223E3" w:rsidRPr="00693D62" w:rsidTr="003A749C">
              <w:tc>
                <w:tcPr>
                  <w:tcW w:w="2407" w:type="dxa"/>
                  <w:shd w:val="clear" w:color="auto" w:fill="auto"/>
                </w:tcPr>
                <w:p w:rsidR="004223E3" w:rsidRPr="003C2269" w:rsidRDefault="003C2269" w:rsidP="004223E3">
                  <w:pPr>
                    <w:jc w:val="center"/>
                    <w:rPr>
                      <w:szCs w:val="24"/>
                    </w:rPr>
                  </w:pPr>
                  <w:r w:rsidRPr="003C2269">
                    <w:rPr>
                      <w:szCs w:val="24"/>
                    </w:rPr>
                    <w:t>LAMC-PPP-0273</w:t>
                  </w:r>
                </w:p>
              </w:tc>
              <w:tc>
                <w:tcPr>
                  <w:tcW w:w="5102" w:type="dxa"/>
                  <w:shd w:val="clear" w:color="auto" w:fill="auto"/>
                </w:tcPr>
                <w:p w:rsidR="004223E3" w:rsidRPr="003C2269" w:rsidRDefault="004223E3" w:rsidP="004223E3">
                  <w:pPr>
                    <w:pStyle w:val="BlockText"/>
                    <w:jc w:val="left"/>
                    <w:rPr>
                      <w:sz w:val="22"/>
                      <w:szCs w:val="22"/>
                    </w:rPr>
                  </w:pPr>
                  <w:proofErr w:type="spellStart"/>
                  <w:r w:rsidRPr="003C2269">
                    <w:t>Cellavision</w:t>
                  </w:r>
                  <w:proofErr w:type="spellEnd"/>
                  <w:r w:rsidRPr="003C2269">
                    <w:t xml:space="preserve"> DM96 Operating Procedure</w:t>
                  </w:r>
                </w:p>
              </w:tc>
            </w:tr>
            <w:tr w:rsidR="003C2269" w:rsidRPr="00693D62" w:rsidTr="003A749C">
              <w:tc>
                <w:tcPr>
                  <w:tcW w:w="2407" w:type="dxa"/>
                  <w:shd w:val="clear" w:color="auto" w:fill="auto"/>
                </w:tcPr>
                <w:p w:rsidR="003C2269" w:rsidRPr="003C2269" w:rsidRDefault="003C2269" w:rsidP="004223E3">
                  <w:pPr>
                    <w:jc w:val="center"/>
                    <w:rPr>
                      <w:szCs w:val="24"/>
                    </w:rPr>
                  </w:pPr>
                  <w:r w:rsidRPr="003C2269">
                    <w:t>LAMC-PPP-0274</w:t>
                  </w:r>
                </w:p>
              </w:tc>
              <w:tc>
                <w:tcPr>
                  <w:tcW w:w="5102" w:type="dxa"/>
                  <w:shd w:val="clear" w:color="auto" w:fill="auto"/>
                </w:tcPr>
                <w:p w:rsidR="003C2269" w:rsidRPr="003C2269" w:rsidRDefault="003C2269" w:rsidP="004223E3">
                  <w:pPr>
                    <w:pStyle w:val="BlockText"/>
                    <w:jc w:val="left"/>
                  </w:pPr>
                  <w:bookmarkStart w:id="0" w:name="_GoBack"/>
                  <w:bookmarkEnd w:id="0"/>
                  <w:proofErr w:type="spellStart"/>
                  <w:r w:rsidRPr="003C2269">
                    <w:t>Cellavision</w:t>
                  </w:r>
                  <w:proofErr w:type="spellEnd"/>
                  <w:r w:rsidRPr="003C2269">
                    <w:t xml:space="preserve"> Quality Control Procedure</w:t>
                  </w:r>
                </w:p>
              </w:tc>
            </w:tr>
          </w:tbl>
          <w:p w:rsidR="00A41190" w:rsidRPr="00F20D81" w:rsidRDefault="00A41190" w:rsidP="00A41190">
            <w:pPr>
              <w:rPr>
                <w:rFonts w:asciiTheme="minorHAnsi" w:hAnsiTheme="minorHAnsi"/>
                <w:sz w:val="22"/>
                <w:szCs w:val="22"/>
              </w:rPr>
            </w:pPr>
          </w:p>
        </w:tc>
      </w:tr>
      <w:tr w:rsidR="00A41190" w:rsidRPr="00F20D81" w:rsidTr="00A41190">
        <w:trPr>
          <w:cantSplit/>
        </w:trPr>
        <w:tc>
          <w:tcPr>
            <w:tcW w:w="1728" w:type="dxa"/>
          </w:tcPr>
          <w:p w:rsidR="00A41190" w:rsidRDefault="00A41190" w:rsidP="003A749C">
            <w:pPr>
              <w:pStyle w:val="Heading5"/>
              <w:rPr>
                <w:rFonts w:asciiTheme="minorHAnsi" w:hAnsiTheme="minorHAnsi"/>
                <w:szCs w:val="22"/>
              </w:rPr>
            </w:pPr>
          </w:p>
          <w:p w:rsidR="00A41190" w:rsidRDefault="00A41190" w:rsidP="00A41190"/>
          <w:p w:rsidR="00A41190" w:rsidRPr="00A41190" w:rsidRDefault="00A41190" w:rsidP="00A41190"/>
        </w:tc>
        <w:tc>
          <w:tcPr>
            <w:tcW w:w="8010" w:type="dxa"/>
          </w:tcPr>
          <w:p w:rsidR="00A41190" w:rsidRPr="00F20D81" w:rsidRDefault="00A41190" w:rsidP="00A41190">
            <w:pPr>
              <w:rPr>
                <w:rFonts w:asciiTheme="minorHAnsi" w:hAnsiTheme="minorHAnsi"/>
                <w:sz w:val="22"/>
                <w:szCs w:val="22"/>
              </w:rPr>
            </w:pPr>
          </w:p>
        </w:tc>
      </w:tr>
      <w:tr w:rsidR="00F06DB2" w:rsidRPr="00F20D81" w:rsidTr="00A41190">
        <w:trPr>
          <w:cantSplit/>
        </w:trPr>
        <w:tc>
          <w:tcPr>
            <w:tcW w:w="1728" w:type="dxa"/>
          </w:tcPr>
          <w:p w:rsidR="00F06DB2" w:rsidRPr="00F20D81" w:rsidRDefault="00F06DB2" w:rsidP="00F06DB2">
            <w:pPr>
              <w:pStyle w:val="Heading5"/>
              <w:rPr>
                <w:rFonts w:asciiTheme="minorHAnsi" w:hAnsiTheme="minorHAnsi"/>
                <w:szCs w:val="22"/>
              </w:rPr>
            </w:pPr>
            <w:r w:rsidRPr="00F20D81">
              <w:rPr>
                <w:rFonts w:asciiTheme="minorHAnsi" w:hAnsiTheme="minorHAnsi"/>
                <w:szCs w:val="22"/>
              </w:rPr>
              <w:t>Author</w:t>
            </w:r>
            <w:r w:rsidR="00D32C36" w:rsidRPr="00F20D81">
              <w:rPr>
                <w:rFonts w:asciiTheme="minorHAnsi" w:hAnsiTheme="minorHAnsi"/>
                <w:szCs w:val="22"/>
              </w:rPr>
              <w:t>(s)</w:t>
            </w:r>
          </w:p>
        </w:tc>
        <w:tc>
          <w:tcPr>
            <w:tcW w:w="8010" w:type="dxa"/>
          </w:tcPr>
          <w:p w:rsidR="00F06DB2" w:rsidRPr="00F20D81" w:rsidRDefault="00871559" w:rsidP="00F06DB2">
            <w:pPr>
              <w:rPr>
                <w:rFonts w:asciiTheme="minorHAnsi" w:hAnsiTheme="minorHAnsi"/>
                <w:sz w:val="22"/>
                <w:szCs w:val="22"/>
              </w:rPr>
            </w:pPr>
            <w:r>
              <w:rPr>
                <w:rFonts w:asciiTheme="minorHAnsi" w:hAnsiTheme="minorHAnsi"/>
                <w:sz w:val="22"/>
                <w:szCs w:val="22"/>
              </w:rPr>
              <w:t>Alvin Castillo</w:t>
            </w:r>
          </w:p>
          <w:p w:rsidR="00D05042" w:rsidRPr="00F20D81" w:rsidRDefault="00D05042" w:rsidP="00F06DB2">
            <w:pPr>
              <w:rPr>
                <w:rFonts w:asciiTheme="minorHAnsi" w:hAnsiTheme="minorHAnsi"/>
                <w:sz w:val="22"/>
                <w:szCs w:val="22"/>
              </w:rPr>
            </w:pPr>
          </w:p>
        </w:tc>
      </w:tr>
    </w:tbl>
    <w:p w:rsidR="00D26AE2" w:rsidRPr="00F20D81" w:rsidRDefault="00D26AE2" w:rsidP="00D26AE2">
      <w:pPr>
        <w:pStyle w:val="BlockLine"/>
        <w:rPr>
          <w:rFonts w:asciiTheme="minorHAnsi" w:hAnsiTheme="minorHAnsi"/>
          <w:sz w:val="22"/>
          <w:szCs w:val="22"/>
        </w:rPr>
      </w:pPr>
    </w:p>
    <w:p w:rsidR="00F06DB2" w:rsidRPr="00F20D81" w:rsidRDefault="00F06DB2" w:rsidP="00D26AE2">
      <w:pPr>
        <w:rPr>
          <w:rFonts w:asciiTheme="minorHAnsi" w:hAnsiTheme="minorHAnsi"/>
          <w:sz w:val="22"/>
          <w:szCs w:val="22"/>
        </w:rPr>
      </w:pPr>
    </w:p>
    <w:sectPr w:rsidR="00F06DB2" w:rsidRPr="00F20D81" w:rsidSect="00D4361C">
      <w:headerReference w:type="even" r:id="rId8"/>
      <w:headerReference w:type="default" r:id="rId9"/>
      <w:footerReference w:type="even" r:id="rId10"/>
      <w:footerReference w:type="default" r:id="rId11"/>
      <w:headerReference w:type="first" r:id="rId12"/>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81" w:rsidRDefault="00875F81">
      <w:r>
        <w:separator/>
      </w:r>
    </w:p>
  </w:endnote>
  <w:endnote w:type="continuationSeparator" w:id="0">
    <w:p w:rsidR="00875F81" w:rsidRDefault="0087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3C2269">
      <w:rPr>
        <w:i/>
        <w:noProof/>
        <w:snapToGrid w:val="0"/>
        <w:sz w:val="20"/>
      </w:rPr>
      <w:instrText>10</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3C2269">
      <w:rPr>
        <w:i/>
        <w:noProof/>
        <w:snapToGrid w:val="0"/>
        <w:sz w:val="20"/>
      </w:rPr>
      <w:instrText>10</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3C2269">
      <w:rPr>
        <w:rStyle w:val="PageNumber"/>
        <w:rFonts w:ascii="Arial" w:hAnsi="Arial" w:cs="Arial"/>
        <w:noProof/>
        <w:sz w:val="20"/>
      </w:rPr>
      <w:t>10</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3C2269">
      <w:rPr>
        <w:rStyle w:val="PageNumber"/>
        <w:rFonts w:ascii="Arial" w:hAnsi="Arial" w:cs="Arial"/>
        <w:noProof/>
        <w:sz w:val="20"/>
      </w:rPr>
      <w:t>10</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81" w:rsidRDefault="00875F81">
      <w:r>
        <w:separator/>
      </w:r>
    </w:p>
  </w:footnote>
  <w:footnote w:type="continuationSeparator" w:id="0">
    <w:p w:rsidR="00875F81" w:rsidRDefault="0087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C45269" w:rsidRDefault="006E7401" w:rsidP="006E7401">
    <w:pPr>
      <w:pStyle w:val="Heading4"/>
      <w:rPr>
        <w:szCs w:val="32"/>
      </w:rPr>
    </w:pPr>
    <w:r>
      <w:t>HEMATOLOGY SCAN DIFFERENTIAL AND REPORTING CRITERIA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6C6542F"/>
    <w:multiLevelType w:val="hybridMultilevel"/>
    <w:tmpl w:val="B3FC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D6659"/>
    <w:multiLevelType w:val="hybridMultilevel"/>
    <w:tmpl w:val="852A40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56F513B"/>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76E70"/>
    <w:multiLevelType w:val="hybridMultilevel"/>
    <w:tmpl w:val="5C44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31CD"/>
    <w:multiLevelType w:val="hybridMultilevel"/>
    <w:tmpl w:val="057A924E"/>
    <w:lvl w:ilvl="0" w:tplc="48BCC45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44FE8"/>
    <w:multiLevelType w:val="hybridMultilevel"/>
    <w:tmpl w:val="81E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521AB"/>
    <w:multiLevelType w:val="hybridMultilevel"/>
    <w:tmpl w:val="0DC47E0C"/>
    <w:lvl w:ilvl="0" w:tplc="E334D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341E6"/>
    <w:multiLevelType w:val="hybridMultilevel"/>
    <w:tmpl w:val="BA689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62892"/>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55350"/>
    <w:multiLevelType w:val="hybridMultilevel"/>
    <w:tmpl w:val="2A58E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581272ED"/>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E7F9D"/>
    <w:multiLevelType w:val="hybridMultilevel"/>
    <w:tmpl w:val="2E8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B5944"/>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A2196"/>
    <w:multiLevelType w:val="hybridMultilevel"/>
    <w:tmpl w:val="03F8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3212A"/>
    <w:multiLevelType w:val="hybridMultilevel"/>
    <w:tmpl w:val="1FC8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6"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7"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EB3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A1D6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5"/>
  </w:num>
  <w:num w:numId="2">
    <w:abstractNumId w:val="2"/>
  </w:num>
  <w:num w:numId="3">
    <w:abstractNumId w:val="19"/>
  </w:num>
  <w:num w:numId="4">
    <w:abstractNumId w:val="6"/>
  </w:num>
  <w:num w:numId="5">
    <w:abstractNumId w:val="3"/>
  </w:num>
  <w:num w:numId="6">
    <w:abstractNumId w:val="1"/>
  </w:num>
  <w:num w:numId="7">
    <w:abstractNumId w:val="30"/>
  </w:num>
  <w:num w:numId="8">
    <w:abstractNumId w:val="10"/>
  </w:num>
  <w:num w:numId="9">
    <w:abstractNumId w:val="12"/>
  </w:num>
  <w:num w:numId="10">
    <w:abstractNumId w:val="26"/>
  </w:num>
  <w:num w:numId="11">
    <w:abstractNumId w:val="27"/>
  </w:num>
  <w:num w:numId="12">
    <w:abstractNumId w:val="0"/>
  </w:num>
  <w:num w:numId="13">
    <w:abstractNumId w:val="36"/>
  </w:num>
  <w:num w:numId="14">
    <w:abstractNumId w:val="34"/>
  </w:num>
  <w:num w:numId="15">
    <w:abstractNumId w:val="28"/>
  </w:num>
  <w:num w:numId="16">
    <w:abstractNumId w:val="14"/>
  </w:num>
  <w:num w:numId="17">
    <w:abstractNumId w:val="32"/>
  </w:num>
  <w:num w:numId="18">
    <w:abstractNumId w:val="31"/>
  </w:num>
  <w:num w:numId="19">
    <w:abstractNumId w:val="33"/>
  </w:num>
  <w:num w:numId="20">
    <w:abstractNumId w:val="18"/>
  </w:num>
  <w:num w:numId="21">
    <w:abstractNumId w:val="21"/>
  </w:num>
  <w:num w:numId="22">
    <w:abstractNumId w:val="16"/>
  </w:num>
  <w:num w:numId="23">
    <w:abstractNumId w:val="15"/>
  </w:num>
  <w:num w:numId="24">
    <w:abstractNumId w:val="4"/>
  </w:num>
  <w:num w:numId="25">
    <w:abstractNumId w:val="29"/>
  </w:num>
  <w:num w:numId="26">
    <w:abstractNumId w:val="22"/>
  </w:num>
  <w:num w:numId="27">
    <w:abstractNumId w:val="37"/>
  </w:num>
  <w:num w:numId="28">
    <w:abstractNumId w:val="20"/>
  </w:num>
  <w:num w:numId="29">
    <w:abstractNumId w:val="35"/>
  </w:num>
  <w:num w:numId="30">
    <w:abstractNumId w:val="24"/>
  </w:num>
  <w:num w:numId="31">
    <w:abstractNumId w:val="5"/>
  </w:num>
  <w:num w:numId="32">
    <w:abstractNumId w:val="8"/>
  </w:num>
  <w:num w:numId="33">
    <w:abstractNumId w:val="11"/>
  </w:num>
  <w:num w:numId="34">
    <w:abstractNumId w:val="23"/>
  </w:num>
  <w:num w:numId="35">
    <w:abstractNumId w:val="7"/>
  </w:num>
  <w:num w:numId="36">
    <w:abstractNumId w:val="9"/>
  </w:num>
  <w:num w:numId="37">
    <w:abstractNumId w:val="13"/>
  </w:num>
  <w:num w:numId="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3379"/>
    <w:rsid w:val="00036CF5"/>
    <w:rsid w:val="00042DAA"/>
    <w:rsid w:val="00047EF7"/>
    <w:rsid w:val="00056877"/>
    <w:rsid w:val="000728C4"/>
    <w:rsid w:val="00086A2C"/>
    <w:rsid w:val="0009129B"/>
    <w:rsid w:val="000953A5"/>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2DE5"/>
    <w:rsid w:val="001A14EE"/>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C2269"/>
    <w:rsid w:val="003C508E"/>
    <w:rsid w:val="003C6786"/>
    <w:rsid w:val="003E40F0"/>
    <w:rsid w:val="003F0A0D"/>
    <w:rsid w:val="004160B3"/>
    <w:rsid w:val="004223E3"/>
    <w:rsid w:val="00433D1F"/>
    <w:rsid w:val="00440B6B"/>
    <w:rsid w:val="00452AA8"/>
    <w:rsid w:val="00454667"/>
    <w:rsid w:val="00471432"/>
    <w:rsid w:val="004802BC"/>
    <w:rsid w:val="00480580"/>
    <w:rsid w:val="00482A53"/>
    <w:rsid w:val="0048686C"/>
    <w:rsid w:val="004965AA"/>
    <w:rsid w:val="004B2090"/>
    <w:rsid w:val="004C1667"/>
    <w:rsid w:val="004C1AD2"/>
    <w:rsid w:val="004C1B71"/>
    <w:rsid w:val="00504B96"/>
    <w:rsid w:val="0050518A"/>
    <w:rsid w:val="005133FE"/>
    <w:rsid w:val="00544E86"/>
    <w:rsid w:val="00595006"/>
    <w:rsid w:val="005A6643"/>
    <w:rsid w:val="005A6EE9"/>
    <w:rsid w:val="005B1E7F"/>
    <w:rsid w:val="005F2ABD"/>
    <w:rsid w:val="005F3E96"/>
    <w:rsid w:val="00605DCB"/>
    <w:rsid w:val="0061079E"/>
    <w:rsid w:val="00620A2D"/>
    <w:rsid w:val="00633012"/>
    <w:rsid w:val="00637656"/>
    <w:rsid w:val="00677481"/>
    <w:rsid w:val="006A107B"/>
    <w:rsid w:val="006A72CD"/>
    <w:rsid w:val="006C461B"/>
    <w:rsid w:val="006C4C9A"/>
    <w:rsid w:val="006D60D0"/>
    <w:rsid w:val="006E67E1"/>
    <w:rsid w:val="006E7401"/>
    <w:rsid w:val="00700D63"/>
    <w:rsid w:val="00706B6E"/>
    <w:rsid w:val="00707CAE"/>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660FE"/>
    <w:rsid w:val="00871559"/>
    <w:rsid w:val="00875F81"/>
    <w:rsid w:val="0088237F"/>
    <w:rsid w:val="00883D0A"/>
    <w:rsid w:val="0088433C"/>
    <w:rsid w:val="00885E0C"/>
    <w:rsid w:val="0089105A"/>
    <w:rsid w:val="008C29BB"/>
    <w:rsid w:val="008C45FE"/>
    <w:rsid w:val="008D4E7A"/>
    <w:rsid w:val="008F5077"/>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41190"/>
    <w:rsid w:val="00A60B08"/>
    <w:rsid w:val="00A6192E"/>
    <w:rsid w:val="00A66379"/>
    <w:rsid w:val="00A8143D"/>
    <w:rsid w:val="00AA2C0B"/>
    <w:rsid w:val="00AB4147"/>
    <w:rsid w:val="00AB4889"/>
    <w:rsid w:val="00AC231D"/>
    <w:rsid w:val="00AC7F63"/>
    <w:rsid w:val="00AD1CD4"/>
    <w:rsid w:val="00AD620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7487"/>
    <w:rsid w:val="00C95BA9"/>
    <w:rsid w:val="00CA0A63"/>
    <w:rsid w:val="00CA67B8"/>
    <w:rsid w:val="00CB48C3"/>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329C"/>
    <w:rsid w:val="00D90CBE"/>
    <w:rsid w:val="00DA1F32"/>
    <w:rsid w:val="00DC3744"/>
    <w:rsid w:val="00DD53EF"/>
    <w:rsid w:val="00DE223A"/>
    <w:rsid w:val="00DE398C"/>
    <w:rsid w:val="00E301AE"/>
    <w:rsid w:val="00E42FE4"/>
    <w:rsid w:val="00E50BBB"/>
    <w:rsid w:val="00E51458"/>
    <w:rsid w:val="00E5453D"/>
    <w:rsid w:val="00E61CD5"/>
    <w:rsid w:val="00E733D6"/>
    <w:rsid w:val="00E75365"/>
    <w:rsid w:val="00EB027B"/>
    <w:rsid w:val="00EB50D8"/>
    <w:rsid w:val="00EC0EFC"/>
    <w:rsid w:val="00EC7C99"/>
    <w:rsid w:val="00EE0F07"/>
    <w:rsid w:val="00EE396F"/>
    <w:rsid w:val="00EE3CFA"/>
    <w:rsid w:val="00EE6D86"/>
    <w:rsid w:val="00EF2A00"/>
    <w:rsid w:val="00F06DB2"/>
    <w:rsid w:val="00F20D81"/>
    <w:rsid w:val="00F342AB"/>
    <w:rsid w:val="00F36A3F"/>
    <w:rsid w:val="00F47F67"/>
    <w:rsid w:val="00F56C49"/>
    <w:rsid w:val="00F56EFF"/>
    <w:rsid w:val="00F73178"/>
    <w:rsid w:val="00F80BE8"/>
    <w:rsid w:val="00F81614"/>
    <w:rsid w:val="00F91A4D"/>
    <w:rsid w:val="00F94602"/>
    <w:rsid w:val="00FA472E"/>
    <w:rsid w:val="00FB1920"/>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140F6A"/>
    <w:rsid w:val="002C3A63"/>
    <w:rsid w:val="00302917"/>
    <w:rsid w:val="00503C9E"/>
    <w:rsid w:val="005A495C"/>
    <w:rsid w:val="006E2ED4"/>
    <w:rsid w:val="00856328"/>
    <w:rsid w:val="008F2A2C"/>
    <w:rsid w:val="009E2D04"/>
    <w:rsid w:val="00A8409A"/>
    <w:rsid w:val="00BA5A27"/>
    <w:rsid w:val="00CD2384"/>
    <w:rsid w:val="00F16430"/>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30</TotalTime>
  <Pages>10</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7</cp:revision>
  <cp:lastPrinted>2011-03-21T23:09:00Z</cp:lastPrinted>
  <dcterms:created xsi:type="dcterms:W3CDTF">2017-05-19T17:20:00Z</dcterms:created>
  <dcterms:modified xsi:type="dcterms:W3CDTF">2017-05-19T20:08:00Z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