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ayout w:type="fixed"/>
        <w:tblLook w:val="0000" w:firstRow="0" w:lastRow="0" w:firstColumn="0" w:lastColumn="0" w:noHBand="0" w:noVBand="0"/>
      </w:tblPr>
      <w:tblGrid>
        <w:gridCol w:w="1548"/>
        <w:gridCol w:w="8280"/>
      </w:tblGrid>
      <w:tr w:rsidR="00776D07" w:rsidRPr="009172FE" w:rsidTr="00776D07">
        <w:tblPrEx>
          <w:tblCellMar>
            <w:top w:w="0" w:type="dxa"/>
            <w:bottom w:w="0" w:type="dxa"/>
          </w:tblCellMar>
        </w:tblPrEx>
        <w:tc>
          <w:tcPr>
            <w:tcW w:w="1548" w:type="dxa"/>
          </w:tcPr>
          <w:p w:rsidR="00776D07" w:rsidRPr="009172FE" w:rsidRDefault="00776D07" w:rsidP="005132AE">
            <w:pPr>
              <w:rPr>
                <w:rFonts w:asciiTheme="minorHAnsi" w:hAnsiTheme="minorHAnsi"/>
                <w:b/>
                <w:sz w:val="22"/>
                <w:szCs w:val="22"/>
              </w:rPr>
            </w:pPr>
            <w:r w:rsidRPr="009172FE">
              <w:rPr>
                <w:rFonts w:asciiTheme="minorHAnsi" w:hAnsiTheme="minorHAnsi"/>
                <w:b/>
                <w:bCs/>
                <w:sz w:val="22"/>
                <w:szCs w:val="22"/>
              </w:rPr>
              <w:t>Purpose</w:t>
            </w:r>
          </w:p>
        </w:tc>
        <w:tc>
          <w:tcPr>
            <w:tcW w:w="8280" w:type="dxa"/>
          </w:tcPr>
          <w:p w:rsidR="00776D07" w:rsidRPr="009172FE" w:rsidRDefault="00776D07" w:rsidP="00776D07">
            <w:pPr>
              <w:autoSpaceDE w:val="0"/>
              <w:autoSpaceDN w:val="0"/>
              <w:adjustRightInd w:val="0"/>
              <w:rPr>
                <w:rFonts w:asciiTheme="minorHAnsi" w:hAnsiTheme="minorHAnsi"/>
                <w:sz w:val="22"/>
                <w:szCs w:val="22"/>
              </w:rPr>
            </w:pPr>
            <w:r w:rsidRPr="009172FE">
              <w:rPr>
                <w:rFonts w:asciiTheme="minorHAnsi" w:hAnsiTheme="minorHAnsi"/>
                <w:sz w:val="22"/>
                <w:szCs w:val="22"/>
              </w:rPr>
              <w:t xml:space="preserve">QC is performed on </w:t>
            </w: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 to assure that the instrument is functioning as expected and that patient results are reported accurately</w:t>
            </w:r>
          </w:p>
        </w:tc>
      </w:tr>
    </w:tbl>
    <w:p w:rsidR="00A3670D" w:rsidRPr="009172FE" w:rsidRDefault="00A3670D" w:rsidP="008660FE">
      <w:pPr>
        <w:pStyle w:val="BlockLine"/>
        <w:ind w:left="0"/>
        <w:rPr>
          <w:rFonts w:asciiTheme="minorHAnsi" w:hAnsiTheme="minorHAnsi"/>
          <w:sz w:val="22"/>
          <w:szCs w:val="22"/>
        </w:rPr>
      </w:pPr>
    </w:p>
    <w:tbl>
      <w:tblPr>
        <w:tblW w:w="9828" w:type="dxa"/>
        <w:tblLayout w:type="fixed"/>
        <w:tblLook w:val="0000" w:firstRow="0" w:lastRow="0" w:firstColumn="0" w:lastColumn="0" w:noHBand="0" w:noVBand="0"/>
      </w:tblPr>
      <w:tblGrid>
        <w:gridCol w:w="1548"/>
        <w:gridCol w:w="8280"/>
      </w:tblGrid>
      <w:tr w:rsidR="00776D07" w:rsidRPr="009172FE" w:rsidTr="005132AE">
        <w:tblPrEx>
          <w:tblCellMar>
            <w:top w:w="0" w:type="dxa"/>
            <w:bottom w:w="0" w:type="dxa"/>
          </w:tblCellMar>
        </w:tblPrEx>
        <w:tc>
          <w:tcPr>
            <w:tcW w:w="1548" w:type="dxa"/>
          </w:tcPr>
          <w:p w:rsidR="00776D07" w:rsidRPr="009172FE" w:rsidRDefault="00776D07" w:rsidP="00776D07">
            <w:pPr>
              <w:rPr>
                <w:rFonts w:asciiTheme="minorHAnsi" w:hAnsiTheme="minorHAnsi"/>
                <w:b/>
                <w:bCs/>
                <w:sz w:val="22"/>
                <w:szCs w:val="22"/>
              </w:rPr>
            </w:pPr>
            <w:r w:rsidRPr="009172FE">
              <w:rPr>
                <w:rFonts w:asciiTheme="minorHAnsi" w:hAnsiTheme="minorHAnsi"/>
                <w:b/>
                <w:bCs/>
                <w:sz w:val="22"/>
                <w:szCs w:val="22"/>
              </w:rPr>
              <w:t>Scope</w:t>
            </w:r>
          </w:p>
          <w:p w:rsidR="00776D07" w:rsidRPr="009172FE" w:rsidRDefault="00776D07" w:rsidP="005132AE">
            <w:pPr>
              <w:rPr>
                <w:rFonts w:asciiTheme="minorHAnsi" w:hAnsiTheme="minorHAnsi"/>
                <w:b/>
                <w:sz w:val="22"/>
                <w:szCs w:val="22"/>
              </w:rPr>
            </w:pPr>
          </w:p>
        </w:tc>
        <w:tc>
          <w:tcPr>
            <w:tcW w:w="8280" w:type="dxa"/>
          </w:tcPr>
          <w:p w:rsidR="00776D07" w:rsidRPr="009172FE" w:rsidRDefault="00776D07" w:rsidP="005132AE">
            <w:pPr>
              <w:autoSpaceDE w:val="0"/>
              <w:autoSpaceDN w:val="0"/>
              <w:adjustRightInd w:val="0"/>
              <w:rPr>
                <w:rFonts w:asciiTheme="minorHAnsi" w:hAnsiTheme="minorHAnsi"/>
                <w:sz w:val="22"/>
                <w:szCs w:val="22"/>
              </w:rPr>
            </w:pPr>
            <w:r w:rsidRPr="009172FE">
              <w:rPr>
                <w:rFonts w:asciiTheme="minorHAnsi" w:hAnsiTheme="minorHAnsi"/>
                <w:sz w:val="22"/>
                <w:szCs w:val="22"/>
              </w:rPr>
              <w:t xml:space="preserve">To monitor the performance of </w:t>
            </w: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w:t>
            </w:r>
            <w:r w:rsidRPr="009172FE">
              <w:rPr>
                <w:rFonts w:asciiTheme="minorHAnsi" w:hAnsiTheme="minorHAnsi"/>
                <w:sz w:val="22"/>
                <w:szCs w:val="22"/>
              </w:rPr>
              <w:t>,</w:t>
            </w:r>
            <w:r w:rsidRPr="009172FE">
              <w:rPr>
                <w:rFonts w:asciiTheme="minorHAnsi" w:hAnsiTheme="minorHAnsi"/>
                <w:sz w:val="22"/>
                <w:szCs w:val="22"/>
              </w:rPr>
              <w:t xml:space="preserve"> QC is performed on regular intervals</w:t>
            </w:r>
          </w:p>
        </w:tc>
      </w:tr>
    </w:tbl>
    <w:p w:rsidR="00776D07" w:rsidRPr="009172FE" w:rsidRDefault="00776D07" w:rsidP="00776D07">
      <w:pPr>
        <w:rPr>
          <w:rFonts w:asciiTheme="minorHAnsi" w:hAnsiTheme="minorHAnsi"/>
          <w:sz w:val="22"/>
          <w:szCs w:val="22"/>
        </w:rPr>
      </w:pPr>
    </w:p>
    <w:p w:rsidR="00776D07" w:rsidRPr="009172FE" w:rsidRDefault="00776D07" w:rsidP="00776D07">
      <w:pPr>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A3670D" w:rsidRPr="009172FE" w:rsidTr="00D32C36">
        <w:trPr>
          <w:cantSplit/>
        </w:trPr>
        <w:tc>
          <w:tcPr>
            <w:tcW w:w="1728" w:type="dxa"/>
          </w:tcPr>
          <w:p w:rsidR="00A3670D" w:rsidRPr="009172FE" w:rsidRDefault="00A3670D" w:rsidP="0009129B">
            <w:pPr>
              <w:pStyle w:val="Heading5"/>
              <w:rPr>
                <w:rFonts w:asciiTheme="minorHAnsi" w:hAnsiTheme="minorHAnsi"/>
                <w:szCs w:val="22"/>
              </w:rPr>
            </w:pPr>
            <w:r w:rsidRPr="009172FE">
              <w:rPr>
                <w:rFonts w:asciiTheme="minorHAnsi" w:hAnsiTheme="minorHAnsi"/>
                <w:szCs w:val="22"/>
              </w:rPr>
              <w:t>Policy</w:t>
            </w:r>
          </w:p>
        </w:tc>
        <w:tc>
          <w:tcPr>
            <w:tcW w:w="8010" w:type="dxa"/>
          </w:tcPr>
          <w:p w:rsidR="00776D07" w:rsidRPr="009172FE" w:rsidRDefault="00776D07" w:rsidP="00776D07">
            <w:pPr>
              <w:tabs>
                <w:tab w:val="left" w:pos="360"/>
              </w:tabs>
              <w:rPr>
                <w:rFonts w:asciiTheme="minorHAnsi" w:hAnsiTheme="minorHAnsi"/>
                <w:sz w:val="22"/>
                <w:szCs w:val="22"/>
              </w:rPr>
            </w:pPr>
            <w:r w:rsidRPr="009172FE">
              <w:rPr>
                <w:rFonts w:asciiTheme="minorHAnsi" w:hAnsiTheme="minorHAnsi"/>
                <w:sz w:val="22"/>
                <w:szCs w:val="22"/>
              </w:rPr>
              <w:t>Quality control must be processed and be acceptable every 24 hours before sample results can be released.</w:t>
            </w:r>
            <w:r w:rsidR="00F46E5E" w:rsidRPr="009172FE">
              <w:rPr>
                <w:rFonts w:asciiTheme="minorHAnsi" w:hAnsiTheme="minorHAnsi"/>
                <w:sz w:val="22"/>
                <w:szCs w:val="22"/>
              </w:rPr>
              <w:t xml:space="preserve"> Carryover check is part of quality control performed on </w:t>
            </w:r>
            <w:proofErr w:type="spellStart"/>
            <w:r w:rsidR="00F46E5E" w:rsidRPr="009172FE">
              <w:rPr>
                <w:rFonts w:asciiTheme="minorHAnsi" w:hAnsiTheme="minorHAnsi"/>
                <w:sz w:val="22"/>
                <w:szCs w:val="22"/>
              </w:rPr>
              <w:t>iCHEM</w:t>
            </w:r>
            <w:proofErr w:type="spellEnd"/>
            <w:r w:rsidR="00F46E5E" w:rsidRPr="009172FE">
              <w:rPr>
                <w:rFonts w:asciiTheme="minorHAnsi" w:hAnsiTheme="minorHAnsi"/>
                <w:sz w:val="22"/>
                <w:szCs w:val="22"/>
              </w:rPr>
              <w:t xml:space="preserve"> Velocity, meaning that an acceptable Quality Control performed is an acceptable Carryover check.</w:t>
            </w:r>
          </w:p>
          <w:p w:rsidR="00776D07" w:rsidRPr="009172FE" w:rsidRDefault="00776D07" w:rsidP="00776D07">
            <w:pPr>
              <w:pStyle w:val="Heading5"/>
              <w:rPr>
                <w:rFonts w:asciiTheme="minorHAnsi" w:hAnsiTheme="minorHAnsi"/>
                <w:b w:val="0"/>
                <w:szCs w:val="22"/>
              </w:rPr>
            </w:pPr>
            <w:r w:rsidRPr="009172FE">
              <w:rPr>
                <w:rFonts w:asciiTheme="minorHAnsi" w:hAnsiTheme="minorHAnsi"/>
                <w:b w:val="0"/>
                <w:szCs w:val="22"/>
              </w:rPr>
              <w:t xml:space="preserve">QC will be run </w:t>
            </w:r>
            <w:r w:rsidRPr="009172FE">
              <w:rPr>
                <w:rFonts w:asciiTheme="minorHAnsi" w:hAnsiTheme="minorHAnsi"/>
                <w:szCs w:val="22"/>
              </w:rPr>
              <w:t>once every 24 hours</w:t>
            </w:r>
            <w:r w:rsidRPr="009172FE">
              <w:rPr>
                <w:rFonts w:asciiTheme="minorHAnsi" w:hAnsiTheme="minorHAnsi"/>
                <w:b w:val="0"/>
                <w:szCs w:val="22"/>
              </w:rPr>
              <w:t>.  Running of QC will rotate every month and will be run at the beginning of the shift. 1</w:t>
            </w:r>
            <w:r w:rsidRPr="009172FE">
              <w:rPr>
                <w:rFonts w:asciiTheme="minorHAnsi" w:hAnsiTheme="minorHAnsi"/>
                <w:b w:val="0"/>
                <w:szCs w:val="22"/>
                <w:vertAlign w:val="superscript"/>
              </w:rPr>
              <w:t>st</w:t>
            </w:r>
            <w:r w:rsidRPr="009172FE">
              <w:rPr>
                <w:rFonts w:asciiTheme="minorHAnsi" w:hAnsiTheme="minorHAnsi"/>
                <w:b w:val="0"/>
                <w:szCs w:val="22"/>
              </w:rPr>
              <w:t xml:space="preserve"> day of the month will have </w:t>
            </w:r>
            <w:r w:rsidRPr="009172FE">
              <w:rPr>
                <w:rFonts w:asciiTheme="minorHAnsi" w:hAnsiTheme="minorHAnsi"/>
                <w:szCs w:val="22"/>
              </w:rPr>
              <w:t>2 runs</w:t>
            </w:r>
            <w:r w:rsidRPr="009172FE">
              <w:rPr>
                <w:rFonts w:asciiTheme="minorHAnsi" w:hAnsiTheme="minorHAnsi"/>
                <w:b w:val="0"/>
                <w:szCs w:val="22"/>
              </w:rPr>
              <w:t xml:space="preserve"> of Quality Control</w:t>
            </w:r>
          </w:p>
          <w:p w:rsidR="00776D07" w:rsidRPr="009172FE" w:rsidRDefault="00776D07" w:rsidP="00776D07">
            <w:pPr>
              <w:pStyle w:val="Heading5"/>
              <w:rPr>
                <w:rFonts w:asciiTheme="minorHAnsi" w:hAnsiTheme="minorHAnsi"/>
                <w:b w:val="0"/>
                <w:szCs w:val="22"/>
              </w:rPr>
            </w:pPr>
            <w:r w:rsidRPr="009172FE">
              <w:rPr>
                <w:rFonts w:asciiTheme="minorHAnsi" w:hAnsiTheme="minorHAnsi"/>
                <w:b w:val="0"/>
                <w:szCs w:val="22"/>
              </w:rPr>
              <w:t>(1 from previous shift and 1 from the next assigned shift).</w:t>
            </w:r>
          </w:p>
          <w:p w:rsidR="00776D07" w:rsidRPr="009172FE" w:rsidRDefault="00776D07" w:rsidP="00776D07">
            <w:pPr>
              <w:pStyle w:val="Heading5"/>
              <w:ind w:left="1440" w:hanging="1440"/>
              <w:rPr>
                <w:rFonts w:asciiTheme="minorHAnsi" w:hAnsiTheme="minorHAnsi"/>
                <w:b w:val="0"/>
                <w:szCs w:val="22"/>
              </w:rPr>
            </w:pPr>
            <w:r w:rsidRPr="009172FE">
              <w:rPr>
                <w:rFonts w:asciiTheme="minorHAnsi" w:hAnsiTheme="minorHAnsi"/>
                <w:b w:val="0"/>
                <w:szCs w:val="22"/>
              </w:rPr>
              <w:t xml:space="preserve"> Schedule for running of Quality Control by shift:</w:t>
            </w:r>
          </w:p>
          <w:p w:rsidR="00776D07" w:rsidRPr="009172FE" w:rsidRDefault="00776D07" w:rsidP="00776D07">
            <w:pPr>
              <w:rPr>
                <w:rFonts w:asciiTheme="minorHAnsi" w:hAnsiTheme="minorHAnsi"/>
                <w:sz w:val="22"/>
                <w:szCs w:val="22"/>
              </w:rPr>
            </w:pPr>
          </w:p>
          <w:p w:rsidR="00776D07" w:rsidRPr="009172FE" w:rsidRDefault="00776D07" w:rsidP="00776D07">
            <w:pPr>
              <w:ind w:left="-108"/>
              <w:rPr>
                <w:rFonts w:asciiTheme="minorHAnsi" w:hAnsiTheme="minorHAnsi"/>
                <w:b/>
                <w:sz w:val="22"/>
                <w:szCs w:val="22"/>
              </w:rPr>
            </w:pPr>
            <w:r w:rsidRPr="009172FE">
              <w:rPr>
                <w:rFonts w:asciiTheme="minorHAnsi" w:hAnsiTheme="minorHAnsi"/>
                <w:b/>
                <w:sz w:val="22"/>
                <w:szCs w:val="22"/>
              </w:rPr>
              <w:t xml:space="preserve"> Day Shift: JANUARY, APRIL, JULY, OCTOBER</w:t>
            </w:r>
          </w:p>
          <w:p w:rsidR="00776D07" w:rsidRPr="009172FE" w:rsidRDefault="00776D07" w:rsidP="00776D07">
            <w:pPr>
              <w:ind w:left="-18"/>
              <w:rPr>
                <w:rFonts w:asciiTheme="minorHAnsi" w:hAnsiTheme="minorHAnsi"/>
                <w:b/>
                <w:sz w:val="22"/>
                <w:szCs w:val="22"/>
              </w:rPr>
            </w:pPr>
            <w:r w:rsidRPr="009172FE">
              <w:rPr>
                <w:rFonts w:asciiTheme="minorHAnsi" w:hAnsiTheme="minorHAnsi"/>
                <w:b/>
                <w:sz w:val="22"/>
                <w:szCs w:val="22"/>
              </w:rPr>
              <w:t>PM Shift: FEB, MAY, AUGUST, NOVEMBER</w:t>
            </w:r>
          </w:p>
          <w:p w:rsidR="00776D07" w:rsidRPr="009172FE" w:rsidRDefault="00776D07" w:rsidP="00776D07">
            <w:pPr>
              <w:ind w:left="-18"/>
              <w:rPr>
                <w:rFonts w:asciiTheme="minorHAnsi" w:hAnsiTheme="minorHAnsi"/>
                <w:b/>
                <w:sz w:val="22"/>
                <w:szCs w:val="22"/>
              </w:rPr>
            </w:pPr>
            <w:r w:rsidRPr="009172FE">
              <w:rPr>
                <w:rFonts w:asciiTheme="minorHAnsi" w:hAnsiTheme="minorHAnsi"/>
                <w:b/>
                <w:sz w:val="22"/>
                <w:szCs w:val="22"/>
              </w:rPr>
              <w:t>GY Shift: MARCH, JUNE, SEPTEMBER, DECEMBER</w:t>
            </w:r>
          </w:p>
          <w:p w:rsidR="00A3670D" w:rsidRPr="009172FE" w:rsidRDefault="00A3670D" w:rsidP="008660FE">
            <w:pPr>
              <w:rPr>
                <w:rFonts w:asciiTheme="minorHAnsi" w:hAnsiTheme="minorHAnsi"/>
                <w:sz w:val="22"/>
                <w:szCs w:val="22"/>
              </w:rPr>
            </w:pPr>
          </w:p>
        </w:tc>
      </w:tr>
    </w:tbl>
    <w:p w:rsidR="009451A0" w:rsidRPr="009172FE" w:rsidRDefault="009451A0" w:rsidP="009451A0">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9451A0" w:rsidRPr="009172FE" w:rsidTr="00D32C36">
        <w:trPr>
          <w:cantSplit/>
        </w:trPr>
        <w:tc>
          <w:tcPr>
            <w:tcW w:w="1728" w:type="dxa"/>
          </w:tcPr>
          <w:p w:rsidR="009451A0" w:rsidRPr="009172FE" w:rsidRDefault="00086A2C" w:rsidP="00803536">
            <w:pPr>
              <w:pStyle w:val="Heading5"/>
              <w:rPr>
                <w:rFonts w:asciiTheme="minorHAnsi" w:hAnsiTheme="minorHAnsi"/>
                <w:szCs w:val="22"/>
              </w:rPr>
            </w:pPr>
            <w:r w:rsidRPr="009172FE">
              <w:rPr>
                <w:rFonts w:asciiTheme="minorHAnsi" w:hAnsiTheme="minorHAnsi"/>
                <w:szCs w:val="22"/>
              </w:rPr>
              <w:lastRenderedPageBreak/>
              <w:t>Workplace Safety</w:t>
            </w:r>
          </w:p>
        </w:tc>
        <w:tc>
          <w:tcPr>
            <w:tcW w:w="8010" w:type="dxa"/>
          </w:tcPr>
          <w:p w:rsidR="00086A2C" w:rsidRPr="009172FE" w:rsidRDefault="00086A2C" w:rsidP="00086A2C">
            <w:pPr>
              <w:pStyle w:val="BlockText"/>
              <w:tabs>
                <w:tab w:val="left" w:pos="162"/>
              </w:tabs>
              <w:jc w:val="both"/>
              <w:rPr>
                <w:rFonts w:asciiTheme="minorHAnsi" w:hAnsiTheme="minorHAnsi"/>
                <w:sz w:val="22"/>
                <w:szCs w:val="22"/>
              </w:rPr>
            </w:pPr>
            <w:r w:rsidRPr="009172FE">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standard precautions and safety practices in the laboratory;  see </w:t>
            </w:r>
            <w:r w:rsidRPr="009172FE">
              <w:rPr>
                <w:rFonts w:asciiTheme="minorHAnsi" w:hAnsiTheme="minorHAnsi"/>
                <w:b/>
                <w:sz w:val="22"/>
                <w:szCs w:val="22"/>
              </w:rPr>
              <w:t>Safety Practices</w:t>
            </w:r>
            <w:r w:rsidRPr="009172FE">
              <w:rPr>
                <w:rFonts w:asciiTheme="minorHAnsi" w:hAnsiTheme="minorHAnsi"/>
                <w:sz w:val="22"/>
                <w:szCs w:val="22"/>
              </w:rPr>
              <w:t>, specifically, but not limited to, equipment safety, proper body mechanics, sharps exposure and proper use of personal protective equipment (PPE).</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Universal Body Substance precautions, see </w:t>
            </w:r>
            <w:r w:rsidRPr="009172FE">
              <w:rPr>
                <w:rFonts w:asciiTheme="minorHAnsi" w:hAnsiTheme="minorHAnsi"/>
                <w:b/>
                <w:sz w:val="22"/>
                <w:szCs w:val="22"/>
              </w:rPr>
              <w:t>Universal Body Substance Precautions</w:t>
            </w:r>
            <w:r w:rsidRPr="009172FE">
              <w:rPr>
                <w:rFonts w:asciiTheme="minorHAnsi" w:hAnsiTheme="minorHAnsi"/>
                <w:sz w:val="22"/>
                <w:szCs w:val="22"/>
              </w:rPr>
              <w:t>, specifically, but not limited to, exposure to body fluids.</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proper hand-washing, see </w:t>
            </w:r>
            <w:r w:rsidRPr="009172FE">
              <w:rPr>
                <w:rFonts w:asciiTheme="minorHAnsi" w:hAnsiTheme="minorHAnsi"/>
                <w:b/>
                <w:sz w:val="22"/>
                <w:szCs w:val="22"/>
              </w:rPr>
              <w:t>Hand washing Policy</w:t>
            </w:r>
            <w:r w:rsidRPr="009172FE">
              <w:rPr>
                <w:rFonts w:asciiTheme="minorHAnsi" w:hAnsiTheme="minorHAnsi"/>
                <w:sz w:val="22"/>
                <w:szCs w:val="22"/>
              </w:rPr>
              <w:t>, specifically, not limited to, proper hand-washing.</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proper infection control, see </w:t>
            </w:r>
            <w:r w:rsidRPr="009172FE">
              <w:rPr>
                <w:rFonts w:asciiTheme="minorHAnsi" w:hAnsiTheme="minorHAnsi"/>
                <w:b/>
                <w:sz w:val="22"/>
                <w:szCs w:val="22"/>
              </w:rPr>
              <w:t>Infection Control</w:t>
            </w:r>
            <w:r w:rsidRPr="009172FE">
              <w:rPr>
                <w:rFonts w:asciiTheme="minorHAnsi" w:hAnsiTheme="minorHAnsi"/>
                <w:sz w:val="22"/>
                <w:szCs w:val="22"/>
              </w:rPr>
              <w:t>, specifically, but not limited to, proper use of gloves.</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proper handling of regular and infectious waste, see </w:t>
            </w:r>
            <w:r w:rsidRPr="009172FE">
              <w:rPr>
                <w:rFonts w:asciiTheme="minorHAnsi" w:hAnsiTheme="minorHAnsi"/>
                <w:b/>
                <w:sz w:val="22"/>
                <w:szCs w:val="22"/>
              </w:rPr>
              <w:t>Handling of Regular and Infectious Waste</w:t>
            </w:r>
            <w:r w:rsidRPr="009172FE">
              <w:rPr>
                <w:rFonts w:asciiTheme="minorHAnsi" w:hAnsiTheme="minorHAnsi"/>
                <w:sz w:val="22"/>
                <w:szCs w:val="22"/>
              </w:rPr>
              <w:t xml:space="preserve">, specifically, but not limited to, proper disposal of regular and </w:t>
            </w:r>
            <w:proofErr w:type="spellStart"/>
            <w:r w:rsidRPr="009172FE">
              <w:rPr>
                <w:rFonts w:asciiTheme="minorHAnsi" w:hAnsiTheme="minorHAnsi"/>
                <w:sz w:val="22"/>
                <w:szCs w:val="22"/>
              </w:rPr>
              <w:t>biohazardous</w:t>
            </w:r>
            <w:proofErr w:type="spellEnd"/>
            <w:r w:rsidRPr="009172FE">
              <w:rPr>
                <w:rFonts w:asciiTheme="minorHAnsi" w:hAnsiTheme="minorHAnsi"/>
                <w:sz w:val="22"/>
                <w:szCs w:val="22"/>
              </w:rPr>
              <w:t xml:space="preserve"> waste.</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 xml:space="preserve">For proper cleaning of work area, see </w:t>
            </w:r>
            <w:r w:rsidRPr="009172FE">
              <w:rPr>
                <w:rFonts w:asciiTheme="minorHAnsi" w:hAnsiTheme="minorHAnsi"/>
                <w:b/>
                <w:sz w:val="22"/>
                <w:szCs w:val="22"/>
              </w:rPr>
              <w:t>Cleaning Work Areas</w:t>
            </w:r>
            <w:r w:rsidRPr="009172FE">
              <w:rPr>
                <w:rFonts w:asciiTheme="minorHAnsi" w:hAnsiTheme="minorHAnsi"/>
                <w:sz w:val="22"/>
                <w:szCs w:val="22"/>
              </w:rPr>
              <w:t>.</w:t>
            </w:r>
          </w:p>
          <w:p w:rsidR="00086A2C" w:rsidRPr="009172FE" w:rsidRDefault="00086A2C" w:rsidP="00086A2C">
            <w:pPr>
              <w:pStyle w:val="BlockText"/>
              <w:numPr>
                <w:ilvl w:val="0"/>
                <w:numId w:val="25"/>
              </w:numPr>
              <w:ind w:left="523"/>
              <w:jc w:val="both"/>
              <w:rPr>
                <w:rFonts w:asciiTheme="minorHAnsi" w:hAnsiTheme="minorHAnsi"/>
                <w:sz w:val="22"/>
                <w:szCs w:val="22"/>
              </w:rPr>
            </w:pPr>
            <w:r w:rsidRPr="009172FE">
              <w:rPr>
                <w:rFonts w:asciiTheme="minorHAnsi" w:hAnsiTheme="minorHAnsi"/>
                <w:sz w:val="22"/>
                <w:szCs w:val="22"/>
              </w:rPr>
              <w:t>For proper handling of chemicals and reagents, see the Chemical Hygiene Plan.</w:t>
            </w:r>
          </w:p>
          <w:p w:rsidR="009451A0" w:rsidRPr="009172FE" w:rsidRDefault="00086A2C" w:rsidP="00086A2C">
            <w:pPr>
              <w:rPr>
                <w:rFonts w:asciiTheme="minorHAnsi" w:hAnsiTheme="minorHAnsi"/>
                <w:sz w:val="22"/>
                <w:szCs w:val="22"/>
              </w:rPr>
            </w:pPr>
            <w:r w:rsidRPr="009172FE">
              <w:rPr>
                <w:rFonts w:asciiTheme="minorHAnsi" w:hAnsiTheme="minorHAnsi"/>
                <w:sz w:val="22"/>
                <w:szCs w:val="22"/>
              </w:rPr>
              <w:t xml:space="preserve">For proper storage and disposal of chemical hazardous waste, see </w:t>
            </w:r>
            <w:r w:rsidRPr="009172FE">
              <w:rPr>
                <w:rFonts w:asciiTheme="minorHAnsi" w:hAnsiTheme="minorHAnsi"/>
                <w:b/>
                <w:sz w:val="22"/>
                <w:szCs w:val="22"/>
              </w:rPr>
              <w:t>Storage &amp; Disposal of Chemical Hazardous Waste</w:t>
            </w:r>
            <w:r w:rsidRPr="009172FE">
              <w:rPr>
                <w:rFonts w:asciiTheme="minorHAnsi" w:hAnsiTheme="minorHAnsi"/>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9172FE" w:rsidRDefault="009451A0" w:rsidP="00803536">
            <w:pPr>
              <w:rPr>
                <w:rFonts w:asciiTheme="minorHAnsi" w:hAnsiTheme="minorHAnsi"/>
                <w:sz w:val="22"/>
                <w:szCs w:val="22"/>
              </w:rPr>
            </w:pPr>
          </w:p>
        </w:tc>
      </w:tr>
    </w:tbl>
    <w:p w:rsidR="005A6EE9" w:rsidRPr="009172FE" w:rsidRDefault="005A6EE9" w:rsidP="008660FE">
      <w:pPr>
        <w:pStyle w:val="BlockLine"/>
        <w:ind w:left="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2520"/>
        <w:gridCol w:w="2700"/>
      </w:tblGrid>
      <w:tr w:rsidR="00776D07" w:rsidRPr="009172FE" w:rsidTr="005132AE">
        <w:tblPrEx>
          <w:tblCellMar>
            <w:top w:w="0" w:type="dxa"/>
            <w:bottom w:w="0" w:type="dxa"/>
          </w:tblCellMar>
        </w:tblPrEx>
        <w:trPr>
          <w:cantSplit/>
        </w:trPr>
        <w:tc>
          <w:tcPr>
            <w:tcW w:w="1728" w:type="dxa"/>
            <w:vMerge w:val="restart"/>
            <w:tcBorders>
              <w:top w:val="nil"/>
              <w:left w:val="nil"/>
              <w:bottom w:val="nil"/>
              <w:right w:val="single" w:sz="4" w:space="0" w:color="auto"/>
            </w:tcBorders>
          </w:tcPr>
          <w:p w:rsidR="00776D07" w:rsidRPr="009172FE" w:rsidRDefault="00776D07" w:rsidP="005132AE">
            <w:pPr>
              <w:pStyle w:val="Heading5"/>
              <w:rPr>
                <w:rFonts w:asciiTheme="minorHAnsi" w:hAnsiTheme="minorHAnsi"/>
                <w:szCs w:val="22"/>
              </w:rPr>
            </w:pPr>
            <w:r w:rsidRPr="009172FE">
              <w:rPr>
                <w:rFonts w:asciiTheme="minorHAnsi" w:hAnsiTheme="minorHAnsi"/>
                <w:szCs w:val="22"/>
              </w:rPr>
              <w:t xml:space="preserve">Reagents </w:t>
            </w: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jc w:val="center"/>
              <w:rPr>
                <w:rFonts w:asciiTheme="minorHAnsi" w:hAnsiTheme="minorHAnsi"/>
                <w:b/>
                <w:sz w:val="22"/>
                <w:szCs w:val="22"/>
              </w:rPr>
            </w:pPr>
            <w:r w:rsidRPr="009172FE">
              <w:rPr>
                <w:rFonts w:asciiTheme="minorHAnsi" w:hAnsiTheme="minorHAnsi"/>
                <w:b/>
                <w:sz w:val="22"/>
                <w:szCs w:val="22"/>
              </w:rPr>
              <w:t>Description</w:t>
            </w:r>
          </w:p>
        </w:tc>
        <w:tc>
          <w:tcPr>
            <w:tcW w:w="252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jc w:val="center"/>
              <w:rPr>
                <w:rFonts w:asciiTheme="minorHAnsi" w:hAnsiTheme="minorHAnsi"/>
                <w:b/>
                <w:sz w:val="22"/>
                <w:szCs w:val="22"/>
              </w:rPr>
            </w:pPr>
            <w:r w:rsidRPr="009172FE">
              <w:rPr>
                <w:rFonts w:asciiTheme="minorHAnsi" w:hAnsiTheme="minorHAnsi"/>
                <w:b/>
                <w:sz w:val="22"/>
                <w:szCs w:val="22"/>
              </w:rPr>
              <w:t>Vendor</w:t>
            </w: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jc w:val="center"/>
              <w:rPr>
                <w:rFonts w:asciiTheme="minorHAnsi" w:hAnsiTheme="minorHAnsi"/>
                <w:b/>
                <w:sz w:val="22"/>
                <w:szCs w:val="22"/>
              </w:rPr>
            </w:pPr>
            <w:r w:rsidRPr="009172FE">
              <w:rPr>
                <w:rFonts w:asciiTheme="minorHAnsi" w:hAnsiTheme="minorHAnsi"/>
                <w:b/>
                <w:sz w:val="22"/>
                <w:szCs w:val="22"/>
              </w:rPr>
              <w:t>Storage</w:t>
            </w:r>
          </w:p>
        </w:tc>
      </w:tr>
      <w:tr w:rsidR="00776D07" w:rsidRPr="009172FE" w:rsidTr="005132AE">
        <w:tblPrEx>
          <w:tblCellMar>
            <w:top w:w="0" w:type="dxa"/>
            <w:bottom w:w="0" w:type="dxa"/>
          </w:tblCellMar>
        </w:tblPrEx>
        <w:trPr>
          <w:cantSplit/>
          <w:trHeight w:val="278"/>
        </w:trPr>
        <w:tc>
          <w:tcPr>
            <w:tcW w:w="1728" w:type="dxa"/>
            <w:vMerge/>
            <w:tcBorders>
              <w:top w:val="nil"/>
              <w:left w:val="nil"/>
              <w:bottom w:val="nil"/>
              <w:right w:val="single" w:sz="4" w:space="0" w:color="auto"/>
            </w:tcBorders>
          </w:tcPr>
          <w:p w:rsidR="00776D07" w:rsidRPr="009172FE" w:rsidRDefault="00776D07" w:rsidP="005132AE">
            <w:pPr>
              <w:rPr>
                <w:rFonts w:asciiTheme="minorHAnsi" w:hAnsi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 Urine Chemistry Strips</w:t>
            </w:r>
          </w:p>
        </w:tc>
        <w:tc>
          <w:tcPr>
            <w:tcW w:w="252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r w:rsidRPr="009172FE">
              <w:rPr>
                <w:rFonts w:asciiTheme="minorHAnsi" w:hAnsiTheme="minorHAnsi"/>
                <w:sz w:val="22"/>
                <w:szCs w:val="22"/>
              </w:rPr>
              <w:t>Beckman Coulter</w:t>
            </w: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pStyle w:val="BlockText"/>
              <w:jc w:val="left"/>
              <w:rPr>
                <w:rFonts w:asciiTheme="minorHAnsi" w:hAnsiTheme="minorHAnsi"/>
                <w:sz w:val="22"/>
                <w:szCs w:val="22"/>
              </w:rPr>
            </w:pPr>
            <w:r w:rsidRPr="009172FE">
              <w:rPr>
                <w:rFonts w:asciiTheme="minorHAnsi" w:hAnsiTheme="minorHAnsi"/>
                <w:sz w:val="22"/>
                <w:szCs w:val="22"/>
              </w:rPr>
              <w:t>Room temperature</w:t>
            </w:r>
          </w:p>
        </w:tc>
      </w:tr>
      <w:tr w:rsidR="00776D07" w:rsidRPr="009172FE" w:rsidTr="005132AE">
        <w:tblPrEx>
          <w:tblCellMar>
            <w:top w:w="0" w:type="dxa"/>
            <w:bottom w:w="0" w:type="dxa"/>
          </w:tblCellMar>
        </w:tblPrEx>
        <w:trPr>
          <w:cantSplit/>
          <w:trHeight w:val="278"/>
        </w:trPr>
        <w:tc>
          <w:tcPr>
            <w:tcW w:w="1728" w:type="dxa"/>
            <w:tcBorders>
              <w:top w:val="nil"/>
              <w:left w:val="nil"/>
              <w:bottom w:val="nil"/>
              <w:right w:val="single" w:sz="4" w:space="0" w:color="auto"/>
            </w:tcBorders>
          </w:tcPr>
          <w:p w:rsidR="00776D07" w:rsidRPr="009172FE" w:rsidRDefault="00776D07" w:rsidP="005132AE">
            <w:pPr>
              <w:rPr>
                <w:rFonts w:asciiTheme="minorHAnsi" w:hAnsi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wash solution</w:t>
            </w:r>
          </w:p>
        </w:tc>
        <w:tc>
          <w:tcPr>
            <w:tcW w:w="252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r w:rsidRPr="009172FE">
              <w:rPr>
                <w:rFonts w:asciiTheme="minorHAnsi" w:hAnsiTheme="minorHAnsi"/>
                <w:sz w:val="22"/>
                <w:szCs w:val="22"/>
              </w:rPr>
              <w:t>Beckman Coulter</w:t>
            </w: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pStyle w:val="BlockText"/>
              <w:jc w:val="left"/>
              <w:rPr>
                <w:rFonts w:asciiTheme="minorHAnsi" w:hAnsiTheme="minorHAnsi"/>
                <w:sz w:val="22"/>
                <w:szCs w:val="22"/>
              </w:rPr>
            </w:pPr>
            <w:r w:rsidRPr="009172FE">
              <w:rPr>
                <w:rFonts w:asciiTheme="minorHAnsi" w:hAnsiTheme="minorHAnsi"/>
                <w:sz w:val="22"/>
                <w:szCs w:val="22"/>
              </w:rPr>
              <w:t>Room temperature</w:t>
            </w:r>
          </w:p>
        </w:tc>
      </w:tr>
      <w:tr w:rsidR="00776D07" w:rsidRPr="009172FE" w:rsidTr="005132AE">
        <w:tblPrEx>
          <w:tblCellMar>
            <w:top w:w="0" w:type="dxa"/>
            <w:bottom w:w="0" w:type="dxa"/>
          </w:tblCellMar>
        </w:tblPrEx>
        <w:trPr>
          <w:cantSplit/>
          <w:trHeight w:val="278"/>
        </w:trPr>
        <w:tc>
          <w:tcPr>
            <w:tcW w:w="1728" w:type="dxa"/>
            <w:tcBorders>
              <w:top w:val="nil"/>
              <w:left w:val="nil"/>
              <w:bottom w:val="nil"/>
              <w:right w:val="single" w:sz="4" w:space="0" w:color="auto"/>
            </w:tcBorders>
          </w:tcPr>
          <w:p w:rsidR="00776D07" w:rsidRPr="009172FE" w:rsidRDefault="00776D07" w:rsidP="005132AE">
            <w:pPr>
              <w:rPr>
                <w:rFonts w:asciiTheme="minorHAnsi" w:hAnsiTheme="minorHAnsi"/>
                <w:sz w:val="22"/>
                <w:szCs w:val="22"/>
              </w:rPr>
            </w:pP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proofErr w:type="spellStart"/>
            <w:r w:rsidRPr="009172FE">
              <w:rPr>
                <w:rFonts w:asciiTheme="minorHAnsi" w:hAnsiTheme="minorHAnsi"/>
                <w:sz w:val="22"/>
                <w:szCs w:val="22"/>
              </w:rPr>
              <w:t>IRISSpec</w:t>
            </w:r>
            <w:proofErr w:type="spellEnd"/>
            <w:r w:rsidRPr="009172FE">
              <w:rPr>
                <w:rFonts w:asciiTheme="minorHAnsi" w:hAnsiTheme="minorHAnsi"/>
                <w:sz w:val="22"/>
                <w:szCs w:val="22"/>
              </w:rPr>
              <w:t xml:space="preserve"> CA/CB/CC controls Ref  800-7702</w:t>
            </w:r>
          </w:p>
        </w:tc>
        <w:tc>
          <w:tcPr>
            <w:tcW w:w="252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rPr>
                <w:rFonts w:asciiTheme="minorHAnsi" w:hAnsiTheme="minorHAnsi"/>
                <w:sz w:val="22"/>
                <w:szCs w:val="22"/>
              </w:rPr>
            </w:pPr>
            <w:r w:rsidRPr="009172FE">
              <w:rPr>
                <w:rFonts w:asciiTheme="minorHAnsi" w:hAnsiTheme="minorHAnsi"/>
                <w:sz w:val="22"/>
                <w:szCs w:val="22"/>
              </w:rPr>
              <w:t>Beckman Coulter</w:t>
            </w:r>
          </w:p>
        </w:tc>
        <w:tc>
          <w:tcPr>
            <w:tcW w:w="2700" w:type="dxa"/>
            <w:tcBorders>
              <w:top w:val="single" w:sz="4" w:space="0" w:color="auto"/>
              <w:left w:val="single" w:sz="4" w:space="0" w:color="auto"/>
              <w:bottom w:val="single" w:sz="4" w:space="0" w:color="auto"/>
              <w:right w:val="single" w:sz="4" w:space="0" w:color="auto"/>
            </w:tcBorders>
          </w:tcPr>
          <w:p w:rsidR="00776D07" w:rsidRPr="009172FE" w:rsidRDefault="00776D07" w:rsidP="005132AE">
            <w:pPr>
              <w:pStyle w:val="BlockText"/>
              <w:jc w:val="left"/>
              <w:rPr>
                <w:rFonts w:asciiTheme="minorHAnsi" w:hAnsiTheme="minorHAnsi"/>
                <w:sz w:val="22"/>
                <w:szCs w:val="22"/>
              </w:rPr>
            </w:pPr>
            <w:r w:rsidRPr="009172FE">
              <w:rPr>
                <w:rFonts w:asciiTheme="minorHAnsi" w:hAnsiTheme="minorHAnsi"/>
                <w:sz w:val="22"/>
                <w:szCs w:val="22"/>
              </w:rPr>
              <w:t>Refrigerated</w:t>
            </w:r>
          </w:p>
        </w:tc>
      </w:tr>
    </w:tbl>
    <w:p w:rsidR="00C01CCA" w:rsidRPr="009172FE" w:rsidRDefault="00C01CCA" w:rsidP="00C01CCA">
      <w:pPr>
        <w:rPr>
          <w:rFonts w:asciiTheme="minorHAnsi" w:hAnsiTheme="minorHAnsi"/>
          <w:sz w:val="22"/>
          <w:szCs w:val="22"/>
        </w:rPr>
      </w:pPr>
    </w:p>
    <w:p w:rsidR="00776D07" w:rsidRPr="009172FE" w:rsidRDefault="00776D07" w:rsidP="00C01CCA">
      <w:pPr>
        <w:rPr>
          <w:rFonts w:asciiTheme="minorHAnsi" w:hAnsiTheme="minorHAnsi"/>
          <w:sz w:val="22"/>
          <w:szCs w:val="22"/>
        </w:rPr>
      </w:pPr>
    </w:p>
    <w:p w:rsidR="00776D07" w:rsidRPr="009172FE" w:rsidRDefault="00776D07" w:rsidP="00C01CCA">
      <w:pPr>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6545AA" w:rsidRPr="009172FE" w:rsidTr="005132AE">
        <w:trPr>
          <w:cantSplit/>
        </w:trPr>
        <w:tc>
          <w:tcPr>
            <w:tcW w:w="1728" w:type="dxa"/>
          </w:tcPr>
          <w:p w:rsidR="006545AA" w:rsidRPr="009172FE" w:rsidRDefault="00776D07" w:rsidP="005132AE">
            <w:pPr>
              <w:pStyle w:val="Heading5"/>
              <w:rPr>
                <w:rFonts w:asciiTheme="minorHAnsi" w:hAnsiTheme="minorHAnsi"/>
                <w:szCs w:val="22"/>
              </w:rPr>
            </w:pPr>
            <w:r w:rsidRPr="009172FE">
              <w:rPr>
                <w:rFonts w:asciiTheme="minorHAnsi" w:hAnsiTheme="minorHAnsi"/>
                <w:szCs w:val="22"/>
              </w:rPr>
              <w:t>Control Storage</w:t>
            </w:r>
          </w:p>
        </w:tc>
        <w:tc>
          <w:tcPr>
            <w:tcW w:w="8010" w:type="dxa"/>
          </w:tcPr>
          <w:p w:rsidR="00776D07" w:rsidRPr="009172FE" w:rsidRDefault="00776D07" w:rsidP="0067567A">
            <w:pPr>
              <w:pStyle w:val="ListParagraph"/>
              <w:numPr>
                <w:ilvl w:val="0"/>
                <w:numId w:val="41"/>
              </w:numPr>
              <w:rPr>
                <w:rFonts w:asciiTheme="minorHAnsi" w:hAnsiTheme="minorHAnsi"/>
                <w:sz w:val="22"/>
                <w:szCs w:val="22"/>
              </w:rPr>
            </w:pPr>
            <w:r w:rsidRPr="009172FE">
              <w:rPr>
                <w:rFonts w:asciiTheme="minorHAnsi" w:hAnsiTheme="minorHAnsi"/>
                <w:sz w:val="22"/>
                <w:szCs w:val="22"/>
              </w:rPr>
              <w:t>Controls are stored at 2 to 8°</w:t>
            </w:r>
          </w:p>
          <w:p w:rsidR="00776D07" w:rsidRPr="009172FE" w:rsidRDefault="00776D07" w:rsidP="00776D07">
            <w:pPr>
              <w:pStyle w:val="ListParagraph"/>
              <w:numPr>
                <w:ilvl w:val="0"/>
                <w:numId w:val="41"/>
              </w:numPr>
              <w:rPr>
                <w:rFonts w:asciiTheme="minorHAnsi" w:hAnsiTheme="minorHAnsi"/>
                <w:sz w:val="22"/>
                <w:szCs w:val="22"/>
              </w:rPr>
            </w:pPr>
            <w:r w:rsidRPr="009172FE">
              <w:rPr>
                <w:rFonts w:asciiTheme="minorHAnsi" w:hAnsiTheme="minorHAnsi"/>
                <w:sz w:val="22"/>
                <w:szCs w:val="22"/>
              </w:rPr>
              <w:t>Unopened controls are stable until expiration date listed on the bottle.</w:t>
            </w:r>
          </w:p>
          <w:p w:rsidR="006545AA" w:rsidRPr="009172FE" w:rsidRDefault="00776D07" w:rsidP="00776D07">
            <w:pPr>
              <w:pStyle w:val="ListParagraph"/>
              <w:numPr>
                <w:ilvl w:val="0"/>
                <w:numId w:val="41"/>
              </w:numPr>
              <w:rPr>
                <w:rFonts w:asciiTheme="minorHAnsi" w:hAnsiTheme="minorHAnsi"/>
                <w:sz w:val="22"/>
                <w:szCs w:val="22"/>
              </w:rPr>
            </w:pPr>
            <w:r w:rsidRPr="009172FE">
              <w:rPr>
                <w:rFonts w:asciiTheme="minorHAnsi" w:hAnsiTheme="minorHAnsi"/>
                <w:sz w:val="22"/>
                <w:szCs w:val="22"/>
              </w:rPr>
              <w:t>Open stability is up to 15 days</w:t>
            </w:r>
            <w:r w:rsidR="006545AA" w:rsidRPr="009172FE">
              <w:rPr>
                <w:rFonts w:asciiTheme="minorHAnsi" w:hAnsiTheme="minorHAnsi"/>
                <w:sz w:val="22"/>
                <w:szCs w:val="22"/>
              </w:rPr>
              <w:t xml:space="preserve"> </w:t>
            </w:r>
          </w:p>
        </w:tc>
      </w:tr>
    </w:tbl>
    <w:p w:rsidR="00C01CCA" w:rsidRPr="009172FE" w:rsidRDefault="00C01CCA" w:rsidP="00C01CCA">
      <w:pPr>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776D07" w:rsidRPr="009172FE" w:rsidTr="005132AE">
        <w:trPr>
          <w:cantSplit/>
        </w:trPr>
        <w:tc>
          <w:tcPr>
            <w:tcW w:w="1728" w:type="dxa"/>
          </w:tcPr>
          <w:p w:rsidR="00776D07" w:rsidRPr="009172FE" w:rsidRDefault="00776D07" w:rsidP="005132AE">
            <w:pPr>
              <w:pStyle w:val="Heading5"/>
              <w:rPr>
                <w:rFonts w:asciiTheme="minorHAnsi" w:hAnsiTheme="minorHAnsi"/>
                <w:szCs w:val="22"/>
              </w:rPr>
            </w:pPr>
            <w:r w:rsidRPr="009172FE">
              <w:rPr>
                <w:rFonts w:asciiTheme="minorHAnsi" w:hAnsiTheme="minorHAnsi"/>
                <w:szCs w:val="22"/>
              </w:rPr>
              <w:t>Materials and supplies</w:t>
            </w:r>
          </w:p>
        </w:tc>
        <w:tc>
          <w:tcPr>
            <w:tcW w:w="8010" w:type="dxa"/>
          </w:tcPr>
          <w:p w:rsidR="00776D07" w:rsidRPr="009172FE" w:rsidRDefault="00776D07" w:rsidP="005132AE">
            <w:pPr>
              <w:pStyle w:val="ListParagraph"/>
              <w:numPr>
                <w:ilvl w:val="0"/>
                <w:numId w:val="41"/>
              </w:numPr>
              <w:rPr>
                <w:rFonts w:asciiTheme="minorHAnsi" w:hAnsiTheme="minorHAnsi"/>
                <w:sz w:val="22"/>
                <w:szCs w:val="22"/>
              </w:rPr>
            </w:pPr>
            <w:r w:rsidRPr="009172FE">
              <w:rPr>
                <w:rFonts w:asciiTheme="minorHAnsi" w:hAnsiTheme="minorHAnsi"/>
                <w:sz w:val="22"/>
                <w:szCs w:val="22"/>
              </w:rPr>
              <w:t>Control Rack</w:t>
            </w:r>
          </w:p>
          <w:p w:rsidR="00776D07" w:rsidRPr="009172FE" w:rsidRDefault="00776D07" w:rsidP="005132AE">
            <w:pPr>
              <w:pStyle w:val="ListParagraph"/>
              <w:numPr>
                <w:ilvl w:val="0"/>
                <w:numId w:val="41"/>
              </w:numPr>
              <w:rPr>
                <w:rFonts w:asciiTheme="minorHAnsi" w:hAnsiTheme="minorHAnsi"/>
                <w:sz w:val="22"/>
                <w:szCs w:val="22"/>
              </w:rPr>
            </w:pPr>
            <w:r w:rsidRPr="009172FE">
              <w:rPr>
                <w:rFonts w:asciiTheme="minorHAnsi" w:hAnsiTheme="minorHAnsi"/>
                <w:sz w:val="22"/>
                <w:szCs w:val="22"/>
              </w:rPr>
              <w:t>Test tubes</w:t>
            </w:r>
            <w:r w:rsidRPr="009172FE">
              <w:rPr>
                <w:rFonts w:asciiTheme="minorHAnsi" w:hAnsiTheme="minorHAnsi"/>
                <w:sz w:val="22"/>
                <w:szCs w:val="22"/>
              </w:rPr>
              <w:t xml:space="preserve"> </w:t>
            </w:r>
          </w:p>
        </w:tc>
      </w:tr>
    </w:tbl>
    <w:p w:rsidR="00C01CCA" w:rsidRPr="009172FE" w:rsidRDefault="00C01CCA" w:rsidP="00C01CCA">
      <w:pPr>
        <w:rPr>
          <w:rFonts w:asciiTheme="minorHAnsi" w:hAnsiTheme="minorHAnsi"/>
          <w:sz w:val="22"/>
          <w:szCs w:val="22"/>
        </w:rPr>
      </w:pPr>
    </w:p>
    <w:p w:rsidR="00776D07" w:rsidRPr="009172FE" w:rsidRDefault="00776D07" w:rsidP="00C01CCA">
      <w:pPr>
        <w:rPr>
          <w:rFonts w:asciiTheme="minorHAnsi" w:hAnsiTheme="minorHAnsi"/>
          <w:sz w:val="22"/>
          <w:szCs w:val="22"/>
        </w:rPr>
      </w:pPr>
    </w:p>
    <w:tbl>
      <w:tblPr>
        <w:tblW w:w="0" w:type="auto"/>
        <w:tblLayout w:type="fixed"/>
        <w:tblLook w:val="0000" w:firstRow="0" w:lastRow="0" w:firstColumn="0" w:lastColumn="0" w:noHBand="0" w:noVBand="0"/>
      </w:tblPr>
      <w:tblGrid>
        <w:gridCol w:w="1548"/>
        <w:gridCol w:w="8280"/>
      </w:tblGrid>
      <w:tr w:rsidR="00776D07" w:rsidRPr="009172FE" w:rsidTr="005132AE">
        <w:tblPrEx>
          <w:tblCellMar>
            <w:top w:w="0" w:type="dxa"/>
            <w:bottom w:w="0" w:type="dxa"/>
          </w:tblCellMar>
        </w:tblPrEx>
        <w:tc>
          <w:tcPr>
            <w:tcW w:w="1548" w:type="dxa"/>
          </w:tcPr>
          <w:p w:rsidR="00776D07" w:rsidRPr="009172FE" w:rsidRDefault="00776D07" w:rsidP="005132AE">
            <w:pPr>
              <w:rPr>
                <w:rFonts w:asciiTheme="minorHAnsi" w:hAnsiTheme="minorHAnsi"/>
                <w:b/>
                <w:sz w:val="22"/>
                <w:szCs w:val="22"/>
              </w:rPr>
            </w:pPr>
            <w:r w:rsidRPr="009172FE">
              <w:rPr>
                <w:rFonts w:asciiTheme="minorHAnsi" w:hAnsiTheme="minorHAnsi"/>
                <w:b/>
                <w:sz w:val="22"/>
                <w:szCs w:val="22"/>
              </w:rPr>
              <w:lastRenderedPageBreak/>
              <w:t>Quality control</w:t>
            </w:r>
          </w:p>
          <w:p w:rsidR="00776D07" w:rsidRPr="009172FE" w:rsidRDefault="00776D07" w:rsidP="005132AE">
            <w:pPr>
              <w:rPr>
                <w:rFonts w:asciiTheme="minorHAnsi" w:hAnsiTheme="minorHAnsi"/>
                <w:b/>
                <w:sz w:val="22"/>
                <w:szCs w:val="22"/>
              </w:rPr>
            </w:pPr>
            <w:r w:rsidRPr="009172FE">
              <w:rPr>
                <w:rFonts w:asciiTheme="minorHAnsi" w:hAnsiTheme="minorHAnsi"/>
                <w:b/>
                <w:sz w:val="22"/>
                <w:szCs w:val="22"/>
              </w:rPr>
              <w:t>rejection</w:t>
            </w:r>
          </w:p>
        </w:tc>
        <w:tc>
          <w:tcPr>
            <w:tcW w:w="8280" w:type="dxa"/>
          </w:tcPr>
          <w:p w:rsidR="00776D07" w:rsidRPr="009172FE" w:rsidRDefault="00776D07" w:rsidP="00F46E5E">
            <w:pPr>
              <w:numPr>
                <w:ilvl w:val="0"/>
                <w:numId w:val="42"/>
              </w:numPr>
              <w:autoSpaceDE w:val="0"/>
              <w:autoSpaceDN w:val="0"/>
              <w:adjustRightInd w:val="0"/>
              <w:rPr>
                <w:rFonts w:asciiTheme="minorHAnsi" w:hAnsiTheme="minorHAnsi"/>
                <w:sz w:val="22"/>
                <w:szCs w:val="22"/>
              </w:rPr>
            </w:pPr>
            <w:r w:rsidRPr="009172FE">
              <w:rPr>
                <w:rFonts w:asciiTheme="minorHAnsi" w:hAnsiTheme="minorHAnsi"/>
                <w:sz w:val="22"/>
                <w:szCs w:val="22"/>
              </w:rPr>
              <w:t>If quality control fails.  Failure must be documented and the corrective action policies for failed QC must be followed. QC follows a pass/fail sy</w:t>
            </w:r>
            <w:r w:rsidRPr="009172FE">
              <w:rPr>
                <w:rFonts w:asciiTheme="minorHAnsi" w:hAnsiTheme="minorHAnsi"/>
                <w:sz w:val="22"/>
                <w:szCs w:val="22"/>
              </w:rPr>
              <w:t>stem meaning n</w:t>
            </w:r>
            <w:r w:rsidRPr="009172FE">
              <w:rPr>
                <w:rFonts w:asciiTheme="minorHAnsi" w:hAnsiTheme="minorHAnsi"/>
                <w:sz w:val="22"/>
                <w:szCs w:val="22"/>
              </w:rPr>
              <w:t xml:space="preserve">o patient results can be reported until </w:t>
            </w:r>
            <w:r w:rsidR="00F46E5E" w:rsidRPr="009172FE">
              <w:rPr>
                <w:rFonts w:asciiTheme="minorHAnsi" w:hAnsiTheme="minorHAnsi"/>
                <w:sz w:val="22"/>
                <w:szCs w:val="22"/>
              </w:rPr>
              <w:t xml:space="preserve">all </w:t>
            </w:r>
            <w:r w:rsidRPr="009172FE">
              <w:rPr>
                <w:rFonts w:asciiTheme="minorHAnsi" w:hAnsiTheme="minorHAnsi"/>
                <w:sz w:val="22"/>
                <w:szCs w:val="22"/>
              </w:rPr>
              <w:t xml:space="preserve">QC </w:t>
            </w:r>
            <w:r w:rsidR="00F46E5E" w:rsidRPr="009172FE">
              <w:rPr>
                <w:rFonts w:asciiTheme="minorHAnsi" w:hAnsiTheme="minorHAnsi"/>
                <w:sz w:val="22"/>
                <w:szCs w:val="22"/>
              </w:rPr>
              <w:t>levels are</w:t>
            </w:r>
            <w:r w:rsidRPr="009172FE">
              <w:rPr>
                <w:rFonts w:asciiTheme="minorHAnsi" w:hAnsiTheme="minorHAnsi"/>
                <w:sz w:val="22"/>
                <w:szCs w:val="22"/>
              </w:rPr>
              <w:t xml:space="preserve"> acceptable</w:t>
            </w:r>
            <w:r w:rsidRPr="009172FE">
              <w:rPr>
                <w:rFonts w:asciiTheme="minorHAnsi" w:hAnsiTheme="minorHAnsi"/>
                <w:sz w:val="22"/>
                <w:szCs w:val="22"/>
              </w:rPr>
              <w:t xml:space="preserve">. </w:t>
            </w:r>
          </w:p>
        </w:tc>
      </w:tr>
      <w:tr w:rsidR="00776D07" w:rsidRPr="009172FE" w:rsidTr="005132AE">
        <w:tblPrEx>
          <w:tblCellMar>
            <w:top w:w="0" w:type="dxa"/>
            <w:bottom w:w="0" w:type="dxa"/>
          </w:tblCellMar>
        </w:tblPrEx>
        <w:tc>
          <w:tcPr>
            <w:tcW w:w="1548" w:type="dxa"/>
          </w:tcPr>
          <w:p w:rsidR="00776D07" w:rsidRPr="009172FE" w:rsidRDefault="00776D07" w:rsidP="005132AE">
            <w:pPr>
              <w:rPr>
                <w:rFonts w:asciiTheme="minorHAnsi" w:hAnsiTheme="minorHAnsi"/>
                <w:b/>
                <w:sz w:val="22"/>
                <w:szCs w:val="22"/>
              </w:rPr>
            </w:pPr>
          </w:p>
        </w:tc>
        <w:tc>
          <w:tcPr>
            <w:tcW w:w="8280" w:type="dxa"/>
            <w:tcBorders>
              <w:bottom w:val="single" w:sz="4" w:space="0" w:color="auto"/>
            </w:tcBorders>
          </w:tcPr>
          <w:p w:rsidR="00776D07" w:rsidRPr="009172FE" w:rsidRDefault="00776D07" w:rsidP="005132AE">
            <w:pPr>
              <w:tabs>
                <w:tab w:val="left" w:pos="360"/>
              </w:tabs>
              <w:rPr>
                <w:rFonts w:asciiTheme="minorHAnsi" w:hAnsiTheme="minorHAnsi"/>
                <w:sz w:val="22"/>
                <w:szCs w:val="22"/>
              </w:rPr>
            </w:pPr>
          </w:p>
        </w:tc>
      </w:tr>
    </w:tbl>
    <w:p w:rsidR="00C01CCA" w:rsidRPr="009172FE" w:rsidRDefault="00C01CCA"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tbl>
      <w:tblPr>
        <w:tblW w:w="0" w:type="auto"/>
        <w:tblLayout w:type="fixed"/>
        <w:tblLook w:val="0000" w:firstRow="0" w:lastRow="0" w:firstColumn="0" w:lastColumn="0" w:noHBand="0" w:noVBand="0"/>
      </w:tblPr>
      <w:tblGrid>
        <w:gridCol w:w="1728"/>
        <w:gridCol w:w="7740"/>
      </w:tblGrid>
      <w:tr w:rsidR="006545AA" w:rsidRPr="009172FE" w:rsidTr="005132AE">
        <w:trPr>
          <w:cantSplit/>
        </w:trPr>
        <w:tc>
          <w:tcPr>
            <w:tcW w:w="1728" w:type="dxa"/>
          </w:tcPr>
          <w:p w:rsidR="006545AA" w:rsidRPr="009172FE" w:rsidRDefault="006545AA" w:rsidP="005132AE">
            <w:pPr>
              <w:pStyle w:val="Heading5"/>
              <w:rPr>
                <w:rFonts w:asciiTheme="minorHAnsi" w:hAnsiTheme="minorHAnsi"/>
                <w:szCs w:val="22"/>
              </w:rPr>
            </w:pPr>
            <w:r w:rsidRPr="009172FE">
              <w:rPr>
                <w:rFonts w:asciiTheme="minorHAnsi" w:hAnsiTheme="minorHAnsi"/>
                <w:szCs w:val="22"/>
              </w:rPr>
              <w:t>Carryover</w:t>
            </w:r>
          </w:p>
        </w:tc>
        <w:tc>
          <w:tcPr>
            <w:tcW w:w="7740" w:type="dxa"/>
          </w:tcPr>
          <w:p w:rsidR="006545AA" w:rsidRPr="009172FE" w:rsidRDefault="006545AA" w:rsidP="006545AA">
            <w:pPr>
              <w:rPr>
                <w:rFonts w:asciiTheme="minorHAnsi" w:hAnsiTheme="minorHAnsi"/>
                <w:sz w:val="22"/>
                <w:szCs w:val="22"/>
              </w:rPr>
            </w:pPr>
            <w:r w:rsidRPr="009172FE">
              <w:rPr>
                <w:rFonts w:asciiTheme="minorHAnsi" w:hAnsiTheme="minorHAnsi"/>
                <w:sz w:val="22"/>
                <w:szCs w:val="22"/>
              </w:rPr>
              <w:t>Carryover is assessed not only by FSE but also on daily basis by</w:t>
            </w:r>
            <w:r w:rsidR="00FF62B3" w:rsidRPr="009172FE">
              <w:rPr>
                <w:rFonts w:asciiTheme="minorHAnsi" w:hAnsiTheme="minorHAnsi"/>
                <w:sz w:val="22"/>
                <w:szCs w:val="22"/>
              </w:rPr>
              <w:t xml:space="preserve"> performing QC on instrument.</w:t>
            </w:r>
          </w:p>
          <w:p w:rsidR="006545AA" w:rsidRPr="009172FE" w:rsidRDefault="006545AA" w:rsidP="006545AA">
            <w:pPr>
              <w:rPr>
                <w:rFonts w:asciiTheme="minorHAnsi" w:hAnsiTheme="minorHAnsi"/>
                <w:sz w:val="22"/>
                <w:szCs w:val="22"/>
              </w:rPr>
            </w:pPr>
          </w:p>
          <w:p w:rsidR="006545AA" w:rsidRPr="009172FE" w:rsidRDefault="006545AA" w:rsidP="006545AA">
            <w:pPr>
              <w:pStyle w:val="BlockText"/>
              <w:jc w:val="left"/>
              <w:rPr>
                <w:rFonts w:asciiTheme="minorHAnsi" w:hAnsiTheme="minorHAnsi"/>
                <w:sz w:val="22"/>
                <w:szCs w:val="22"/>
              </w:rPr>
            </w:pPr>
          </w:p>
        </w:tc>
      </w:tr>
      <w:tr w:rsidR="009172FE" w:rsidRPr="00E32435" w:rsidTr="009172FE">
        <w:trPr>
          <w:cantSplit/>
        </w:trPr>
        <w:tc>
          <w:tcPr>
            <w:tcW w:w="1728" w:type="dxa"/>
          </w:tcPr>
          <w:p w:rsidR="009172FE" w:rsidRPr="009172FE" w:rsidRDefault="009172FE" w:rsidP="005132AE">
            <w:pPr>
              <w:pStyle w:val="Heading5"/>
              <w:rPr>
                <w:rFonts w:asciiTheme="minorHAnsi" w:hAnsiTheme="minorHAnsi"/>
                <w:szCs w:val="22"/>
              </w:rPr>
            </w:pPr>
            <w:r w:rsidRPr="009172FE">
              <w:rPr>
                <w:rFonts w:asciiTheme="minorHAnsi" w:hAnsiTheme="minorHAnsi"/>
                <w:szCs w:val="22"/>
              </w:rPr>
              <w:t xml:space="preserve">Definitions </w:t>
            </w:r>
          </w:p>
        </w:tc>
        <w:tc>
          <w:tcPr>
            <w:tcW w:w="7740" w:type="dxa"/>
          </w:tcPr>
          <w:p w:rsidR="009172FE" w:rsidRPr="009172FE" w:rsidRDefault="009172FE" w:rsidP="005132AE">
            <w:pPr>
              <w:rPr>
                <w:rFonts w:asciiTheme="minorHAnsi" w:hAnsiTheme="minorHAnsi"/>
                <w:sz w:val="22"/>
                <w:szCs w:val="22"/>
              </w:rPr>
            </w:pP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 utilizes wavelength reflectance and refractive index.</w:t>
            </w:r>
          </w:p>
        </w:tc>
      </w:tr>
    </w:tbl>
    <w:p w:rsidR="006545AA" w:rsidRDefault="006545AA" w:rsidP="00C01CCA">
      <w:pPr>
        <w:rPr>
          <w:rFonts w:asciiTheme="minorHAnsi" w:hAnsiTheme="minorHAnsi"/>
          <w:sz w:val="22"/>
          <w:szCs w:val="22"/>
        </w:rPr>
      </w:pPr>
    </w:p>
    <w:p w:rsidR="009172FE" w:rsidRDefault="009172FE" w:rsidP="00C01CCA">
      <w:pPr>
        <w:rPr>
          <w:rFonts w:asciiTheme="minorHAnsi" w:hAnsiTheme="minorHAnsi"/>
          <w:sz w:val="22"/>
          <w:szCs w:val="22"/>
        </w:rPr>
      </w:pPr>
    </w:p>
    <w:tbl>
      <w:tblPr>
        <w:tblW w:w="0" w:type="auto"/>
        <w:tblLayout w:type="fixed"/>
        <w:tblLook w:val="0000" w:firstRow="0" w:lastRow="0" w:firstColumn="0" w:lastColumn="0" w:noHBand="0" w:noVBand="0"/>
      </w:tblPr>
      <w:tblGrid>
        <w:gridCol w:w="1548"/>
        <w:gridCol w:w="1080"/>
        <w:gridCol w:w="7110"/>
        <w:gridCol w:w="90"/>
      </w:tblGrid>
      <w:tr w:rsidR="009172FE" w:rsidTr="005132AE">
        <w:tblPrEx>
          <w:tblCellMar>
            <w:top w:w="0" w:type="dxa"/>
            <w:bottom w:w="0" w:type="dxa"/>
          </w:tblCellMar>
        </w:tblPrEx>
        <w:tc>
          <w:tcPr>
            <w:tcW w:w="1548" w:type="dxa"/>
          </w:tcPr>
          <w:p w:rsidR="009172FE" w:rsidRDefault="009172FE" w:rsidP="005132AE">
            <w:pPr>
              <w:rPr>
                <w:b/>
              </w:rPr>
            </w:pPr>
          </w:p>
        </w:tc>
        <w:tc>
          <w:tcPr>
            <w:tcW w:w="8280" w:type="dxa"/>
            <w:gridSpan w:val="3"/>
            <w:tcBorders>
              <w:bottom w:val="single" w:sz="4" w:space="0" w:color="auto"/>
            </w:tcBorders>
          </w:tcPr>
          <w:p w:rsidR="009172FE" w:rsidRDefault="009172FE" w:rsidP="005132AE">
            <w:pPr>
              <w:tabs>
                <w:tab w:val="left" w:pos="360"/>
              </w:tabs>
            </w:pP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hideMark/>
          </w:tcPr>
          <w:p w:rsidR="009172FE" w:rsidRDefault="009172FE" w:rsidP="005132AE">
            <w:pPr>
              <w:pStyle w:val="Heading5"/>
            </w:pPr>
            <w:r w:rsidRPr="001E1F36">
              <w:t>Procedure</w:t>
            </w:r>
            <w:r>
              <w:rPr>
                <w:b w:val="0"/>
              </w:rPr>
              <w:t>:</w:t>
            </w:r>
          </w:p>
        </w:tc>
        <w:tc>
          <w:tcPr>
            <w:tcW w:w="8190" w:type="dxa"/>
            <w:gridSpan w:val="2"/>
            <w:hideMark/>
          </w:tcPr>
          <w:p w:rsidR="009172FE" w:rsidRDefault="009172FE" w:rsidP="005132AE">
            <w:pPr>
              <w:pStyle w:val="BulletText1"/>
              <w:numPr>
                <w:ilvl w:val="0"/>
                <w:numId w:val="0"/>
              </w:numPr>
              <w:tabs>
                <w:tab w:val="num" w:pos="720"/>
              </w:tabs>
            </w:pPr>
            <w:r>
              <w:t>Follow instructions below for performing QC</w:t>
            </w:r>
          </w:p>
          <w:p w:rsidR="009172FE" w:rsidRDefault="009172FE" w:rsidP="005132AE">
            <w:pPr>
              <w:pStyle w:val="BulletText1"/>
              <w:numPr>
                <w:ilvl w:val="0"/>
                <w:numId w:val="0"/>
              </w:numPr>
              <w:tabs>
                <w:tab w:val="num" w:pos="720"/>
              </w:tabs>
            </w:pPr>
          </w:p>
          <w:p w:rsidR="009172FE" w:rsidRDefault="009172FE" w:rsidP="005132AE">
            <w:pPr>
              <w:pStyle w:val="BulletText1"/>
              <w:numPr>
                <w:ilvl w:val="0"/>
                <w:numId w:val="0"/>
              </w:numPr>
              <w:tabs>
                <w:tab w:val="num" w:pos="720"/>
              </w:tabs>
            </w:pP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Pr>
          <w:p w:rsidR="009172FE" w:rsidRDefault="009172FE" w:rsidP="005132AE">
            <w:pPr>
              <w:pStyle w:val="Heading5"/>
            </w:pPr>
          </w:p>
        </w:tc>
        <w:tc>
          <w:tcPr>
            <w:tcW w:w="1080" w:type="dxa"/>
            <w:tcBorders>
              <w:top w:val="nil"/>
              <w:left w:val="nil"/>
              <w:bottom w:val="single" w:sz="4" w:space="0" w:color="auto"/>
              <w:right w:val="nil"/>
            </w:tcBorders>
          </w:tcPr>
          <w:p w:rsidR="009172FE" w:rsidRDefault="009172FE" w:rsidP="005132AE">
            <w:pPr>
              <w:tabs>
                <w:tab w:val="left" w:pos="360"/>
              </w:tabs>
              <w:jc w:val="center"/>
              <w:rPr>
                <w:b/>
              </w:rPr>
            </w:pPr>
          </w:p>
        </w:tc>
        <w:tc>
          <w:tcPr>
            <w:tcW w:w="7110" w:type="dxa"/>
          </w:tcPr>
          <w:p w:rsidR="009172FE" w:rsidRDefault="009172FE" w:rsidP="005132AE">
            <w:pPr>
              <w:tabs>
                <w:tab w:val="left" w:pos="360"/>
              </w:tabs>
              <w:jc w:val="center"/>
              <w:rPr>
                <w:b/>
              </w:rPr>
            </w:pP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vMerge w:val="restart"/>
            <w:tcBorders>
              <w:top w:val="nil"/>
              <w:left w:val="nil"/>
              <w:bottom w:val="nil"/>
              <w:right w:val="single" w:sz="4" w:space="0" w:color="auto"/>
            </w:tcBorders>
          </w:tcPr>
          <w:p w:rsidR="009172FE" w:rsidRDefault="009172FE" w:rsidP="005132AE">
            <w:pPr>
              <w:pStyle w:val="Heading5"/>
            </w:pPr>
          </w:p>
        </w:tc>
        <w:tc>
          <w:tcPr>
            <w:tcW w:w="1080" w:type="dxa"/>
            <w:tcBorders>
              <w:top w:val="nil"/>
              <w:left w:val="single" w:sz="4" w:space="0" w:color="auto"/>
              <w:bottom w:val="single" w:sz="4" w:space="0" w:color="auto"/>
              <w:right w:val="single" w:sz="4" w:space="0" w:color="auto"/>
            </w:tcBorders>
            <w:hideMark/>
          </w:tcPr>
          <w:p w:rsidR="009172FE" w:rsidRDefault="009172FE" w:rsidP="005132AE">
            <w:pPr>
              <w:tabs>
                <w:tab w:val="left" w:pos="360"/>
              </w:tabs>
              <w:jc w:val="center"/>
              <w:rPr>
                <w:b/>
              </w:rPr>
            </w:pPr>
            <w:r>
              <w:rPr>
                <w:b/>
              </w:rPr>
              <w:t>Step</w:t>
            </w:r>
          </w:p>
        </w:tc>
        <w:tc>
          <w:tcPr>
            <w:tcW w:w="711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rPr>
                <w:b/>
              </w:rPr>
            </w:pPr>
            <w:r>
              <w:rPr>
                <w:b/>
              </w:rPr>
              <w:t>Action</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vMerge/>
            <w:tcBorders>
              <w:top w:val="nil"/>
              <w:left w:val="nil"/>
              <w:bottom w:val="nil"/>
              <w:right w:val="single" w:sz="4" w:space="0" w:color="auto"/>
            </w:tcBorders>
            <w:vAlign w:val="center"/>
            <w:hideMark/>
          </w:tcPr>
          <w:p w:rsidR="009172FE" w:rsidRDefault="009172FE" w:rsidP="005132AE">
            <w:pPr>
              <w:rPr>
                <w:b/>
                <w:sz w:val="22"/>
              </w:rPr>
            </w:pPr>
          </w:p>
        </w:tc>
        <w:tc>
          <w:tcPr>
            <w:tcW w:w="108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pPr>
            <w:r>
              <w:t>1</w:t>
            </w: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TableText"/>
            </w:pPr>
            <w:r>
              <w:t>Make sure that there are enough test strips in the test strip provider</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vMerge/>
            <w:tcBorders>
              <w:top w:val="nil"/>
              <w:left w:val="nil"/>
              <w:bottom w:val="nil"/>
              <w:right w:val="single" w:sz="4" w:space="0" w:color="auto"/>
            </w:tcBorders>
            <w:vAlign w:val="center"/>
            <w:hideMark/>
          </w:tcPr>
          <w:p w:rsidR="009172FE" w:rsidRDefault="009172FE" w:rsidP="005132AE">
            <w:pPr>
              <w:rPr>
                <w:b/>
                <w:sz w:val="22"/>
              </w:rPr>
            </w:pPr>
          </w:p>
        </w:tc>
        <w:tc>
          <w:tcPr>
            <w:tcW w:w="108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pPr>
            <w:r>
              <w:t>2</w:t>
            </w: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BulletText1"/>
              <w:numPr>
                <w:ilvl w:val="0"/>
                <w:numId w:val="0"/>
              </w:numPr>
            </w:pPr>
            <w:r>
              <w:t>Prepare control tubes according to the directions on the package insert.</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Borders>
              <w:top w:val="nil"/>
              <w:left w:val="nil"/>
              <w:bottom w:val="nil"/>
              <w:right w:val="single" w:sz="4" w:space="0" w:color="auto"/>
            </w:tcBorders>
          </w:tcPr>
          <w:p w:rsidR="009172FE" w:rsidRDefault="009172FE" w:rsidP="005132AE">
            <w:pPr>
              <w:rPr>
                <w:b/>
              </w:rPr>
            </w:pPr>
          </w:p>
        </w:tc>
        <w:tc>
          <w:tcPr>
            <w:tcW w:w="108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pPr>
            <w:r>
              <w:t>3</w:t>
            </w:r>
          </w:p>
        </w:tc>
        <w:tc>
          <w:tcPr>
            <w:tcW w:w="7110" w:type="dxa"/>
            <w:tcBorders>
              <w:top w:val="single" w:sz="4" w:space="0" w:color="auto"/>
              <w:left w:val="single" w:sz="4" w:space="0" w:color="auto"/>
              <w:bottom w:val="single" w:sz="4" w:space="0" w:color="auto"/>
              <w:right w:val="single" w:sz="4" w:space="0" w:color="auto"/>
            </w:tcBorders>
          </w:tcPr>
          <w:p w:rsidR="009172FE" w:rsidRPr="000C6256" w:rsidRDefault="009172FE" w:rsidP="005132AE">
            <w:r w:rsidRPr="000C6256">
              <w:t>Place the controls in the following positions onto the Control Rack: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47"/>
              <w:gridCol w:w="997"/>
              <w:gridCol w:w="997"/>
              <w:gridCol w:w="1119"/>
              <w:gridCol w:w="876"/>
            </w:tblGrid>
            <w:tr w:rsidR="009172FE" w:rsidRPr="000C6256" w:rsidTr="005132AE">
              <w:tc>
                <w:tcPr>
                  <w:tcW w:w="1147" w:type="dxa"/>
                </w:tcPr>
                <w:p w:rsidR="009172FE" w:rsidRPr="000C6256" w:rsidRDefault="009172FE" w:rsidP="005132AE">
                  <w:pPr>
                    <w:rPr>
                      <w:sz w:val="18"/>
                      <w:szCs w:val="18"/>
                    </w:rPr>
                  </w:pPr>
                  <w:r w:rsidRPr="000C6256">
                    <w:rPr>
                      <w:sz w:val="18"/>
                      <w:szCs w:val="18"/>
                    </w:rPr>
                    <w:t>Position</w:t>
                  </w:r>
                </w:p>
              </w:tc>
              <w:tc>
                <w:tcPr>
                  <w:tcW w:w="847" w:type="dxa"/>
                </w:tcPr>
                <w:p w:rsidR="009172FE" w:rsidRPr="000C6256" w:rsidRDefault="009172FE" w:rsidP="005132AE">
                  <w:pPr>
                    <w:rPr>
                      <w:sz w:val="18"/>
                      <w:szCs w:val="18"/>
                    </w:rPr>
                  </w:pPr>
                  <w:r w:rsidRPr="000C6256">
                    <w:rPr>
                      <w:sz w:val="18"/>
                      <w:szCs w:val="18"/>
                    </w:rPr>
                    <w:t>Insert color</w:t>
                  </w:r>
                </w:p>
              </w:tc>
              <w:tc>
                <w:tcPr>
                  <w:tcW w:w="997" w:type="dxa"/>
                </w:tcPr>
                <w:p w:rsidR="009172FE" w:rsidRPr="000C6256" w:rsidRDefault="009172FE" w:rsidP="005132AE">
                  <w:pPr>
                    <w:rPr>
                      <w:sz w:val="18"/>
                      <w:szCs w:val="18"/>
                    </w:rPr>
                  </w:pPr>
                  <w:r w:rsidRPr="000C6256">
                    <w:rPr>
                      <w:sz w:val="18"/>
                      <w:szCs w:val="18"/>
                    </w:rPr>
                    <w:t>Volume</w:t>
                  </w:r>
                </w:p>
              </w:tc>
              <w:tc>
                <w:tcPr>
                  <w:tcW w:w="997" w:type="dxa"/>
                </w:tcPr>
                <w:p w:rsidR="009172FE" w:rsidRPr="000C6256" w:rsidRDefault="009172FE" w:rsidP="005132AE">
                  <w:pPr>
                    <w:rPr>
                      <w:sz w:val="18"/>
                      <w:szCs w:val="18"/>
                    </w:rPr>
                  </w:pPr>
                  <w:r w:rsidRPr="000C6256">
                    <w:rPr>
                      <w:sz w:val="18"/>
                      <w:szCs w:val="18"/>
                    </w:rPr>
                    <w:t>Contents</w:t>
                  </w:r>
                </w:p>
              </w:tc>
              <w:tc>
                <w:tcPr>
                  <w:tcW w:w="1119" w:type="dxa"/>
                </w:tcPr>
                <w:p w:rsidR="009172FE" w:rsidRPr="000C6256" w:rsidRDefault="009172FE" w:rsidP="005132AE">
                  <w:pPr>
                    <w:rPr>
                      <w:sz w:val="18"/>
                      <w:szCs w:val="18"/>
                    </w:rPr>
                  </w:pPr>
                  <w:r w:rsidRPr="000C6256">
                    <w:rPr>
                      <w:sz w:val="18"/>
                      <w:szCs w:val="18"/>
                    </w:rPr>
                    <w:t>Function</w:t>
                  </w:r>
                </w:p>
              </w:tc>
              <w:tc>
                <w:tcPr>
                  <w:tcW w:w="876" w:type="dxa"/>
                </w:tcPr>
                <w:p w:rsidR="009172FE" w:rsidRPr="000C6256" w:rsidRDefault="009172FE" w:rsidP="005132AE">
                  <w:pPr>
                    <w:rPr>
                      <w:sz w:val="18"/>
                      <w:szCs w:val="18"/>
                    </w:rPr>
                  </w:pPr>
                  <w:r w:rsidRPr="000C6256">
                    <w:rPr>
                      <w:sz w:val="18"/>
                      <w:szCs w:val="18"/>
                    </w:rPr>
                    <w:t>Barcode</w:t>
                  </w:r>
                </w:p>
              </w:tc>
            </w:tr>
            <w:tr w:rsidR="009172FE" w:rsidRPr="000C6256" w:rsidTr="005132AE">
              <w:tc>
                <w:tcPr>
                  <w:tcW w:w="1147" w:type="dxa"/>
                </w:tcPr>
                <w:p w:rsidR="009172FE" w:rsidRPr="000C6256" w:rsidRDefault="009172FE" w:rsidP="005132AE">
                  <w:pPr>
                    <w:rPr>
                      <w:sz w:val="20"/>
                    </w:rPr>
                  </w:pPr>
                  <w:r w:rsidRPr="000C6256">
                    <w:rPr>
                      <w:sz w:val="20"/>
                    </w:rPr>
                    <w:t>5</w:t>
                  </w:r>
                </w:p>
              </w:tc>
              <w:tc>
                <w:tcPr>
                  <w:tcW w:w="847" w:type="dxa"/>
                </w:tcPr>
                <w:p w:rsidR="009172FE" w:rsidRPr="000C6256" w:rsidRDefault="009172FE" w:rsidP="005132AE">
                  <w:pPr>
                    <w:rPr>
                      <w:sz w:val="20"/>
                    </w:rPr>
                  </w:pPr>
                  <w:r w:rsidRPr="000C6256">
                    <w:rPr>
                      <w:sz w:val="20"/>
                    </w:rPr>
                    <w:t>Blue</w:t>
                  </w:r>
                </w:p>
              </w:tc>
              <w:tc>
                <w:tcPr>
                  <w:tcW w:w="997" w:type="dxa"/>
                </w:tcPr>
                <w:p w:rsidR="009172FE" w:rsidRPr="000C6256" w:rsidRDefault="009172FE" w:rsidP="005132AE">
                  <w:pPr>
                    <w:rPr>
                      <w:sz w:val="20"/>
                    </w:rPr>
                  </w:pPr>
                  <w:r w:rsidRPr="000C6256">
                    <w:rPr>
                      <w:sz w:val="20"/>
                    </w:rPr>
                    <w:t>3 ml</w:t>
                  </w:r>
                </w:p>
              </w:tc>
              <w:tc>
                <w:tcPr>
                  <w:tcW w:w="997" w:type="dxa"/>
                </w:tcPr>
                <w:p w:rsidR="009172FE" w:rsidRPr="000C6256" w:rsidRDefault="009172FE" w:rsidP="005132AE">
                  <w:pPr>
                    <w:rPr>
                      <w:sz w:val="16"/>
                      <w:szCs w:val="16"/>
                    </w:rPr>
                  </w:pPr>
                  <w:r w:rsidRPr="000C6256">
                    <w:rPr>
                      <w:sz w:val="16"/>
                      <w:szCs w:val="16"/>
                    </w:rPr>
                    <w:t>CA control</w:t>
                  </w:r>
                </w:p>
              </w:tc>
              <w:tc>
                <w:tcPr>
                  <w:tcW w:w="1119" w:type="dxa"/>
                </w:tcPr>
                <w:p w:rsidR="009172FE" w:rsidRPr="000C6256" w:rsidRDefault="009172FE" w:rsidP="005132AE">
                  <w:pPr>
                    <w:rPr>
                      <w:sz w:val="18"/>
                      <w:szCs w:val="18"/>
                    </w:rPr>
                  </w:pPr>
                  <w:r w:rsidRPr="000C6256">
                    <w:rPr>
                      <w:sz w:val="18"/>
                      <w:szCs w:val="18"/>
                    </w:rPr>
                    <w:t>Primary control</w:t>
                  </w:r>
                </w:p>
              </w:tc>
              <w:tc>
                <w:tcPr>
                  <w:tcW w:w="876" w:type="dxa"/>
                </w:tcPr>
                <w:p w:rsidR="009172FE" w:rsidRPr="000C6256" w:rsidRDefault="009172FE" w:rsidP="005132AE">
                  <w:pPr>
                    <w:rPr>
                      <w:sz w:val="20"/>
                    </w:rPr>
                  </w:pPr>
                  <w:r w:rsidRPr="000C6256">
                    <w:rPr>
                      <w:sz w:val="20"/>
                    </w:rPr>
                    <w:t>No</w:t>
                  </w:r>
                </w:p>
              </w:tc>
            </w:tr>
            <w:tr w:rsidR="009172FE" w:rsidRPr="000C6256" w:rsidTr="005132AE">
              <w:tc>
                <w:tcPr>
                  <w:tcW w:w="1147" w:type="dxa"/>
                </w:tcPr>
                <w:p w:rsidR="009172FE" w:rsidRPr="000C6256" w:rsidRDefault="009172FE" w:rsidP="005132AE">
                  <w:pPr>
                    <w:rPr>
                      <w:sz w:val="20"/>
                    </w:rPr>
                  </w:pPr>
                  <w:r w:rsidRPr="000C6256">
                    <w:rPr>
                      <w:sz w:val="20"/>
                    </w:rPr>
                    <w:t>6</w:t>
                  </w:r>
                </w:p>
              </w:tc>
              <w:tc>
                <w:tcPr>
                  <w:tcW w:w="847" w:type="dxa"/>
                </w:tcPr>
                <w:p w:rsidR="009172FE" w:rsidRPr="000C6256" w:rsidRDefault="009172FE" w:rsidP="005132AE">
                  <w:pPr>
                    <w:rPr>
                      <w:sz w:val="20"/>
                    </w:rPr>
                  </w:pPr>
                  <w:r w:rsidRPr="000C6256">
                    <w:rPr>
                      <w:sz w:val="20"/>
                    </w:rPr>
                    <w:t>Green</w:t>
                  </w:r>
                </w:p>
              </w:tc>
              <w:tc>
                <w:tcPr>
                  <w:tcW w:w="997" w:type="dxa"/>
                </w:tcPr>
                <w:p w:rsidR="009172FE" w:rsidRPr="000C6256" w:rsidRDefault="009172FE" w:rsidP="005132AE">
                  <w:pPr>
                    <w:rPr>
                      <w:sz w:val="20"/>
                    </w:rPr>
                  </w:pPr>
                  <w:r w:rsidRPr="000C6256">
                    <w:rPr>
                      <w:sz w:val="20"/>
                    </w:rPr>
                    <w:t>3ml</w:t>
                  </w:r>
                </w:p>
              </w:tc>
              <w:tc>
                <w:tcPr>
                  <w:tcW w:w="997" w:type="dxa"/>
                </w:tcPr>
                <w:p w:rsidR="009172FE" w:rsidRPr="000C6256" w:rsidRDefault="009172FE" w:rsidP="005132AE">
                  <w:pPr>
                    <w:rPr>
                      <w:sz w:val="16"/>
                      <w:szCs w:val="16"/>
                    </w:rPr>
                  </w:pPr>
                  <w:r w:rsidRPr="000C6256">
                    <w:rPr>
                      <w:sz w:val="16"/>
                      <w:szCs w:val="16"/>
                    </w:rPr>
                    <w:t>CB control</w:t>
                  </w:r>
                </w:p>
              </w:tc>
              <w:tc>
                <w:tcPr>
                  <w:tcW w:w="1119" w:type="dxa"/>
                </w:tcPr>
                <w:p w:rsidR="009172FE" w:rsidRPr="000C6256" w:rsidRDefault="009172FE" w:rsidP="005132AE">
                  <w:pPr>
                    <w:rPr>
                      <w:sz w:val="18"/>
                      <w:szCs w:val="18"/>
                    </w:rPr>
                  </w:pPr>
                  <w:r w:rsidRPr="000C6256">
                    <w:rPr>
                      <w:sz w:val="18"/>
                      <w:szCs w:val="18"/>
                    </w:rPr>
                    <w:t>Primary control</w:t>
                  </w:r>
                </w:p>
              </w:tc>
              <w:tc>
                <w:tcPr>
                  <w:tcW w:w="876" w:type="dxa"/>
                </w:tcPr>
                <w:p w:rsidR="009172FE" w:rsidRPr="000C6256" w:rsidRDefault="009172FE" w:rsidP="005132AE">
                  <w:pPr>
                    <w:rPr>
                      <w:sz w:val="20"/>
                    </w:rPr>
                  </w:pPr>
                  <w:r w:rsidRPr="000C6256">
                    <w:rPr>
                      <w:sz w:val="20"/>
                    </w:rPr>
                    <w:t>No</w:t>
                  </w:r>
                </w:p>
              </w:tc>
            </w:tr>
            <w:tr w:rsidR="009172FE" w:rsidRPr="000C6256" w:rsidTr="005132AE">
              <w:tc>
                <w:tcPr>
                  <w:tcW w:w="1147" w:type="dxa"/>
                </w:tcPr>
                <w:p w:rsidR="009172FE" w:rsidRPr="000C6256" w:rsidRDefault="009172FE" w:rsidP="005132AE">
                  <w:pPr>
                    <w:rPr>
                      <w:sz w:val="20"/>
                    </w:rPr>
                  </w:pPr>
                  <w:r w:rsidRPr="000C6256">
                    <w:rPr>
                      <w:sz w:val="20"/>
                    </w:rPr>
                    <w:t>7</w:t>
                  </w:r>
                </w:p>
              </w:tc>
              <w:tc>
                <w:tcPr>
                  <w:tcW w:w="847" w:type="dxa"/>
                </w:tcPr>
                <w:p w:rsidR="009172FE" w:rsidRPr="000C6256" w:rsidRDefault="009172FE" w:rsidP="005132AE">
                  <w:pPr>
                    <w:rPr>
                      <w:sz w:val="20"/>
                    </w:rPr>
                  </w:pPr>
                  <w:r w:rsidRPr="000C6256">
                    <w:rPr>
                      <w:sz w:val="20"/>
                    </w:rPr>
                    <w:t>Red</w:t>
                  </w:r>
                </w:p>
              </w:tc>
              <w:tc>
                <w:tcPr>
                  <w:tcW w:w="997" w:type="dxa"/>
                </w:tcPr>
                <w:p w:rsidR="009172FE" w:rsidRPr="000C6256" w:rsidRDefault="009172FE" w:rsidP="005132AE">
                  <w:pPr>
                    <w:rPr>
                      <w:sz w:val="20"/>
                    </w:rPr>
                  </w:pPr>
                  <w:r w:rsidRPr="000C6256">
                    <w:rPr>
                      <w:sz w:val="20"/>
                    </w:rPr>
                    <w:t>3ml</w:t>
                  </w:r>
                </w:p>
              </w:tc>
              <w:tc>
                <w:tcPr>
                  <w:tcW w:w="997" w:type="dxa"/>
                </w:tcPr>
                <w:p w:rsidR="009172FE" w:rsidRPr="000C6256" w:rsidRDefault="009172FE" w:rsidP="005132AE">
                  <w:pPr>
                    <w:rPr>
                      <w:sz w:val="16"/>
                      <w:szCs w:val="16"/>
                    </w:rPr>
                  </w:pPr>
                  <w:r w:rsidRPr="000C6256">
                    <w:rPr>
                      <w:sz w:val="16"/>
                      <w:szCs w:val="16"/>
                    </w:rPr>
                    <w:t>CC control</w:t>
                  </w:r>
                </w:p>
              </w:tc>
              <w:tc>
                <w:tcPr>
                  <w:tcW w:w="1119" w:type="dxa"/>
                </w:tcPr>
                <w:p w:rsidR="009172FE" w:rsidRPr="000C6256" w:rsidRDefault="009172FE" w:rsidP="005132AE">
                  <w:pPr>
                    <w:rPr>
                      <w:sz w:val="18"/>
                      <w:szCs w:val="18"/>
                    </w:rPr>
                  </w:pPr>
                  <w:r w:rsidRPr="000C6256">
                    <w:rPr>
                      <w:sz w:val="18"/>
                      <w:szCs w:val="18"/>
                    </w:rPr>
                    <w:t>Primary control</w:t>
                  </w:r>
                </w:p>
              </w:tc>
              <w:tc>
                <w:tcPr>
                  <w:tcW w:w="876" w:type="dxa"/>
                </w:tcPr>
                <w:p w:rsidR="009172FE" w:rsidRPr="000C6256" w:rsidRDefault="009172FE" w:rsidP="005132AE">
                  <w:pPr>
                    <w:rPr>
                      <w:sz w:val="20"/>
                    </w:rPr>
                  </w:pPr>
                  <w:r w:rsidRPr="000C6256">
                    <w:rPr>
                      <w:sz w:val="20"/>
                    </w:rPr>
                    <w:t>No</w:t>
                  </w:r>
                </w:p>
              </w:tc>
            </w:tr>
          </w:tbl>
          <w:p w:rsidR="009172FE" w:rsidRPr="000C6256" w:rsidRDefault="009172FE" w:rsidP="005132AE"/>
          <w:p w:rsidR="009172FE" w:rsidRDefault="009172FE" w:rsidP="005132AE">
            <w:pPr>
              <w:pStyle w:val="TableText"/>
            </w:pP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Borders>
              <w:top w:val="nil"/>
              <w:left w:val="nil"/>
              <w:bottom w:val="nil"/>
              <w:right w:val="single" w:sz="4" w:space="0" w:color="auto"/>
            </w:tcBorders>
          </w:tcPr>
          <w:p w:rsidR="009172FE" w:rsidRDefault="009172FE" w:rsidP="005132AE">
            <w:pPr>
              <w:rPr>
                <w:b/>
              </w:rPr>
            </w:pPr>
          </w:p>
        </w:tc>
        <w:tc>
          <w:tcPr>
            <w:tcW w:w="108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pPr>
            <w:r>
              <w:t>4</w:t>
            </w: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BulletText1"/>
              <w:numPr>
                <w:ilvl w:val="0"/>
                <w:numId w:val="0"/>
              </w:numPr>
            </w:pPr>
            <w:r>
              <w:t>Place the rack on the sampler.</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Borders>
              <w:top w:val="nil"/>
              <w:left w:val="nil"/>
              <w:bottom w:val="nil"/>
              <w:right w:val="single" w:sz="4" w:space="0" w:color="auto"/>
            </w:tcBorders>
          </w:tcPr>
          <w:p w:rsidR="009172FE" w:rsidRDefault="009172FE" w:rsidP="005132AE">
            <w:pPr>
              <w:rPr>
                <w:b/>
              </w:rPr>
            </w:pPr>
          </w:p>
        </w:tc>
        <w:tc>
          <w:tcPr>
            <w:tcW w:w="1080" w:type="dxa"/>
            <w:tcBorders>
              <w:top w:val="single" w:sz="4" w:space="0" w:color="auto"/>
              <w:left w:val="single" w:sz="4" w:space="0" w:color="auto"/>
              <w:bottom w:val="single" w:sz="4" w:space="0" w:color="auto"/>
              <w:right w:val="single" w:sz="4" w:space="0" w:color="auto"/>
            </w:tcBorders>
            <w:hideMark/>
          </w:tcPr>
          <w:p w:rsidR="009172FE" w:rsidRDefault="009172FE" w:rsidP="005132AE">
            <w:pPr>
              <w:tabs>
                <w:tab w:val="left" w:pos="360"/>
              </w:tabs>
              <w:jc w:val="center"/>
            </w:pPr>
            <w:r>
              <w:t>5</w:t>
            </w: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BulletText1"/>
              <w:numPr>
                <w:ilvl w:val="0"/>
                <w:numId w:val="0"/>
              </w:numPr>
            </w:pPr>
            <w:r>
              <w:t>Press the START button.  The system detects the Control Rack and displays the position number.</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Borders>
              <w:top w:val="nil"/>
              <w:left w:val="nil"/>
              <w:bottom w:val="nil"/>
              <w:right w:val="single" w:sz="4" w:space="0" w:color="auto"/>
            </w:tcBorders>
          </w:tcPr>
          <w:p w:rsidR="009172FE" w:rsidRDefault="009172FE" w:rsidP="005132AE">
            <w:pPr>
              <w:rPr>
                <w:b/>
              </w:rPr>
            </w:pPr>
          </w:p>
        </w:tc>
        <w:tc>
          <w:tcPr>
            <w:tcW w:w="1080" w:type="dxa"/>
            <w:tcBorders>
              <w:top w:val="single" w:sz="4" w:space="0" w:color="auto"/>
              <w:left w:val="single" w:sz="4" w:space="0" w:color="auto"/>
              <w:bottom w:val="single" w:sz="4" w:space="0" w:color="auto"/>
              <w:right w:val="single" w:sz="4" w:space="0" w:color="auto"/>
            </w:tcBorders>
          </w:tcPr>
          <w:p w:rsidR="009172FE" w:rsidRDefault="009172FE" w:rsidP="005132AE">
            <w:pPr>
              <w:tabs>
                <w:tab w:val="left" w:pos="360"/>
              </w:tabs>
              <w:jc w:val="center"/>
            </w:pPr>
            <w:r>
              <w:t>6</w:t>
            </w: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BulletText1"/>
              <w:numPr>
                <w:ilvl w:val="0"/>
                <w:numId w:val="0"/>
              </w:numPr>
            </w:pPr>
            <w:r>
              <w:t>When the control testing is completed, the results are printed and/or transmitted to the LIS depending on the set configuration (Consult QC settings). Document any outlier in the department corrective action log sheet. If the control testing is out, repeat the testing. If it is still not resolve</w:t>
            </w:r>
            <w:r>
              <w:t>,</w:t>
            </w:r>
            <w:bookmarkStart w:id="0" w:name="_GoBack"/>
            <w:bookmarkEnd w:id="0"/>
            <w:r>
              <w:t xml:space="preserve"> call for service.</w:t>
            </w:r>
          </w:p>
        </w:tc>
      </w:tr>
      <w:tr w:rsidR="009172FE" w:rsidTr="005132AE">
        <w:tblPrEx>
          <w:tblCellMar>
            <w:top w:w="0" w:type="dxa"/>
            <w:bottom w:w="0" w:type="dxa"/>
          </w:tblCellMar>
          <w:tblLook w:val="04A0" w:firstRow="1" w:lastRow="0" w:firstColumn="1" w:lastColumn="0" w:noHBand="0" w:noVBand="1"/>
        </w:tblPrEx>
        <w:trPr>
          <w:gridAfter w:val="1"/>
          <w:wAfter w:w="90" w:type="dxa"/>
          <w:cantSplit/>
        </w:trPr>
        <w:tc>
          <w:tcPr>
            <w:tcW w:w="1548" w:type="dxa"/>
            <w:tcBorders>
              <w:top w:val="nil"/>
              <w:left w:val="nil"/>
              <w:bottom w:val="nil"/>
              <w:right w:val="single" w:sz="4" w:space="0" w:color="auto"/>
            </w:tcBorders>
          </w:tcPr>
          <w:p w:rsidR="009172FE" w:rsidRDefault="009172FE" w:rsidP="005132AE">
            <w:pPr>
              <w:rPr>
                <w:b/>
              </w:rPr>
            </w:pPr>
          </w:p>
        </w:tc>
        <w:tc>
          <w:tcPr>
            <w:tcW w:w="1080" w:type="dxa"/>
            <w:tcBorders>
              <w:top w:val="single" w:sz="4" w:space="0" w:color="auto"/>
              <w:left w:val="single" w:sz="4" w:space="0" w:color="auto"/>
              <w:bottom w:val="single" w:sz="4" w:space="0" w:color="auto"/>
              <w:right w:val="single" w:sz="4" w:space="0" w:color="auto"/>
            </w:tcBorders>
          </w:tcPr>
          <w:p w:rsidR="009172FE" w:rsidRDefault="009172FE" w:rsidP="005132AE">
            <w:pPr>
              <w:tabs>
                <w:tab w:val="left" w:pos="360"/>
              </w:tabs>
              <w:jc w:val="center"/>
            </w:pPr>
          </w:p>
        </w:tc>
        <w:tc>
          <w:tcPr>
            <w:tcW w:w="7110" w:type="dxa"/>
            <w:tcBorders>
              <w:top w:val="single" w:sz="4" w:space="0" w:color="auto"/>
              <w:left w:val="single" w:sz="4" w:space="0" w:color="auto"/>
              <w:bottom w:val="single" w:sz="4" w:space="0" w:color="auto"/>
              <w:right w:val="single" w:sz="4" w:space="0" w:color="auto"/>
            </w:tcBorders>
          </w:tcPr>
          <w:p w:rsidR="009172FE" w:rsidRDefault="009172FE" w:rsidP="005132AE">
            <w:pPr>
              <w:pStyle w:val="BulletText1"/>
              <w:numPr>
                <w:ilvl w:val="0"/>
                <w:numId w:val="0"/>
              </w:numPr>
            </w:pPr>
            <w:r>
              <w:t>Note: If QC is not acceptable no patient samples can be processed until QC problem has been resolved and QC is acceptable.</w:t>
            </w:r>
          </w:p>
        </w:tc>
      </w:tr>
    </w:tbl>
    <w:p w:rsidR="009172FE" w:rsidRPr="009172FE" w:rsidRDefault="009172FE"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p w:rsidR="00C01CCA" w:rsidRPr="009172FE" w:rsidRDefault="00C01CCA" w:rsidP="00C01CCA">
      <w:pPr>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A41190" w:rsidRPr="009172FE" w:rsidTr="00A41190">
        <w:trPr>
          <w:cantSplit/>
        </w:trPr>
        <w:tc>
          <w:tcPr>
            <w:tcW w:w="1728" w:type="dxa"/>
          </w:tcPr>
          <w:p w:rsidR="00A41190" w:rsidRPr="009172FE" w:rsidRDefault="00A41190" w:rsidP="00C01CCA">
            <w:pPr>
              <w:pStyle w:val="Heading5"/>
              <w:rPr>
                <w:rFonts w:asciiTheme="minorHAnsi" w:hAnsiTheme="minorHAnsi"/>
                <w:szCs w:val="22"/>
              </w:rPr>
            </w:pPr>
            <w:r w:rsidRPr="009172FE">
              <w:rPr>
                <w:rFonts w:asciiTheme="minorHAnsi" w:hAnsiTheme="minorHAnsi"/>
                <w:szCs w:val="22"/>
              </w:rPr>
              <w:t>Controlled Documents</w:t>
            </w:r>
          </w:p>
        </w:tc>
        <w:tc>
          <w:tcPr>
            <w:tcW w:w="8010" w:type="dxa"/>
          </w:tcPr>
          <w:p w:rsidR="00A41190" w:rsidRPr="009172FE" w:rsidRDefault="00A41190" w:rsidP="00A41190">
            <w:pPr>
              <w:rPr>
                <w:rFonts w:asciiTheme="minorHAnsi" w:hAnsiTheme="minorHAnsi"/>
                <w:sz w:val="22"/>
                <w:szCs w:val="22"/>
              </w:rPr>
            </w:pPr>
            <w:r w:rsidRPr="009172FE">
              <w:rPr>
                <w:rFonts w:asciiTheme="minorHAnsi" w:hAnsiTheme="minorHAnsi"/>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9172FE" w:rsidTr="00C01CCA">
              <w:tc>
                <w:tcPr>
                  <w:tcW w:w="2407" w:type="dxa"/>
                  <w:shd w:val="clear" w:color="auto" w:fill="auto"/>
                </w:tcPr>
                <w:p w:rsidR="00A41190" w:rsidRPr="009172FE" w:rsidRDefault="00A41190" w:rsidP="00C01CCA">
                  <w:pPr>
                    <w:pStyle w:val="BlockText"/>
                    <w:rPr>
                      <w:rFonts w:asciiTheme="minorHAnsi" w:hAnsiTheme="minorHAnsi"/>
                      <w:b/>
                      <w:sz w:val="22"/>
                      <w:szCs w:val="22"/>
                    </w:rPr>
                  </w:pPr>
                  <w:r w:rsidRPr="009172FE">
                    <w:rPr>
                      <w:rFonts w:asciiTheme="minorHAnsi" w:hAnsiTheme="minorHAnsi"/>
                      <w:b/>
                      <w:sz w:val="22"/>
                      <w:szCs w:val="22"/>
                    </w:rPr>
                    <w:t>Document Number</w:t>
                  </w:r>
                </w:p>
              </w:tc>
              <w:tc>
                <w:tcPr>
                  <w:tcW w:w="5102" w:type="dxa"/>
                  <w:shd w:val="clear" w:color="auto" w:fill="auto"/>
                </w:tcPr>
                <w:p w:rsidR="00A41190" w:rsidRPr="009172FE" w:rsidRDefault="00A41190" w:rsidP="00C01CCA">
                  <w:pPr>
                    <w:pStyle w:val="BlockText"/>
                    <w:rPr>
                      <w:rFonts w:asciiTheme="minorHAnsi" w:hAnsiTheme="minorHAnsi"/>
                      <w:b/>
                      <w:sz w:val="22"/>
                      <w:szCs w:val="22"/>
                    </w:rPr>
                  </w:pPr>
                  <w:r w:rsidRPr="009172FE">
                    <w:rPr>
                      <w:rFonts w:asciiTheme="minorHAnsi" w:hAnsiTheme="minorHAnsi"/>
                      <w:b/>
                      <w:sz w:val="22"/>
                      <w:szCs w:val="22"/>
                    </w:rPr>
                    <w:t>Document Name</w:t>
                  </w:r>
                </w:p>
              </w:tc>
            </w:tr>
            <w:tr w:rsidR="00A41190" w:rsidRPr="009172FE" w:rsidTr="00C01CCA">
              <w:tc>
                <w:tcPr>
                  <w:tcW w:w="2407" w:type="dxa"/>
                  <w:shd w:val="clear" w:color="auto" w:fill="auto"/>
                </w:tcPr>
                <w:p w:rsidR="00A41190" w:rsidRPr="009172FE" w:rsidRDefault="00A41190" w:rsidP="00C01CCA">
                  <w:pPr>
                    <w:pStyle w:val="BlockText"/>
                    <w:rPr>
                      <w:rFonts w:asciiTheme="minorHAnsi" w:hAnsiTheme="minorHAnsi"/>
                      <w:sz w:val="22"/>
                      <w:szCs w:val="22"/>
                    </w:rPr>
                  </w:pPr>
                  <w:r w:rsidRPr="009172FE">
                    <w:rPr>
                      <w:rFonts w:asciiTheme="minorHAnsi" w:hAnsiTheme="minorHAnsi"/>
                      <w:sz w:val="22"/>
                      <w:szCs w:val="22"/>
                    </w:rPr>
                    <w:t>LAMC-PPP-0123</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Safety Practices</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LAMC-PPP-0127</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Infection Control</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LAMC-PPP-0128</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Universal Body Substance Precaution</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LAMC-PPP-0129</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Handling of Regular and Infectious Waste</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LAMC-PPP-0130</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Cleaning Work Areas</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LAMC-PPP-0132</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Hand-washing Policy</w:t>
                  </w:r>
                </w:p>
              </w:tc>
            </w:tr>
            <w:tr w:rsidR="00A41190" w:rsidRPr="009172FE" w:rsidTr="00C01CCA">
              <w:tc>
                <w:tcPr>
                  <w:tcW w:w="2407" w:type="dxa"/>
                  <w:shd w:val="clear" w:color="auto" w:fill="auto"/>
                </w:tcPr>
                <w:p w:rsidR="00A41190" w:rsidRPr="009172FE" w:rsidRDefault="00A41190" w:rsidP="00C01CCA">
                  <w:pPr>
                    <w:jc w:val="center"/>
                    <w:rPr>
                      <w:rFonts w:asciiTheme="minorHAnsi" w:hAnsiTheme="minorHAnsi"/>
                      <w:sz w:val="22"/>
                      <w:szCs w:val="22"/>
                    </w:rPr>
                  </w:pPr>
                  <w:r w:rsidRPr="009172FE">
                    <w:rPr>
                      <w:rFonts w:asciiTheme="minorHAnsi" w:hAnsiTheme="minorHAnsi"/>
                      <w:sz w:val="22"/>
                      <w:szCs w:val="22"/>
                    </w:rPr>
                    <w:t>LAMC-PPP-0134</w:t>
                  </w:r>
                </w:p>
              </w:tc>
              <w:tc>
                <w:tcPr>
                  <w:tcW w:w="5102" w:type="dxa"/>
                  <w:shd w:val="clear" w:color="auto" w:fill="auto"/>
                </w:tcPr>
                <w:p w:rsidR="00A41190" w:rsidRPr="009172FE" w:rsidRDefault="00A41190" w:rsidP="00C01CCA">
                  <w:pPr>
                    <w:pStyle w:val="BlockText"/>
                    <w:jc w:val="left"/>
                    <w:rPr>
                      <w:rFonts w:asciiTheme="minorHAnsi" w:hAnsiTheme="minorHAnsi"/>
                      <w:sz w:val="22"/>
                      <w:szCs w:val="22"/>
                    </w:rPr>
                  </w:pPr>
                  <w:r w:rsidRPr="009172FE">
                    <w:rPr>
                      <w:rFonts w:asciiTheme="minorHAnsi" w:hAnsiTheme="minorHAnsi"/>
                      <w:sz w:val="22"/>
                      <w:szCs w:val="22"/>
                    </w:rPr>
                    <w:t>Storage and Disposal of Chemical Hazardous Waste</w:t>
                  </w:r>
                </w:p>
              </w:tc>
            </w:tr>
            <w:tr w:rsidR="006545AA" w:rsidRPr="009172FE" w:rsidTr="00C01CCA">
              <w:tc>
                <w:tcPr>
                  <w:tcW w:w="2407" w:type="dxa"/>
                  <w:shd w:val="clear" w:color="auto" w:fill="auto"/>
                </w:tcPr>
                <w:p w:rsidR="006545AA" w:rsidRPr="009172FE" w:rsidRDefault="006545AA" w:rsidP="00C01CCA">
                  <w:pPr>
                    <w:jc w:val="center"/>
                    <w:rPr>
                      <w:rFonts w:asciiTheme="minorHAnsi" w:hAnsiTheme="minorHAnsi"/>
                      <w:sz w:val="22"/>
                      <w:szCs w:val="22"/>
                    </w:rPr>
                  </w:pPr>
                  <w:r w:rsidRPr="009172FE">
                    <w:rPr>
                      <w:rFonts w:asciiTheme="minorHAnsi" w:hAnsiTheme="minorHAnsi"/>
                      <w:sz w:val="22"/>
                      <w:szCs w:val="22"/>
                    </w:rPr>
                    <w:t>LAMC-PPP-0150</w:t>
                  </w:r>
                </w:p>
              </w:tc>
              <w:tc>
                <w:tcPr>
                  <w:tcW w:w="5102" w:type="dxa"/>
                  <w:shd w:val="clear" w:color="auto" w:fill="auto"/>
                </w:tcPr>
                <w:p w:rsidR="006545AA" w:rsidRPr="009172FE" w:rsidRDefault="006545AA" w:rsidP="00C01CCA">
                  <w:pPr>
                    <w:pStyle w:val="BlockText"/>
                    <w:jc w:val="left"/>
                    <w:rPr>
                      <w:rFonts w:asciiTheme="minorHAnsi" w:hAnsiTheme="minorHAnsi"/>
                      <w:sz w:val="22"/>
                      <w:szCs w:val="22"/>
                    </w:rPr>
                  </w:pPr>
                  <w:r w:rsidRPr="009172FE">
                    <w:rPr>
                      <w:rFonts w:asciiTheme="minorHAnsi" w:hAnsiTheme="minorHAnsi"/>
                      <w:sz w:val="22"/>
                      <w:szCs w:val="22"/>
                    </w:rPr>
                    <w:t>Quality Control on IQ200</w:t>
                  </w:r>
                </w:p>
              </w:tc>
            </w:tr>
          </w:tbl>
          <w:p w:rsidR="00A41190" w:rsidRPr="009172FE" w:rsidRDefault="00A41190" w:rsidP="00A41190">
            <w:pPr>
              <w:rPr>
                <w:rFonts w:asciiTheme="minorHAnsi" w:hAnsiTheme="minorHAnsi"/>
                <w:sz w:val="22"/>
                <w:szCs w:val="22"/>
              </w:rPr>
            </w:pPr>
          </w:p>
        </w:tc>
      </w:tr>
    </w:tbl>
    <w:p w:rsidR="004D3965" w:rsidRPr="009172FE" w:rsidRDefault="004D3965">
      <w:pPr>
        <w:rPr>
          <w:rFonts w:asciiTheme="minorHAnsi" w:hAnsiTheme="minorHAnsi"/>
          <w:sz w:val="22"/>
          <w:szCs w:val="22"/>
        </w:rPr>
      </w:pPr>
    </w:p>
    <w:p w:rsidR="004D3965" w:rsidRPr="009172FE" w:rsidRDefault="004D3965">
      <w:pPr>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A41190" w:rsidRPr="009172FE" w:rsidTr="00A41190">
        <w:trPr>
          <w:cantSplit/>
        </w:trPr>
        <w:tc>
          <w:tcPr>
            <w:tcW w:w="1728" w:type="dxa"/>
          </w:tcPr>
          <w:p w:rsidR="00A41190" w:rsidRPr="009172FE" w:rsidRDefault="004D3965" w:rsidP="00C01CCA">
            <w:pPr>
              <w:pStyle w:val="Heading5"/>
              <w:rPr>
                <w:rFonts w:asciiTheme="minorHAnsi" w:hAnsiTheme="minorHAnsi"/>
                <w:szCs w:val="22"/>
              </w:rPr>
            </w:pPr>
            <w:r w:rsidRPr="009172FE">
              <w:rPr>
                <w:rFonts w:asciiTheme="minorHAnsi" w:hAnsiTheme="minorHAnsi"/>
                <w:szCs w:val="22"/>
              </w:rPr>
              <w:t>Non Controlled Documents</w:t>
            </w:r>
          </w:p>
          <w:p w:rsidR="00C01CCA" w:rsidRPr="009172FE" w:rsidRDefault="00C01CCA" w:rsidP="00C01CCA">
            <w:pPr>
              <w:outlineLvl w:val="0"/>
              <w:rPr>
                <w:rFonts w:asciiTheme="minorHAnsi" w:hAnsiTheme="minorHAnsi"/>
                <w:sz w:val="22"/>
                <w:szCs w:val="22"/>
              </w:rPr>
            </w:pPr>
          </w:p>
          <w:tbl>
            <w:tblPr>
              <w:tblW w:w="0" w:type="auto"/>
              <w:tblInd w:w="1800" w:type="dxa"/>
              <w:tblLayout w:type="fixed"/>
              <w:tblCellMar>
                <w:left w:w="80" w:type="dxa"/>
                <w:right w:w="80" w:type="dxa"/>
              </w:tblCellMar>
              <w:tblLook w:val="0000" w:firstRow="0" w:lastRow="0" w:firstColumn="0" w:lastColumn="0" w:noHBand="0" w:noVBand="0"/>
            </w:tblPr>
            <w:tblGrid>
              <w:gridCol w:w="800"/>
              <w:gridCol w:w="6760"/>
            </w:tblGrid>
            <w:tr w:rsidR="00C01CCA" w:rsidRPr="009172FE" w:rsidTr="00C01CCA">
              <w:trPr>
                <w:cantSplit/>
              </w:trPr>
              <w:tc>
                <w:tcPr>
                  <w:tcW w:w="800" w:type="dxa"/>
                  <w:tcBorders>
                    <w:top w:val="single" w:sz="6" w:space="0" w:color="auto"/>
                    <w:left w:val="single" w:sz="6" w:space="0" w:color="auto"/>
                    <w:bottom w:val="single" w:sz="6" w:space="0" w:color="auto"/>
                    <w:right w:val="single" w:sz="6" w:space="0" w:color="auto"/>
                  </w:tcBorders>
                </w:tcPr>
                <w:p w:rsidR="00C01CCA" w:rsidRPr="009172FE" w:rsidRDefault="00C01CCA" w:rsidP="00C01CCA">
                  <w:pPr>
                    <w:pStyle w:val="TableHeaderText"/>
                    <w:rPr>
                      <w:rFonts w:asciiTheme="minorHAnsi" w:hAnsiTheme="minorHAnsi"/>
                      <w:b w:val="0"/>
                      <w:sz w:val="22"/>
                      <w:szCs w:val="22"/>
                    </w:rPr>
                  </w:pPr>
                </w:p>
              </w:tc>
              <w:tc>
                <w:tcPr>
                  <w:tcW w:w="6760" w:type="dxa"/>
                  <w:tcBorders>
                    <w:top w:val="single" w:sz="6" w:space="0" w:color="auto"/>
                    <w:left w:val="single" w:sz="6" w:space="0" w:color="auto"/>
                    <w:bottom w:val="single" w:sz="6" w:space="0" w:color="auto"/>
                    <w:right w:val="single" w:sz="6" w:space="0" w:color="auto"/>
                  </w:tcBorders>
                </w:tcPr>
                <w:p w:rsidR="00C01CCA" w:rsidRPr="009172FE" w:rsidRDefault="00C01CCA" w:rsidP="00C01CCA">
                  <w:pPr>
                    <w:pStyle w:val="TableHeaderText"/>
                    <w:rPr>
                      <w:rFonts w:asciiTheme="minorHAnsi" w:hAnsiTheme="minorHAnsi"/>
                      <w:b w:val="0"/>
                      <w:sz w:val="22"/>
                      <w:szCs w:val="22"/>
                    </w:rPr>
                  </w:pPr>
                  <w:r w:rsidRPr="009172FE">
                    <w:rPr>
                      <w:rFonts w:asciiTheme="minorHAnsi" w:hAnsiTheme="minorHAnsi"/>
                      <w:b w:val="0"/>
                      <w:sz w:val="22"/>
                      <w:szCs w:val="22"/>
                    </w:rPr>
                    <w:t>Document Name</w:t>
                  </w:r>
                </w:p>
              </w:tc>
            </w:tr>
            <w:tr w:rsidR="00C01CCA" w:rsidRPr="009172FE" w:rsidTr="00C01CCA">
              <w:trPr>
                <w:cantSplit/>
              </w:trPr>
              <w:tc>
                <w:tcPr>
                  <w:tcW w:w="800" w:type="dxa"/>
                  <w:tcBorders>
                    <w:top w:val="single" w:sz="6" w:space="0" w:color="auto"/>
                    <w:left w:val="single" w:sz="6" w:space="0" w:color="auto"/>
                    <w:bottom w:val="single" w:sz="6" w:space="0" w:color="auto"/>
                    <w:right w:val="single" w:sz="6" w:space="0" w:color="auto"/>
                  </w:tcBorders>
                </w:tcPr>
                <w:p w:rsidR="00C01CCA" w:rsidRPr="009172FE" w:rsidRDefault="00C01CCA" w:rsidP="00C01CCA">
                  <w:pPr>
                    <w:pStyle w:val="TableText"/>
                    <w:rPr>
                      <w:rFonts w:asciiTheme="minorHAnsi" w:hAnsiTheme="minorHAnsi"/>
                      <w:sz w:val="22"/>
                      <w:szCs w:val="22"/>
                    </w:rPr>
                  </w:pPr>
                  <w:r w:rsidRPr="009172FE">
                    <w:rPr>
                      <w:rFonts w:asciiTheme="minorHAnsi" w:hAnsiTheme="minorHAnsi"/>
                      <w:sz w:val="22"/>
                      <w:szCs w:val="22"/>
                    </w:rPr>
                    <w:t>1</w:t>
                  </w:r>
                </w:p>
              </w:tc>
              <w:tc>
                <w:tcPr>
                  <w:tcW w:w="6760" w:type="dxa"/>
                  <w:tcBorders>
                    <w:top w:val="single" w:sz="6" w:space="0" w:color="auto"/>
                    <w:left w:val="single" w:sz="6" w:space="0" w:color="auto"/>
                    <w:bottom w:val="single" w:sz="6" w:space="0" w:color="auto"/>
                    <w:right w:val="single" w:sz="6" w:space="0" w:color="auto"/>
                  </w:tcBorders>
                </w:tcPr>
                <w:p w:rsidR="00C01CCA" w:rsidRPr="009172FE" w:rsidRDefault="00C01CCA" w:rsidP="00C01CCA">
                  <w:pPr>
                    <w:pStyle w:val="TableText"/>
                    <w:rPr>
                      <w:rFonts w:asciiTheme="minorHAnsi" w:hAnsiTheme="minorHAnsi"/>
                      <w:sz w:val="22"/>
                      <w:szCs w:val="22"/>
                    </w:rPr>
                  </w:pP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 Operator’s Manual, 300-4449 English Rev E 10/2008</w:t>
                  </w:r>
                </w:p>
              </w:tc>
            </w:tr>
          </w:tbl>
          <w:p w:rsidR="00C01CCA" w:rsidRPr="009172FE" w:rsidRDefault="00C01CCA" w:rsidP="00C01CCA">
            <w:pPr>
              <w:rPr>
                <w:rFonts w:asciiTheme="minorHAnsi" w:hAnsiTheme="minorHAnsi"/>
                <w:sz w:val="22"/>
                <w:szCs w:val="22"/>
              </w:rPr>
            </w:pPr>
          </w:p>
          <w:p w:rsidR="00A41190" w:rsidRPr="009172FE" w:rsidRDefault="00A41190" w:rsidP="00A41190">
            <w:pPr>
              <w:rPr>
                <w:rFonts w:asciiTheme="minorHAnsi" w:hAnsiTheme="minorHAnsi"/>
                <w:sz w:val="22"/>
                <w:szCs w:val="22"/>
              </w:rPr>
            </w:pPr>
          </w:p>
          <w:p w:rsidR="00A41190" w:rsidRPr="009172FE" w:rsidRDefault="00A41190" w:rsidP="00A41190">
            <w:pPr>
              <w:rPr>
                <w:rFonts w:asciiTheme="minorHAnsi" w:hAnsiTheme="minorHAnsi"/>
                <w:sz w:val="22"/>
                <w:szCs w:val="22"/>
              </w:rPr>
            </w:pPr>
          </w:p>
        </w:tc>
        <w:tc>
          <w:tcPr>
            <w:tcW w:w="80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6570"/>
            </w:tblGrid>
            <w:tr w:rsidR="004D3965" w:rsidRPr="009172FE" w:rsidTr="004D3965">
              <w:tc>
                <w:tcPr>
                  <w:tcW w:w="949" w:type="dxa"/>
                  <w:shd w:val="clear" w:color="auto" w:fill="auto"/>
                </w:tcPr>
                <w:p w:rsidR="004D3965" w:rsidRPr="009172FE" w:rsidRDefault="004D3965" w:rsidP="004D3965">
                  <w:pPr>
                    <w:pStyle w:val="BlockText"/>
                    <w:rPr>
                      <w:rFonts w:asciiTheme="minorHAnsi" w:hAnsiTheme="minorHAnsi"/>
                      <w:b/>
                      <w:sz w:val="22"/>
                      <w:szCs w:val="22"/>
                    </w:rPr>
                  </w:pPr>
                </w:p>
              </w:tc>
              <w:tc>
                <w:tcPr>
                  <w:tcW w:w="6570" w:type="dxa"/>
                  <w:shd w:val="clear" w:color="auto" w:fill="auto"/>
                </w:tcPr>
                <w:p w:rsidR="004D3965" w:rsidRPr="009172FE" w:rsidRDefault="004D3965" w:rsidP="004D3965">
                  <w:pPr>
                    <w:pStyle w:val="BlockText"/>
                    <w:rPr>
                      <w:rFonts w:asciiTheme="minorHAnsi" w:hAnsiTheme="minorHAnsi"/>
                      <w:b/>
                      <w:sz w:val="22"/>
                      <w:szCs w:val="22"/>
                    </w:rPr>
                  </w:pPr>
                  <w:r w:rsidRPr="009172FE">
                    <w:rPr>
                      <w:rFonts w:asciiTheme="minorHAnsi" w:hAnsiTheme="minorHAnsi"/>
                      <w:b/>
                      <w:sz w:val="22"/>
                      <w:szCs w:val="22"/>
                    </w:rPr>
                    <w:t>Document Name</w:t>
                  </w:r>
                </w:p>
              </w:tc>
            </w:tr>
            <w:tr w:rsidR="004D3965" w:rsidRPr="009172FE" w:rsidTr="004D3965">
              <w:tc>
                <w:tcPr>
                  <w:tcW w:w="949" w:type="dxa"/>
                  <w:shd w:val="clear" w:color="auto" w:fill="auto"/>
                </w:tcPr>
                <w:p w:rsidR="004D3965" w:rsidRPr="009172FE" w:rsidRDefault="004D3965" w:rsidP="004D3965">
                  <w:pPr>
                    <w:pStyle w:val="BlockText"/>
                    <w:rPr>
                      <w:rFonts w:asciiTheme="minorHAnsi" w:hAnsiTheme="minorHAnsi"/>
                      <w:sz w:val="22"/>
                      <w:szCs w:val="22"/>
                    </w:rPr>
                  </w:pPr>
                </w:p>
              </w:tc>
              <w:tc>
                <w:tcPr>
                  <w:tcW w:w="6570" w:type="dxa"/>
                  <w:shd w:val="clear" w:color="auto" w:fill="auto"/>
                </w:tcPr>
                <w:p w:rsidR="004D3965" w:rsidRPr="009172FE" w:rsidRDefault="009172FE" w:rsidP="004D3965">
                  <w:pPr>
                    <w:pStyle w:val="BlockText"/>
                    <w:jc w:val="left"/>
                    <w:rPr>
                      <w:rFonts w:asciiTheme="minorHAnsi" w:hAnsiTheme="minorHAnsi"/>
                      <w:sz w:val="22"/>
                      <w:szCs w:val="22"/>
                    </w:rPr>
                  </w:pPr>
                  <w:proofErr w:type="spellStart"/>
                  <w:r w:rsidRPr="009172FE">
                    <w:rPr>
                      <w:rFonts w:asciiTheme="minorHAnsi" w:hAnsiTheme="minorHAnsi"/>
                      <w:sz w:val="22"/>
                      <w:szCs w:val="22"/>
                    </w:rPr>
                    <w:t>IChem</w:t>
                  </w:r>
                  <w:proofErr w:type="spellEnd"/>
                  <w:r w:rsidRPr="009172FE">
                    <w:rPr>
                      <w:rFonts w:asciiTheme="minorHAnsi" w:hAnsiTheme="minorHAnsi"/>
                      <w:sz w:val="22"/>
                      <w:szCs w:val="22"/>
                    </w:rPr>
                    <w:t xml:space="preserve"> VELOCITY Operator’s Manual, 300-4449 English Rev E 10/2008</w:t>
                  </w:r>
                </w:p>
              </w:tc>
            </w:tr>
          </w:tbl>
          <w:p w:rsidR="00A41190" w:rsidRPr="009172FE" w:rsidRDefault="00A41190" w:rsidP="00A41190">
            <w:pPr>
              <w:rPr>
                <w:rFonts w:asciiTheme="minorHAnsi" w:hAnsiTheme="minorHAnsi"/>
                <w:sz w:val="22"/>
                <w:szCs w:val="22"/>
              </w:rPr>
            </w:pPr>
          </w:p>
        </w:tc>
      </w:tr>
      <w:tr w:rsidR="00F06DB2" w:rsidRPr="009172FE" w:rsidTr="00A41190">
        <w:trPr>
          <w:cantSplit/>
        </w:trPr>
        <w:tc>
          <w:tcPr>
            <w:tcW w:w="1728" w:type="dxa"/>
          </w:tcPr>
          <w:p w:rsidR="00F06DB2" w:rsidRPr="009172FE" w:rsidRDefault="00F06DB2" w:rsidP="00F06DB2">
            <w:pPr>
              <w:pStyle w:val="Heading5"/>
              <w:rPr>
                <w:rFonts w:asciiTheme="minorHAnsi" w:hAnsiTheme="minorHAnsi"/>
                <w:szCs w:val="22"/>
              </w:rPr>
            </w:pPr>
            <w:r w:rsidRPr="009172FE">
              <w:rPr>
                <w:rFonts w:asciiTheme="minorHAnsi" w:hAnsiTheme="minorHAnsi"/>
                <w:szCs w:val="22"/>
              </w:rPr>
              <w:t>Author</w:t>
            </w:r>
            <w:r w:rsidR="00D32C36" w:rsidRPr="009172FE">
              <w:rPr>
                <w:rFonts w:asciiTheme="minorHAnsi" w:hAnsiTheme="minorHAnsi"/>
                <w:szCs w:val="22"/>
              </w:rPr>
              <w:t>(s)</w:t>
            </w:r>
          </w:p>
        </w:tc>
        <w:tc>
          <w:tcPr>
            <w:tcW w:w="8010" w:type="dxa"/>
          </w:tcPr>
          <w:p w:rsidR="00F06DB2" w:rsidRPr="009172FE" w:rsidRDefault="00871559" w:rsidP="00F06DB2">
            <w:pPr>
              <w:rPr>
                <w:rFonts w:asciiTheme="minorHAnsi" w:hAnsiTheme="minorHAnsi"/>
                <w:sz w:val="22"/>
                <w:szCs w:val="22"/>
              </w:rPr>
            </w:pPr>
            <w:r w:rsidRPr="009172FE">
              <w:rPr>
                <w:rFonts w:asciiTheme="minorHAnsi" w:hAnsiTheme="minorHAnsi"/>
                <w:sz w:val="22"/>
                <w:szCs w:val="22"/>
              </w:rPr>
              <w:t>Alvin Castillo</w:t>
            </w:r>
          </w:p>
          <w:p w:rsidR="00D05042" w:rsidRPr="009172FE" w:rsidRDefault="00D05042" w:rsidP="00F06DB2">
            <w:pPr>
              <w:rPr>
                <w:rFonts w:asciiTheme="minorHAnsi" w:hAnsiTheme="minorHAnsi"/>
                <w:sz w:val="22"/>
                <w:szCs w:val="22"/>
              </w:rPr>
            </w:pPr>
          </w:p>
        </w:tc>
      </w:tr>
    </w:tbl>
    <w:p w:rsidR="00D26AE2" w:rsidRPr="009172FE" w:rsidRDefault="00D26AE2" w:rsidP="00D26AE2">
      <w:pPr>
        <w:pStyle w:val="BlockLine"/>
        <w:rPr>
          <w:rFonts w:asciiTheme="minorHAnsi" w:hAnsiTheme="minorHAnsi"/>
          <w:sz w:val="22"/>
          <w:szCs w:val="22"/>
        </w:rPr>
      </w:pPr>
    </w:p>
    <w:p w:rsidR="00F06DB2" w:rsidRPr="009172FE" w:rsidRDefault="00F06DB2" w:rsidP="00D26AE2">
      <w:pPr>
        <w:rPr>
          <w:rFonts w:asciiTheme="minorHAnsi" w:hAnsiTheme="minorHAnsi"/>
          <w:sz w:val="22"/>
          <w:szCs w:val="22"/>
        </w:rPr>
      </w:pPr>
    </w:p>
    <w:sectPr w:rsidR="00F06DB2" w:rsidRPr="009172FE"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56" w:rsidRDefault="00A63056">
      <w:r>
        <w:separator/>
      </w:r>
    </w:p>
  </w:endnote>
  <w:endnote w:type="continuationSeparator" w:id="0">
    <w:p w:rsidR="00A63056" w:rsidRDefault="00A6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9172FE">
      <w:rPr>
        <w:i/>
        <w:noProof/>
        <w:snapToGrid w:val="0"/>
        <w:sz w:val="20"/>
      </w:rPr>
      <w:instrText>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9172FE">
      <w:rPr>
        <w:i/>
        <w:noProof/>
        <w:snapToGrid w:val="0"/>
        <w:sz w:val="20"/>
      </w:rPr>
      <w:instrText>4</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9172FE">
      <w:rPr>
        <w:rStyle w:val="PageNumber"/>
        <w:rFonts w:ascii="Arial" w:hAnsi="Arial" w:cs="Arial"/>
        <w:noProof/>
        <w:sz w:val="20"/>
      </w:rPr>
      <w:t>4</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9172FE">
      <w:rPr>
        <w:rStyle w:val="PageNumber"/>
        <w:rFonts w:ascii="Arial" w:hAnsi="Arial" w:cs="Arial"/>
        <w:noProof/>
        <w:sz w:val="20"/>
      </w:rPr>
      <w:t>4</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56" w:rsidRDefault="00A63056">
      <w:r>
        <w:separator/>
      </w:r>
    </w:p>
  </w:footnote>
  <w:footnote w:type="continuationSeparator" w:id="0">
    <w:p w:rsidR="00A63056" w:rsidRDefault="00A6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C01CCA">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190783" w:rsidRDefault="00776D07" w:rsidP="00190783">
    <w:pPr>
      <w:pStyle w:val="Heading4"/>
    </w:pPr>
    <w:proofErr w:type="spellStart"/>
    <w:proofErr w:type="gramStart"/>
    <w:r>
      <w:t>iCHEM</w:t>
    </w:r>
    <w:proofErr w:type="spellEnd"/>
    <w:proofErr w:type="gramEnd"/>
    <w:r>
      <w:t xml:space="preserve"> Velocity Quality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C01CCA">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D6659"/>
    <w:multiLevelType w:val="hybridMultilevel"/>
    <w:tmpl w:val="852A40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56F513B"/>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76E70"/>
    <w:multiLevelType w:val="hybridMultilevel"/>
    <w:tmpl w:val="5C44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731CD"/>
    <w:multiLevelType w:val="hybridMultilevel"/>
    <w:tmpl w:val="057A924E"/>
    <w:lvl w:ilvl="0" w:tplc="48BCC4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944FE8"/>
    <w:multiLevelType w:val="hybridMultilevel"/>
    <w:tmpl w:val="81E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3469F"/>
    <w:multiLevelType w:val="hybridMultilevel"/>
    <w:tmpl w:val="D9D0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521AB"/>
    <w:multiLevelType w:val="hybridMultilevel"/>
    <w:tmpl w:val="0DC47E0C"/>
    <w:lvl w:ilvl="0" w:tplc="E334D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A7137"/>
    <w:multiLevelType w:val="hybridMultilevel"/>
    <w:tmpl w:val="E434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62892"/>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506A2"/>
    <w:multiLevelType w:val="multilevel"/>
    <w:tmpl w:val="3652533C"/>
    <w:lvl w:ilvl="0">
      <w:start w:val="1"/>
      <w:numFmt w:val="bullet"/>
      <w:lvlText w:val=""/>
      <w:lvlJc w:val="left"/>
      <w:pPr>
        <w:tabs>
          <w:tab w:val="num" w:pos="0"/>
        </w:tabs>
        <w:ind w:left="187" w:hanging="187"/>
      </w:pPr>
      <w:rPr>
        <w:rFonts w:ascii="Symbol" w:hAnsi="Symbol" w:hint="default"/>
        <w:sz w:val="20"/>
      </w:rPr>
    </w:lvl>
    <w:lvl w:ilvl="1">
      <w:start w:val="1"/>
      <w:numFmt w:val="bullet"/>
      <w:lvlText w:val=""/>
      <w:lvlJc w:val="left"/>
      <w:pPr>
        <w:tabs>
          <w:tab w:val="num" w:pos="1440"/>
        </w:tabs>
        <w:ind w:left="1164" w:hanging="84"/>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A2196"/>
    <w:multiLevelType w:val="hybridMultilevel"/>
    <w:tmpl w:val="03F8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0"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1"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407290"/>
    <w:multiLevelType w:val="singleLevel"/>
    <w:tmpl w:val="5BE4CC3E"/>
    <w:lvl w:ilvl="0">
      <w:start w:val="1"/>
      <w:numFmt w:val="bullet"/>
      <w:lvlText w:val=""/>
      <w:lvlJc w:val="left"/>
      <w:pPr>
        <w:tabs>
          <w:tab w:val="num" w:pos="173"/>
        </w:tabs>
        <w:ind w:left="173" w:hanging="173"/>
      </w:pPr>
      <w:rPr>
        <w:rFonts w:ascii="Symbol" w:hAnsi="Symbol" w:hint="default"/>
      </w:rPr>
    </w:lvl>
  </w:abstractNum>
  <w:abstractNum w:abstractNumId="40"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A1D6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9"/>
  </w:num>
  <w:num w:numId="2">
    <w:abstractNumId w:val="3"/>
  </w:num>
  <w:num w:numId="3">
    <w:abstractNumId w:val="23"/>
  </w:num>
  <w:num w:numId="4">
    <w:abstractNumId w:val="7"/>
  </w:num>
  <w:num w:numId="5">
    <w:abstractNumId w:val="4"/>
  </w:num>
  <w:num w:numId="6">
    <w:abstractNumId w:val="2"/>
  </w:num>
  <w:num w:numId="7">
    <w:abstractNumId w:val="34"/>
  </w:num>
  <w:num w:numId="8">
    <w:abstractNumId w:val="11"/>
  </w:num>
  <w:num w:numId="9">
    <w:abstractNumId w:val="13"/>
  </w:num>
  <w:num w:numId="10">
    <w:abstractNumId w:val="30"/>
  </w:num>
  <w:num w:numId="11">
    <w:abstractNumId w:val="31"/>
  </w:num>
  <w:num w:numId="12">
    <w:abstractNumId w:val="1"/>
  </w:num>
  <w:num w:numId="13">
    <w:abstractNumId w:val="41"/>
  </w:num>
  <w:num w:numId="14">
    <w:abstractNumId w:val="38"/>
  </w:num>
  <w:num w:numId="15">
    <w:abstractNumId w:val="32"/>
  </w:num>
  <w:num w:numId="16">
    <w:abstractNumId w:val="16"/>
  </w:num>
  <w:num w:numId="17">
    <w:abstractNumId w:val="36"/>
  </w:num>
  <w:num w:numId="18">
    <w:abstractNumId w:val="35"/>
  </w:num>
  <w:num w:numId="19">
    <w:abstractNumId w:val="37"/>
  </w:num>
  <w:num w:numId="20">
    <w:abstractNumId w:val="21"/>
  </w:num>
  <w:num w:numId="21">
    <w:abstractNumId w:val="25"/>
  </w:num>
  <w:num w:numId="22">
    <w:abstractNumId w:val="18"/>
  </w:num>
  <w:num w:numId="23">
    <w:abstractNumId w:val="17"/>
  </w:num>
  <w:num w:numId="24">
    <w:abstractNumId w:val="5"/>
  </w:num>
  <w:num w:numId="25">
    <w:abstractNumId w:val="33"/>
  </w:num>
  <w:num w:numId="26">
    <w:abstractNumId w:val="26"/>
  </w:num>
  <w:num w:numId="27">
    <w:abstractNumId w:val="42"/>
  </w:num>
  <w:num w:numId="28">
    <w:abstractNumId w:val="24"/>
  </w:num>
  <w:num w:numId="29">
    <w:abstractNumId w:val="40"/>
  </w:num>
  <w:num w:numId="30">
    <w:abstractNumId w:val="28"/>
  </w:num>
  <w:num w:numId="31">
    <w:abstractNumId w:val="6"/>
  </w:num>
  <w:num w:numId="32">
    <w:abstractNumId w:val="9"/>
  </w:num>
  <w:num w:numId="33">
    <w:abstractNumId w:val="12"/>
  </w:num>
  <w:num w:numId="34">
    <w:abstractNumId w:val="27"/>
  </w:num>
  <w:num w:numId="35">
    <w:abstractNumId w:val="8"/>
  </w:num>
  <w:num w:numId="36">
    <w:abstractNumId w:val="10"/>
  </w:num>
  <w:num w:numId="37">
    <w:abstractNumId w:val="15"/>
  </w:num>
  <w:num w:numId="38">
    <w:abstractNumId w:val="20"/>
  </w:num>
  <w:num w:numId="39">
    <w:abstractNumId w:val="39"/>
  </w:num>
  <w:num w:numId="40">
    <w:abstractNumId w:val="14"/>
  </w:num>
  <w:num w:numId="41">
    <w:abstractNumId w:val="19"/>
  </w:num>
  <w:num w:numId="42">
    <w:abstractNumId w:val="22"/>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6CF5"/>
    <w:rsid w:val="00042DAA"/>
    <w:rsid w:val="00046878"/>
    <w:rsid w:val="00047EF7"/>
    <w:rsid w:val="00056877"/>
    <w:rsid w:val="000728C4"/>
    <w:rsid w:val="00086A2C"/>
    <w:rsid w:val="0009129B"/>
    <w:rsid w:val="000953A5"/>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0783"/>
    <w:rsid w:val="00192DE5"/>
    <w:rsid w:val="001A14EE"/>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37C0"/>
    <w:rsid w:val="00384A92"/>
    <w:rsid w:val="00390C1A"/>
    <w:rsid w:val="00397DEF"/>
    <w:rsid w:val="003A7308"/>
    <w:rsid w:val="003C2269"/>
    <w:rsid w:val="003C508E"/>
    <w:rsid w:val="003C6786"/>
    <w:rsid w:val="003D1825"/>
    <w:rsid w:val="003E40F0"/>
    <w:rsid w:val="003F0A0D"/>
    <w:rsid w:val="004160B3"/>
    <w:rsid w:val="004223E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4D3965"/>
    <w:rsid w:val="00504B96"/>
    <w:rsid w:val="0050518A"/>
    <w:rsid w:val="005133FE"/>
    <w:rsid w:val="00544E86"/>
    <w:rsid w:val="00595006"/>
    <w:rsid w:val="005A6643"/>
    <w:rsid w:val="005A6EE9"/>
    <w:rsid w:val="005B1E7F"/>
    <w:rsid w:val="005F2ABD"/>
    <w:rsid w:val="005F3E96"/>
    <w:rsid w:val="00605DCB"/>
    <w:rsid w:val="0061079E"/>
    <w:rsid w:val="00620A2D"/>
    <w:rsid w:val="00633012"/>
    <w:rsid w:val="00637656"/>
    <w:rsid w:val="006545AA"/>
    <w:rsid w:val="0067567A"/>
    <w:rsid w:val="00677481"/>
    <w:rsid w:val="006A107B"/>
    <w:rsid w:val="006A72CD"/>
    <w:rsid w:val="006C461B"/>
    <w:rsid w:val="006C4C9A"/>
    <w:rsid w:val="006D60D0"/>
    <w:rsid w:val="006E67E1"/>
    <w:rsid w:val="006E7401"/>
    <w:rsid w:val="00700D63"/>
    <w:rsid w:val="00706B6E"/>
    <w:rsid w:val="00707CAE"/>
    <w:rsid w:val="0075494B"/>
    <w:rsid w:val="00760854"/>
    <w:rsid w:val="00763747"/>
    <w:rsid w:val="00774558"/>
    <w:rsid w:val="00776D07"/>
    <w:rsid w:val="00781F79"/>
    <w:rsid w:val="00783EFF"/>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660FE"/>
    <w:rsid w:val="00871559"/>
    <w:rsid w:val="00875F81"/>
    <w:rsid w:val="0088237F"/>
    <w:rsid w:val="00883D0A"/>
    <w:rsid w:val="0088433C"/>
    <w:rsid w:val="00885E0C"/>
    <w:rsid w:val="0089105A"/>
    <w:rsid w:val="00893352"/>
    <w:rsid w:val="008C29BB"/>
    <w:rsid w:val="008C45FE"/>
    <w:rsid w:val="008D4E7A"/>
    <w:rsid w:val="008F5077"/>
    <w:rsid w:val="009172FE"/>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9F732C"/>
    <w:rsid w:val="00A10B4E"/>
    <w:rsid w:val="00A14DC0"/>
    <w:rsid w:val="00A14F18"/>
    <w:rsid w:val="00A2202A"/>
    <w:rsid w:val="00A3670D"/>
    <w:rsid w:val="00A41190"/>
    <w:rsid w:val="00A51116"/>
    <w:rsid w:val="00A60B08"/>
    <w:rsid w:val="00A6192E"/>
    <w:rsid w:val="00A63056"/>
    <w:rsid w:val="00A66379"/>
    <w:rsid w:val="00A8143D"/>
    <w:rsid w:val="00AA2C0B"/>
    <w:rsid w:val="00AB4147"/>
    <w:rsid w:val="00AB4889"/>
    <w:rsid w:val="00AC231D"/>
    <w:rsid w:val="00AC7F63"/>
    <w:rsid w:val="00AD1CD4"/>
    <w:rsid w:val="00AD6204"/>
    <w:rsid w:val="00AE303D"/>
    <w:rsid w:val="00AF10E7"/>
    <w:rsid w:val="00B00F67"/>
    <w:rsid w:val="00B03F26"/>
    <w:rsid w:val="00B045E7"/>
    <w:rsid w:val="00B14A3D"/>
    <w:rsid w:val="00B1537F"/>
    <w:rsid w:val="00B16284"/>
    <w:rsid w:val="00B50BFF"/>
    <w:rsid w:val="00B53A05"/>
    <w:rsid w:val="00B559BC"/>
    <w:rsid w:val="00B57DAA"/>
    <w:rsid w:val="00B71F0C"/>
    <w:rsid w:val="00B768CE"/>
    <w:rsid w:val="00B83E97"/>
    <w:rsid w:val="00B9218C"/>
    <w:rsid w:val="00B965B8"/>
    <w:rsid w:val="00BA7F6C"/>
    <w:rsid w:val="00BB00E7"/>
    <w:rsid w:val="00BB0F09"/>
    <w:rsid w:val="00BE1ADD"/>
    <w:rsid w:val="00BF0DF7"/>
    <w:rsid w:val="00BF7178"/>
    <w:rsid w:val="00C01CCA"/>
    <w:rsid w:val="00C0550A"/>
    <w:rsid w:val="00C1330E"/>
    <w:rsid w:val="00C14D20"/>
    <w:rsid w:val="00C311E2"/>
    <w:rsid w:val="00C33311"/>
    <w:rsid w:val="00C45269"/>
    <w:rsid w:val="00C60114"/>
    <w:rsid w:val="00C604D8"/>
    <w:rsid w:val="00C66F6C"/>
    <w:rsid w:val="00C75F4B"/>
    <w:rsid w:val="00C80C96"/>
    <w:rsid w:val="00C84E28"/>
    <w:rsid w:val="00C87487"/>
    <w:rsid w:val="00C95BA9"/>
    <w:rsid w:val="00CA0A63"/>
    <w:rsid w:val="00CA67B8"/>
    <w:rsid w:val="00CB48C3"/>
    <w:rsid w:val="00CC02CC"/>
    <w:rsid w:val="00CC0ED8"/>
    <w:rsid w:val="00CD6FE3"/>
    <w:rsid w:val="00CE1C69"/>
    <w:rsid w:val="00CE462F"/>
    <w:rsid w:val="00CE4A7F"/>
    <w:rsid w:val="00CF3295"/>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E223A"/>
    <w:rsid w:val="00DE398C"/>
    <w:rsid w:val="00E118A1"/>
    <w:rsid w:val="00E301AE"/>
    <w:rsid w:val="00E42FE4"/>
    <w:rsid w:val="00E50BBB"/>
    <w:rsid w:val="00E51458"/>
    <w:rsid w:val="00E51C25"/>
    <w:rsid w:val="00E5453D"/>
    <w:rsid w:val="00E56DC2"/>
    <w:rsid w:val="00E61CD5"/>
    <w:rsid w:val="00E733D6"/>
    <w:rsid w:val="00E75365"/>
    <w:rsid w:val="00EB027B"/>
    <w:rsid w:val="00EB50D8"/>
    <w:rsid w:val="00EC0EFC"/>
    <w:rsid w:val="00EC7C99"/>
    <w:rsid w:val="00EE0F07"/>
    <w:rsid w:val="00EE396F"/>
    <w:rsid w:val="00EE3CFA"/>
    <w:rsid w:val="00EE6D86"/>
    <w:rsid w:val="00EF2A00"/>
    <w:rsid w:val="00F06DB2"/>
    <w:rsid w:val="00F20D81"/>
    <w:rsid w:val="00F342AB"/>
    <w:rsid w:val="00F36A3F"/>
    <w:rsid w:val="00F41AD3"/>
    <w:rsid w:val="00F46E5E"/>
    <w:rsid w:val="00F47F67"/>
    <w:rsid w:val="00F56C49"/>
    <w:rsid w:val="00F56EFF"/>
    <w:rsid w:val="00F73178"/>
    <w:rsid w:val="00F80BE8"/>
    <w:rsid w:val="00F81614"/>
    <w:rsid w:val="00F91A4D"/>
    <w:rsid w:val="00F94602"/>
    <w:rsid w:val="00FA472E"/>
    <w:rsid w:val="00FB1920"/>
    <w:rsid w:val="00FC47C8"/>
    <w:rsid w:val="00FE2E18"/>
    <w:rsid w:val="00FF0823"/>
    <w:rsid w:val="00FF62B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65E2A6-9AB9-4552-AB55-F531C39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140F6A"/>
    <w:rsid w:val="002C3A63"/>
    <w:rsid w:val="00302917"/>
    <w:rsid w:val="00331E0D"/>
    <w:rsid w:val="00503C9E"/>
    <w:rsid w:val="005A495C"/>
    <w:rsid w:val="00684B96"/>
    <w:rsid w:val="00695195"/>
    <w:rsid w:val="006E2ED4"/>
    <w:rsid w:val="00856328"/>
    <w:rsid w:val="008972FD"/>
    <w:rsid w:val="008F2A2C"/>
    <w:rsid w:val="009E2D04"/>
    <w:rsid w:val="00A8409A"/>
    <w:rsid w:val="00BA5A27"/>
    <w:rsid w:val="00CD2384"/>
    <w:rsid w:val="00F16430"/>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22</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4</cp:revision>
  <cp:lastPrinted>2011-03-21T23:09:00Z</cp:lastPrinted>
  <dcterms:created xsi:type="dcterms:W3CDTF">2017-06-17T19:04:00Z</dcterms:created>
  <dcterms:modified xsi:type="dcterms:W3CDTF">2017-06-17T19:30:00Z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