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548"/>
        <w:gridCol w:w="8280"/>
      </w:tblGrid>
      <w:tr w:rsidR="00776D07" w:rsidRPr="00341516" w:rsidTr="00776D07">
        <w:tc>
          <w:tcPr>
            <w:tcW w:w="1548" w:type="dxa"/>
          </w:tcPr>
          <w:p w:rsidR="00776D07" w:rsidRPr="00341516" w:rsidRDefault="00776D07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280" w:type="dxa"/>
          </w:tcPr>
          <w:p w:rsidR="00776D07" w:rsidRPr="00341516" w:rsidRDefault="00776D07" w:rsidP="009750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QC is performed on </w:t>
            </w:r>
            <w:r w:rsidR="009750CC" w:rsidRPr="00341516">
              <w:rPr>
                <w:rFonts w:asciiTheme="minorHAnsi" w:hAnsiTheme="minorHAnsi"/>
                <w:sz w:val="22"/>
                <w:szCs w:val="22"/>
              </w:rPr>
              <w:t>iQ200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 to assure that the instrument is functioning as expected and that patient results are reported accurately</w:t>
            </w:r>
          </w:p>
        </w:tc>
      </w:tr>
    </w:tbl>
    <w:p w:rsidR="00A3670D" w:rsidRPr="00341516" w:rsidRDefault="00A3670D" w:rsidP="008660FE">
      <w:pPr>
        <w:pStyle w:val="BlockLine"/>
        <w:ind w:left="0"/>
        <w:rPr>
          <w:rFonts w:asciiTheme="minorHAnsi" w:hAnsiTheme="minorHAnsi"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548"/>
        <w:gridCol w:w="8280"/>
      </w:tblGrid>
      <w:tr w:rsidR="00776D07" w:rsidRPr="00341516" w:rsidTr="005132AE">
        <w:tc>
          <w:tcPr>
            <w:tcW w:w="1548" w:type="dxa"/>
          </w:tcPr>
          <w:p w:rsidR="00776D07" w:rsidRPr="00341516" w:rsidRDefault="00776D07" w:rsidP="00776D0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bCs/>
                <w:sz w:val="22"/>
                <w:szCs w:val="22"/>
              </w:rPr>
              <w:t>Scope</w:t>
            </w:r>
          </w:p>
          <w:p w:rsidR="00776D07" w:rsidRPr="00341516" w:rsidRDefault="00776D07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80" w:type="dxa"/>
          </w:tcPr>
          <w:p w:rsidR="00776D07" w:rsidRPr="00341516" w:rsidRDefault="00776D07" w:rsidP="009750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To monitor the performance of </w:t>
            </w:r>
            <w:r w:rsidR="009750CC" w:rsidRPr="00341516">
              <w:rPr>
                <w:rFonts w:asciiTheme="minorHAnsi" w:hAnsiTheme="minorHAnsi"/>
                <w:sz w:val="22"/>
                <w:szCs w:val="22"/>
              </w:rPr>
              <w:t>iQ200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, QC is performed on regular intervals</w:t>
            </w:r>
          </w:p>
        </w:tc>
      </w:tr>
    </w:tbl>
    <w:p w:rsidR="00776D07" w:rsidRPr="00341516" w:rsidRDefault="00776D07" w:rsidP="00776D07">
      <w:pPr>
        <w:rPr>
          <w:rFonts w:asciiTheme="minorHAnsi" w:hAnsiTheme="minorHAnsi"/>
          <w:sz w:val="22"/>
          <w:szCs w:val="22"/>
        </w:rPr>
      </w:pPr>
    </w:p>
    <w:p w:rsidR="00776D07" w:rsidRPr="00341516" w:rsidRDefault="00776D07" w:rsidP="00776D0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341516" w:rsidTr="00D32C36">
        <w:trPr>
          <w:cantSplit/>
        </w:trPr>
        <w:tc>
          <w:tcPr>
            <w:tcW w:w="1728" w:type="dxa"/>
          </w:tcPr>
          <w:p w:rsidR="00A3670D" w:rsidRPr="00341516" w:rsidRDefault="00A3670D" w:rsidP="0009129B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Policy</w:t>
            </w:r>
          </w:p>
        </w:tc>
        <w:tc>
          <w:tcPr>
            <w:tcW w:w="8010" w:type="dxa"/>
          </w:tcPr>
          <w:p w:rsidR="00776D07" w:rsidRPr="00341516" w:rsidRDefault="00776D07" w:rsidP="00776D07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Quality control must be processed and be acceptable every 24 hours before sample results can be released.</w:t>
            </w:r>
            <w:r w:rsidR="00F46E5E" w:rsidRPr="00341516">
              <w:rPr>
                <w:rFonts w:asciiTheme="minorHAnsi" w:hAnsiTheme="minorHAnsi"/>
                <w:sz w:val="22"/>
                <w:szCs w:val="22"/>
              </w:rPr>
              <w:t xml:space="preserve"> Carryover check is part of quality control performed on </w:t>
            </w:r>
            <w:r w:rsidR="009750CC" w:rsidRPr="00341516">
              <w:rPr>
                <w:rFonts w:asciiTheme="minorHAnsi" w:hAnsiTheme="minorHAnsi"/>
                <w:sz w:val="22"/>
                <w:szCs w:val="22"/>
              </w:rPr>
              <w:t>iQ200</w:t>
            </w:r>
            <w:r w:rsidR="00F46E5E" w:rsidRPr="00341516">
              <w:rPr>
                <w:rFonts w:asciiTheme="minorHAnsi" w:hAnsiTheme="minorHAnsi"/>
                <w:sz w:val="22"/>
                <w:szCs w:val="22"/>
              </w:rPr>
              <w:t>, meaning that an acceptable Quality Control performed is an acceptable Carryover check.</w:t>
            </w:r>
          </w:p>
          <w:p w:rsidR="00776D07" w:rsidRPr="00341516" w:rsidRDefault="00776D07" w:rsidP="00776D07">
            <w:pPr>
              <w:pStyle w:val="Heading5"/>
              <w:rPr>
                <w:rFonts w:asciiTheme="minorHAnsi" w:hAnsiTheme="minorHAnsi"/>
                <w:b w:val="0"/>
                <w:szCs w:val="22"/>
              </w:rPr>
            </w:pPr>
            <w:r w:rsidRPr="00341516">
              <w:rPr>
                <w:rFonts w:asciiTheme="minorHAnsi" w:hAnsiTheme="minorHAnsi"/>
                <w:b w:val="0"/>
                <w:szCs w:val="22"/>
              </w:rPr>
              <w:t xml:space="preserve">QC will be run </w:t>
            </w:r>
            <w:r w:rsidRPr="00341516">
              <w:rPr>
                <w:rFonts w:asciiTheme="minorHAnsi" w:hAnsiTheme="minorHAnsi"/>
                <w:szCs w:val="22"/>
              </w:rPr>
              <w:t>once every 24 hours</w:t>
            </w:r>
            <w:r w:rsidRPr="00341516">
              <w:rPr>
                <w:rFonts w:asciiTheme="minorHAnsi" w:hAnsiTheme="minorHAnsi"/>
                <w:b w:val="0"/>
                <w:szCs w:val="22"/>
              </w:rPr>
              <w:t>.  Running of QC will rotate every month and will be run at the beginning of the shift. 1</w:t>
            </w:r>
            <w:r w:rsidRPr="00341516">
              <w:rPr>
                <w:rFonts w:asciiTheme="minorHAnsi" w:hAnsiTheme="minorHAnsi"/>
                <w:b w:val="0"/>
                <w:szCs w:val="22"/>
                <w:vertAlign w:val="superscript"/>
              </w:rPr>
              <w:t>st</w:t>
            </w:r>
            <w:r w:rsidRPr="00341516">
              <w:rPr>
                <w:rFonts w:asciiTheme="minorHAnsi" w:hAnsiTheme="minorHAnsi"/>
                <w:b w:val="0"/>
                <w:szCs w:val="22"/>
              </w:rPr>
              <w:t xml:space="preserve"> day of the month will have </w:t>
            </w:r>
            <w:r w:rsidRPr="00341516">
              <w:rPr>
                <w:rFonts w:asciiTheme="minorHAnsi" w:hAnsiTheme="minorHAnsi"/>
                <w:szCs w:val="22"/>
              </w:rPr>
              <w:t>2 runs</w:t>
            </w:r>
            <w:r w:rsidRPr="00341516">
              <w:rPr>
                <w:rFonts w:asciiTheme="minorHAnsi" w:hAnsiTheme="minorHAnsi"/>
                <w:b w:val="0"/>
                <w:szCs w:val="22"/>
              </w:rPr>
              <w:t xml:space="preserve"> of Quality Control</w:t>
            </w:r>
          </w:p>
          <w:p w:rsidR="00776D07" w:rsidRPr="00341516" w:rsidRDefault="00776D07" w:rsidP="00776D07">
            <w:pPr>
              <w:pStyle w:val="Heading5"/>
              <w:rPr>
                <w:rFonts w:asciiTheme="minorHAnsi" w:hAnsiTheme="minorHAnsi"/>
                <w:b w:val="0"/>
                <w:szCs w:val="22"/>
              </w:rPr>
            </w:pPr>
            <w:r w:rsidRPr="00341516">
              <w:rPr>
                <w:rFonts w:asciiTheme="minorHAnsi" w:hAnsiTheme="minorHAnsi"/>
                <w:b w:val="0"/>
                <w:szCs w:val="22"/>
              </w:rPr>
              <w:t>(1 from previous shift and 1 from the next assigned shift).</w:t>
            </w:r>
          </w:p>
          <w:p w:rsidR="00776D07" w:rsidRPr="00341516" w:rsidRDefault="00776D07" w:rsidP="00776D07">
            <w:pPr>
              <w:pStyle w:val="Heading5"/>
              <w:ind w:left="1440" w:hanging="1440"/>
              <w:rPr>
                <w:rFonts w:asciiTheme="minorHAnsi" w:hAnsiTheme="minorHAnsi"/>
                <w:b w:val="0"/>
                <w:szCs w:val="22"/>
              </w:rPr>
            </w:pPr>
            <w:r w:rsidRPr="00341516">
              <w:rPr>
                <w:rFonts w:asciiTheme="minorHAnsi" w:hAnsiTheme="minorHAnsi"/>
                <w:b w:val="0"/>
                <w:szCs w:val="22"/>
              </w:rPr>
              <w:t xml:space="preserve"> Schedule for running of Quality Control by shift:</w:t>
            </w:r>
          </w:p>
          <w:p w:rsidR="00776D07" w:rsidRPr="00341516" w:rsidRDefault="00776D07" w:rsidP="00776D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6D07" w:rsidRPr="00341516" w:rsidRDefault="00776D07" w:rsidP="00776D07">
            <w:pPr>
              <w:ind w:lef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 xml:space="preserve"> Day Shift: JANUARY, APRIL, JULY, OCTOBER</w:t>
            </w:r>
          </w:p>
          <w:p w:rsidR="00776D07" w:rsidRPr="00341516" w:rsidRDefault="00776D07" w:rsidP="00776D07">
            <w:pPr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PM Shift: FEB, MAY, AUGUST, NOVEMBER</w:t>
            </w:r>
          </w:p>
          <w:p w:rsidR="00776D07" w:rsidRPr="00341516" w:rsidRDefault="00776D07" w:rsidP="00776D07">
            <w:pPr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GY Shift: MARCH, JUNE, SEPTEMBER, DECEMBER</w:t>
            </w:r>
          </w:p>
          <w:p w:rsidR="00A3670D" w:rsidRPr="00341516" w:rsidRDefault="00A3670D" w:rsidP="008660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51A0" w:rsidRPr="00341516" w:rsidRDefault="009451A0" w:rsidP="009451A0">
      <w:pPr>
        <w:pStyle w:val="BlockLine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341516" w:rsidTr="00D32C36">
        <w:trPr>
          <w:cantSplit/>
        </w:trPr>
        <w:tc>
          <w:tcPr>
            <w:tcW w:w="1728" w:type="dxa"/>
          </w:tcPr>
          <w:p w:rsidR="009451A0" w:rsidRPr="00341516" w:rsidRDefault="00086A2C" w:rsidP="00803536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lastRenderedPageBreak/>
              <w:t>Workplace Safety</w:t>
            </w:r>
          </w:p>
        </w:tc>
        <w:tc>
          <w:tcPr>
            <w:tcW w:w="8010" w:type="dxa"/>
          </w:tcPr>
          <w:p w:rsidR="00086A2C" w:rsidRPr="00341516" w:rsidRDefault="00086A2C" w:rsidP="00086A2C">
            <w:pPr>
              <w:pStyle w:val="BlockText"/>
              <w:tabs>
                <w:tab w:val="left" w:pos="16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standard precautions and safety practices in the laboratory; 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Safety Practices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, specifically, but not limited to, equipment safety, proper body mechanics, sharps exposure and proper use of personal protective equipment (PPE).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Universal Body Substance precautions,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Universal Body Substance Precautions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, specifically, but not limited to, exposure to body fluids.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proper hand-washing,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Hand washing Policy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, specifically, not limited to, proper hand-washing.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proper infection control,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Infection Control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, specifically, but not limited to, proper use of gloves.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proper handling of regular and infectious waste,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Handling of Regular and Infectious Waste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, specifically, but not limited to, proper disposal of regular and </w:t>
            </w:r>
            <w:proofErr w:type="spellStart"/>
            <w:r w:rsidRPr="00341516">
              <w:rPr>
                <w:rFonts w:asciiTheme="minorHAnsi" w:hAnsiTheme="minorHAnsi"/>
                <w:sz w:val="22"/>
                <w:szCs w:val="22"/>
              </w:rPr>
              <w:t>biohazardous</w:t>
            </w:r>
            <w:proofErr w:type="spellEnd"/>
            <w:r w:rsidRPr="00341516">
              <w:rPr>
                <w:rFonts w:asciiTheme="minorHAnsi" w:hAnsiTheme="minorHAnsi"/>
                <w:sz w:val="22"/>
                <w:szCs w:val="22"/>
              </w:rPr>
              <w:t xml:space="preserve"> waste.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proper cleaning of work area,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Cleaning Work Areas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A2C" w:rsidRPr="00341516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For proper handling of chemicals and reagents, see the Chemical Hygiene Plan.</w:t>
            </w:r>
          </w:p>
          <w:p w:rsidR="009451A0" w:rsidRPr="00341516" w:rsidRDefault="00086A2C" w:rsidP="00086A2C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For proper storage and disposal of chemical hazardous waste, see </w:t>
            </w: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Storage &amp; Disposal of Chemical Hazardous Waste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  <w:p w:rsidR="009451A0" w:rsidRPr="00341516" w:rsidRDefault="009451A0" w:rsidP="008035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A6EE9" w:rsidRPr="00341516" w:rsidRDefault="005A6EE9" w:rsidP="008660FE">
      <w:pPr>
        <w:pStyle w:val="BlockLine"/>
        <w:ind w:left="0"/>
        <w:rPr>
          <w:rFonts w:asciiTheme="minorHAnsi" w:hAnsiTheme="minorHAnsi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520"/>
        <w:gridCol w:w="2700"/>
      </w:tblGrid>
      <w:tr w:rsidR="00776D07" w:rsidRPr="00341516" w:rsidTr="00847E7F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D07" w:rsidRPr="00341516" w:rsidRDefault="00776D07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 xml:space="preserve">Reagents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776D07" w:rsidP="005132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776D07" w:rsidP="005132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Vendor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776D07" w:rsidP="005132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Storage</w:t>
            </w:r>
          </w:p>
        </w:tc>
      </w:tr>
      <w:tr w:rsidR="00776D07" w:rsidRPr="00341516" w:rsidTr="00847E7F">
        <w:trPr>
          <w:cantSplit/>
          <w:trHeight w:val="39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D07" w:rsidRPr="00341516" w:rsidRDefault="00776D07" w:rsidP="00513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847E7F" w:rsidP="005132AE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IQ Control/Focus Set (REF 800-3104)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776D07" w:rsidP="005132AE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Beckman Coulter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7" w:rsidRPr="00341516" w:rsidRDefault="00776D07" w:rsidP="005132AE">
            <w:pPr>
              <w:pStyle w:val="Block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Refrigerated</w:t>
            </w:r>
          </w:p>
        </w:tc>
      </w:tr>
    </w:tbl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p w:rsidR="00776D07" w:rsidRPr="00341516" w:rsidRDefault="00776D07" w:rsidP="00C01CCA">
      <w:pPr>
        <w:rPr>
          <w:rFonts w:asciiTheme="minorHAnsi" w:hAnsiTheme="minorHAnsi"/>
          <w:sz w:val="22"/>
          <w:szCs w:val="22"/>
        </w:rPr>
      </w:pPr>
    </w:p>
    <w:p w:rsidR="00776D07" w:rsidRPr="00341516" w:rsidRDefault="00776D07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545AA" w:rsidRPr="00341516" w:rsidTr="005132AE">
        <w:trPr>
          <w:cantSplit/>
        </w:trPr>
        <w:tc>
          <w:tcPr>
            <w:tcW w:w="1728" w:type="dxa"/>
          </w:tcPr>
          <w:p w:rsidR="006545AA" w:rsidRPr="00341516" w:rsidRDefault="00776D07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Control Storage</w:t>
            </w:r>
          </w:p>
        </w:tc>
        <w:tc>
          <w:tcPr>
            <w:tcW w:w="8010" w:type="dxa"/>
          </w:tcPr>
          <w:p w:rsidR="00776D07" w:rsidRPr="00341516" w:rsidRDefault="00776D07" w:rsidP="0067567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Controls are stored at 2 to 8°</w:t>
            </w:r>
          </w:p>
          <w:p w:rsidR="00776D07" w:rsidRPr="00341516" w:rsidRDefault="00776D07" w:rsidP="00776D07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Unopened controls are stable until expiration date listed on the bottle.</w:t>
            </w:r>
          </w:p>
          <w:p w:rsidR="006545AA" w:rsidRPr="00341516" w:rsidRDefault="00776D07" w:rsidP="00776D07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Open stability is up to 15 days</w:t>
            </w:r>
            <w:r w:rsidR="006545AA" w:rsidRPr="0034151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776D07" w:rsidRPr="00341516" w:rsidTr="005132AE">
        <w:trPr>
          <w:cantSplit/>
        </w:trPr>
        <w:tc>
          <w:tcPr>
            <w:tcW w:w="1728" w:type="dxa"/>
          </w:tcPr>
          <w:p w:rsidR="00776D07" w:rsidRPr="00341516" w:rsidRDefault="00776D07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Materials and supplies</w:t>
            </w:r>
          </w:p>
        </w:tc>
        <w:tc>
          <w:tcPr>
            <w:tcW w:w="8010" w:type="dxa"/>
          </w:tcPr>
          <w:p w:rsidR="00776D07" w:rsidRPr="00341516" w:rsidRDefault="00847E7F" w:rsidP="005132A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41516">
              <w:rPr>
                <w:rFonts w:asciiTheme="minorHAnsi" w:hAnsiTheme="minorHAnsi"/>
                <w:sz w:val="22"/>
                <w:szCs w:val="22"/>
              </w:rPr>
              <w:t>iQ</w:t>
            </w:r>
            <w:proofErr w:type="spellEnd"/>
            <w:r w:rsidRPr="003415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6D07" w:rsidRPr="00341516">
              <w:rPr>
                <w:rFonts w:asciiTheme="minorHAnsi" w:hAnsiTheme="minorHAnsi"/>
                <w:sz w:val="22"/>
                <w:szCs w:val="22"/>
              </w:rPr>
              <w:t>Control Rack</w:t>
            </w:r>
          </w:p>
          <w:p w:rsidR="00776D07" w:rsidRPr="00341516" w:rsidRDefault="00776D07" w:rsidP="005132A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Test tubes </w:t>
            </w:r>
          </w:p>
        </w:tc>
      </w:tr>
    </w:tbl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p w:rsidR="00776D07" w:rsidRPr="00341516" w:rsidRDefault="00776D07" w:rsidP="00C01CCA">
      <w:pPr>
        <w:rPr>
          <w:rFonts w:asciiTheme="minorHAnsi" w:hAnsiTheme="minorHAnsi"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548"/>
        <w:gridCol w:w="180"/>
        <w:gridCol w:w="7740"/>
        <w:gridCol w:w="360"/>
      </w:tblGrid>
      <w:tr w:rsidR="00776D07" w:rsidRPr="00341516" w:rsidTr="00847E7F">
        <w:tc>
          <w:tcPr>
            <w:tcW w:w="1548" w:type="dxa"/>
          </w:tcPr>
          <w:p w:rsidR="00776D07" w:rsidRPr="00341516" w:rsidRDefault="00776D07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Quality control</w:t>
            </w:r>
          </w:p>
          <w:p w:rsidR="00776D07" w:rsidRPr="00341516" w:rsidRDefault="00776D07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/>
                <w:sz w:val="22"/>
                <w:szCs w:val="22"/>
              </w:rPr>
              <w:t>rejection</w:t>
            </w:r>
          </w:p>
        </w:tc>
        <w:tc>
          <w:tcPr>
            <w:tcW w:w="8280" w:type="dxa"/>
            <w:gridSpan w:val="3"/>
          </w:tcPr>
          <w:p w:rsidR="00776D07" w:rsidRPr="00341516" w:rsidRDefault="00776D07" w:rsidP="00F46E5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If quality control fails.  Failure must be documented and the corrective action policies for failed QC must be followed. QC follows a pass/fail system meaning no patient results can be reported until </w:t>
            </w:r>
            <w:r w:rsidR="00F46E5E" w:rsidRPr="00341516"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QC </w:t>
            </w:r>
            <w:r w:rsidR="00F46E5E" w:rsidRPr="00341516">
              <w:rPr>
                <w:rFonts w:asciiTheme="minorHAnsi" w:hAnsiTheme="minorHAnsi"/>
                <w:sz w:val="22"/>
                <w:szCs w:val="22"/>
              </w:rPr>
              <w:t>levels are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 acceptable. </w:t>
            </w:r>
          </w:p>
        </w:tc>
      </w:tr>
      <w:tr w:rsidR="00776D07" w:rsidRPr="00341516" w:rsidTr="00847E7F">
        <w:tc>
          <w:tcPr>
            <w:tcW w:w="1548" w:type="dxa"/>
          </w:tcPr>
          <w:p w:rsidR="00776D07" w:rsidRPr="00341516" w:rsidRDefault="00776D07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776D07" w:rsidRPr="00341516" w:rsidRDefault="00776D07" w:rsidP="005132AE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45AA" w:rsidRPr="00341516" w:rsidTr="00847E7F">
        <w:trPr>
          <w:gridAfter w:val="1"/>
          <w:wAfter w:w="360" w:type="dxa"/>
          <w:cantSplit/>
        </w:trPr>
        <w:tc>
          <w:tcPr>
            <w:tcW w:w="1728" w:type="dxa"/>
            <w:gridSpan w:val="2"/>
          </w:tcPr>
          <w:p w:rsidR="006545AA" w:rsidRPr="00341516" w:rsidRDefault="006545AA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Carryover</w:t>
            </w:r>
          </w:p>
        </w:tc>
        <w:tc>
          <w:tcPr>
            <w:tcW w:w="7740" w:type="dxa"/>
          </w:tcPr>
          <w:p w:rsidR="00847E7F" w:rsidRPr="00341516" w:rsidRDefault="00847E7F" w:rsidP="006545AA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Initial Carryover Study using iQ200 precision kit is only</w:t>
            </w:r>
            <w:r w:rsidR="00483D78" w:rsidRPr="00341516">
              <w:rPr>
                <w:rFonts w:asciiTheme="minorHAnsi" w:hAnsiTheme="minorHAnsi"/>
                <w:sz w:val="22"/>
                <w:szCs w:val="22"/>
              </w:rPr>
              <w:t xml:space="preserve"> performed 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during installation of instrument by FSE. Carryover </w:t>
            </w:r>
            <w:r w:rsidR="00483D78" w:rsidRPr="00341516">
              <w:rPr>
                <w:rFonts w:asciiTheme="minorHAnsi" w:hAnsiTheme="minorHAnsi"/>
                <w:sz w:val="22"/>
                <w:szCs w:val="22"/>
              </w:rPr>
              <w:t>check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 on any major maintenance or repair of the pipetting assembly of the instrument is performed by running Quality Control on iQ200.</w:t>
            </w:r>
          </w:p>
          <w:p w:rsidR="00847E7F" w:rsidRPr="00341516" w:rsidRDefault="00847E7F" w:rsidP="006545A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545AA" w:rsidRPr="00341516" w:rsidRDefault="006545AA" w:rsidP="006545AA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Carryover is assessed not only by FSE but also on daily basis by</w:t>
            </w:r>
            <w:r w:rsidR="00847E7F" w:rsidRPr="00341516">
              <w:rPr>
                <w:rFonts w:asciiTheme="minorHAnsi" w:hAnsiTheme="minorHAnsi"/>
                <w:sz w:val="22"/>
                <w:szCs w:val="22"/>
              </w:rPr>
              <w:t>:</w:t>
            </w:r>
          </w:p>
          <w:tbl>
            <w:tblPr>
              <w:tblStyle w:val="TableGrid"/>
              <w:tblW w:w="7609" w:type="dxa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6750"/>
            </w:tblGrid>
            <w:tr w:rsidR="00847E7F" w:rsidRPr="00341516" w:rsidTr="005132AE">
              <w:tc>
                <w:tcPr>
                  <w:tcW w:w="859" w:type="dxa"/>
                </w:tcPr>
                <w:p w:rsidR="00847E7F" w:rsidRPr="00341516" w:rsidRDefault="00847E7F" w:rsidP="00847E7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50" w:type="dxa"/>
                </w:tcPr>
                <w:p w:rsidR="00847E7F" w:rsidRPr="00341516" w:rsidRDefault="00847E7F" w:rsidP="00847E7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Comparing Positive QC results to Negative QC results.</w:t>
                  </w:r>
                </w:p>
              </w:tc>
            </w:tr>
            <w:tr w:rsidR="00847E7F" w:rsidRPr="00341516" w:rsidTr="005132AE">
              <w:tc>
                <w:tcPr>
                  <w:tcW w:w="859" w:type="dxa"/>
                </w:tcPr>
                <w:p w:rsidR="00847E7F" w:rsidRPr="00341516" w:rsidRDefault="00847E7F" w:rsidP="00847E7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50" w:type="dxa"/>
                </w:tcPr>
                <w:p w:rsidR="00847E7F" w:rsidRPr="00341516" w:rsidRDefault="00847E7F" w:rsidP="00847E7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Negative control must be run after Positive control and must read 0-20 </w:t>
                  </w:r>
                  <w:proofErr w:type="spellStart"/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847E7F" w:rsidRPr="00341516" w:rsidTr="005132AE">
              <w:tc>
                <w:tcPr>
                  <w:tcW w:w="859" w:type="dxa"/>
                </w:tcPr>
                <w:p w:rsidR="00847E7F" w:rsidRPr="00341516" w:rsidRDefault="00847E7F" w:rsidP="00847E7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50" w:type="dxa"/>
                </w:tcPr>
                <w:p w:rsidR="00847E7F" w:rsidRPr="00341516" w:rsidRDefault="00847E7F" w:rsidP="00847E7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Use of Carryover Pop-Up may give an indication of sample to sample possible carryover.</w:t>
                  </w:r>
                </w:p>
              </w:tc>
            </w:tr>
          </w:tbl>
          <w:p w:rsidR="00847E7F" w:rsidRPr="00341516" w:rsidRDefault="00847E7F" w:rsidP="006545A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545AA" w:rsidRPr="00341516" w:rsidRDefault="006545AA" w:rsidP="006545A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47E7F" w:rsidRPr="00341516" w:rsidRDefault="00847E7F" w:rsidP="00847E7F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 xml:space="preserve">Note: If the instrument has any unacceptable carryover (based on the manufacturer’s acceptance criteria), the </w:t>
            </w:r>
            <w:r w:rsidRPr="0034151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iQ200 </w:t>
            </w:r>
            <w:r w:rsidRPr="00341516">
              <w:rPr>
                <w:rFonts w:asciiTheme="minorHAnsi" w:hAnsiTheme="minorHAnsi"/>
                <w:iCs/>
                <w:sz w:val="22"/>
                <w:szCs w:val="22"/>
              </w:rPr>
              <w:t>microscopy controls will fail and the software will disable patient samples from being run. Acceptance criteria is that the negative control must read between 0-20 particles/</w:t>
            </w:r>
            <w:proofErr w:type="spellStart"/>
            <w:r w:rsidRPr="00341516">
              <w:rPr>
                <w:rFonts w:asciiTheme="minorHAnsi" w:hAnsiTheme="minorHAnsi"/>
                <w:iCs/>
                <w:sz w:val="22"/>
                <w:szCs w:val="22"/>
              </w:rPr>
              <w:t>uL</w:t>
            </w:r>
            <w:proofErr w:type="spellEnd"/>
          </w:p>
          <w:p w:rsidR="006545AA" w:rsidRPr="00341516" w:rsidRDefault="006545AA" w:rsidP="006545AA">
            <w:pPr>
              <w:pStyle w:val="Block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2FE" w:rsidRPr="00341516" w:rsidTr="00847E7F">
        <w:trPr>
          <w:gridAfter w:val="1"/>
          <w:wAfter w:w="360" w:type="dxa"/>
          <w:cantSplit/>
        </w:trPr>
        <w:tc>
          <w:tcPr>
            <w:tcW w:w="1728" w:type="dxa"/>
            <w:gridSpan w:val="2"/>
          </w:tcPr>
          <w:p w:rsidR="009172FE" w:rsidRPr="00341516" w:rsidRDefault="009172FE" w:rsidP="005132AE">
            <w:pPr>
              <w:pStyle w:val="Heading5"/>
              <w:rPr>
                <w:rFonts w:asciiTheme="minorHAnsi" w:hAnsiTheme="minorHAnsi"/>
                <w:szCs w:val="22"/>
              </w:rPr>
            </w:pPr>
          </w:p>
        </w:tc>
        <w:tc>
          <w:tcPr>
            <w:tcW w:w="7740" w:type="dxa"/>
          </w:tcPr>
          <w:p w:rsidR="009172FE" w:rsidRPr="00341516" w:rsidRDefault="009172FE" w:rsidP="00513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545AA" w:rsidRPr="00341516" w:rsidRDefault="006545AA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4C1426" w:rsidRPr="00341516" w:rsidTr="00DE1865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Cs/>
                <w:sz w:val="22"/>
                <w:szCs w:val="22"/>
              </w:rPr>
              <w:t xml:space="preserve">Quality control frequency </w:t>
            </w:r>
          </w:p>
        </w:tc>
      </w:tr>
      <w:tr w:rsidR="004C1426" w:rsidRPr="00341516" w:rsidTr="00DE1865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Run IQ focus once every 24 hours before running the controls</w:t>
            </w:r>
          </w:p>
        </w:tc>
      </w:tr>
      <w:tr w:rsidR="004C1426" w:rsidRPr="00341516" w:rsidTr="00DE1865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26" w:rsidRPr="00341516" w:rsidRDefault="004C1426" w:rsidP="00DE1865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IQ positive and negative controls are run once every 24 hours</w:t>
            </w:r>
          </w:p>
        </w:tc>
      </w:tr>
    </w:tbl>
    <w:p w:rsidR="009172FE" w:rsidRDefault="009172FE" w:rsidP="00C01CCA">
      <w:pPr>
        <w:rPr>
          <w:rFonts w:asciiTheme="minorHAnsi" w:hAnsiTheme="minorHAnsi"/>
          <w:sz w:val="22"/>
          <w:szCs w:val="22"/>
        </w:rPr>
      </w:pPr>
    </w:p>
    <w:p w:rsidR="004C1426" w:rsidRPr="00341516" w:rsidRDefault="004C1426" w:rsidP="00C01CCA">
      <w:pPr>
        <w:rPr>
          <w:rFonts w:asciiTheme="minorHAnsi" w:hAnsiTheme="minorHAnsi"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7110"/>
        <w:gridCol w:w="90"/>
      </w:tblGrid>
      <w:tr w:rsidR="009172FE" w:rsidRPr="00341516" w:rsidTr="00847E7F">
        <w:tc>
          <w:tcPr>
            <w:tcW w:w="1548" w:type="dxa"/>
          </w:tcPr>
          <w:p w:rsidR="009172FE" w:rsidRPr="00341516" w:rsidRDefault="009172FE" w:rsidP="005132A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9172FE" w:rsidRPr="00341516" w:rsidRDefault="009172FE" w:rsidP="005132AE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2FE" w:rsidRPr="00341516" w:rsidTr="00847E7F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cantSplit/>
        </w:trPr>
        <w:tc>
          <w:tcPr>
            <w:tcW w:w="1548" w:type="dxa"/>
            <w:hideMark/>
          </w:tcPr>
          <w:p w:rsidR="009172FE" w:rsidRPr="00341516" w:rsidRDefault="009172FE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lastRenderedPageBreak/>
              <w:t>Procedure</w:t>
            </w:r>
            <w:r w:rsidRPr="00341516">
              <w:rPr>
                <w:rFonts w:asciiTheme="minorHAnsi" w:hAnsiTheme="minorHAnsi"/>
                <w:b w:val="0"/>
                <w:szCs w:val="22"/>
              </w:rPr>
              <w:t>:</w:t>
            </w:r>
          </w:p>
        </w:tc>
        <w:tc>
          <w:tcPr>
            <w:tcW w:w="8190" w:type="dxa"/>
            <w:gridSpan w:val="2"/>
            <w:hideMark/>
          </w:tcPr>
          <w:p w:rsidR="00847E7F" w:rsidRPr="00341516" w:rsidRDefault="00847E7F" w:rsidP="00847E7F">
            <w:pPr>
              <w:pStyle w:val="Style"/>
              <w:spacing w:line="240" w:lineRule="exact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Perform Quality control on IQ200 following steps outlined in the table below </w:t>
            </w:r>
          </w:p>
          <w:p w:rsidR="009172FE" w:rsidRPr="00341516" w:rsidRDefault="009172FE" w:rsidP="005132AE">
            <w:pPr>
              <w:pStyle w:val="BulletText1"/>
              <w:numPr>
                <w:ilvl w:val="0"/>
                <w:numId w:val="0"/>
              </w:num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46" w:type="dxa"/>
              <w:tblLayout w:type="fixed"/>
              <w:tblLook w:val="0000" w:firstRow="0" w:lastRow="0" w:firstColumn="0" w:lastColumn="0" w:noHBand="0" w:noVBand="0"/>
            </w:tblPr>
            <w:tblGrid>
              <w:gridCol w:w="878"/>
              <w:gridCol w:w="6670"/>
            </w:tblGrid>
            <w:tr w:rsidR="00847E7F" w:rsidRPr="00341516" w:rsidTr="00847E7F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Header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Header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Action</w:t>
                  </w:r>
                </w:p>
              </w:tc>
            </w:tr>
            <w:tr w:rsidR="00847E7F" w:rsidRPr="00341516" w:rsidTr="00847E7F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341516" w:rsidP="00847E7F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</w:t>
                  </w:r>
                  <w:r w:rsidR="00847E7F"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he IQ200 instrument. IQ Focus is suspensions </w:t>
                  </w:r>
                  <w:proofErr w:type="spellStart"/>
                  <w:r w:rsidR="00847E7F" w:rsidRPr="00341516">
                    <w:rPr>
                      <w:rFonts w:asciiTheme="minorHAnsi" w:hAnsiTheme="minorHAnsi"/>
                      <w:sz w:val="22"/>
                      <w:szCs w:val="22"/>
                    </w:rPr>
                    <w:t>offixed</w:t>
                  </w:r>
                  <w:proofErr w:type="spellEnd"/>
                  <w:r w:rsidR="00847E7F"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human red </w:t>
                  </w:r>
                </w:p>
                <w:p w:rsidR="00847E7F" w:rsidRPr="00341516" w:rsidRDefault="00847E7F" w:rsidP="00847E7F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IQ Control/Focus Set (REF 800-3104) is used to focus and control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blood cells in a particulate-free, buffered, </w:t>
                  </w:r>
                  <w:proofErr w:type="spellStart"/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isotonically</w:t>
                  </w:r>
                  <w:proofErr w:type="spellEnd"/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balanced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solution. Keep refrigerated and bring to room temperature before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use. Once opened material can be kept at room temperature</w:t>
                  </w:r>
                </w:p>
              </w:tc>
            </w:tr>
            <w:tr w:rsidR="00847E7F" w:rsidRPr="00341516" w:rsidTr="00847E7F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IQ Positive Control (REF475-0046) is used as an abnormal control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give five hard shakes followed by five gentle inversions. Let sit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for about 1 minute until the air bubbles are dispersed. Place 3ml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of IQ Positive control into the bar-coded tube, place tube into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position 6 on the QC rack. See QC rack chart below</w:t>
                  </w:r>
                </w:p>
              </w:tc>
            </w:tr>
            <w:tr w:rsidR="00847E7F" w:rsidRPr="00341516" w:rsidTr="00847E7F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Do not shake negative control. Place barcode label on the tube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and pour 3 ml of control into the tube. Place tube in the QC rack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position 7. Note: Both positive and negative controls in positions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6 and 7 must be run at the same time</w:t>
                  </w:r>
                </w:p>
              </w:tc>
            </w:tr>
            <w:tr w:rsidR="00847E7F" w:rsidRPr="00341516" w:rsidTr="00847E7F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7E7F" w:rsidRPr="00341516" w:rsidRDefault="00847E7F" w:rsidP="00847E7F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If range are provided with each product additional controls are run for a parallel, place the second set of</w:t>
                  </w:r>
                  <w:r w:rsid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QC</w:t>
                  </w:r>
                  <w:r w:rsidR="00121AA5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9172FE" w:rsidRPr="00341516" w:rsidRDefault="009172FE" w:rsidP="005132AE">
            <w:pPr>
              <w:pStyle w:val="BulletText1"/>
              <w:numPr>
                <w:ilvl w:val="0"/>
                <w:numId w:val="0"/>
              </w:num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2FE" w:rsidRPr="00341516" w:rsidTr="00847E7F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cantSplit/>
        </w:trPr>
        <w:tc>
          <w:tcPr>
            <w:tcW w:w="1548" w:type="dxa"/>
          </w:tcPr>
          <w:p w:rsidR="009172FE" w:rsidRPr="00341516" w:rsidRDefault="009172FE" w:rsidP="005132AE">
            <w:pPr>
              <w:pStyle w:val="Heading5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2FE" w:rsidRPr="00341516" w:rsidRDefault="009172FE" w:rsidP="005132A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9172FE" w:rsidRPr="00341516" w:rsidRDefault="009172FE" w:rsidP="005132A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172FE" w:rsidRPr="00341516" w:rsidRDefault="009172FE" w:rsidP="00C01CCA">
      <w:pPr>
        <w:rPr>
          <w:rFonts w:asciiTheme="minorHAnsi" w:hAnsiTheme="minorHAnsi"/>
          <w:sz w:val="22"/>
          <w:szCs w:val="22"/>
        </w:rPr>
      </w:pPr>
    </w:p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bCs/>
                <w:sz w:val="22"/>
                <w:szCs w:val="22"/>
              </w:rPr>
              <w:t xml:space="preserve">Handling of QC material </w:t>
            </w:r>
          </w:p>
        </w:tc>
      </w:tr>
      <w:tr w:rsidR="00847E7F" w:rsidRPr="00341516" w:rsidTr="005132AE">
        <w:trPr>
          <w:cantSplit/>
          <w:trHeight w:val="129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7F" w:rsidRPr="00341516" w:rsidRDefault="00847E7F" w:rsidP="00341516">
            <w:pPr>
              <w:pStyle w:val="Style"/>
              <w:ind w:left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Shake the IQ Focus as follows. Hold the bottle upside down and give five hard sharp shakes followed by five gentle inversions. Let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sit about 1 minute until the air b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ubbles are dispersed. Pour 6 ml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of IQ focus into the bar-coded tube. Place into position 5 in the QC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rack.  See QC rack char below.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7F" w:rsidRPr="00341516" w:rsidRDefault="00847E7F" w:rsidP="00341516">
            <w:pPr>
              <w:pStyle w:val="Style"/>
              <w:ind w:left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Shake IQ Positive Control bottle. Hold the bottle upside down and give five hard shakes followed by five gentle inversions. Let sit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for about 1 minute until the air bubbles are dispersed. Place 3ml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of IQ Positive control into the bar-coded tube, place tube into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position 6 on the QC rack. See QC rack chart below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7F" w:rsidRPr="00341516" w:rsidRDefault="00847E7F" w:rsidP="00341516">
            <w:pPr>
              <w:pStyle w:val="Style"/>
              <w:ind w:left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Do not shake negative control. Place barcode label on the tube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and pour 3 ml of control into the tube. Place tube in the QC rack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position 7. Note: Both positive and negative controls in positions</w:t>
            </w:r>
          </w:p>
          <w:p w:rsidR="00847E7F" w:rsidRPr="00341516" w:rsidRDefault="00847E7F" w:rsidP="005132AE">
            <w:pPr>
              <w:pStyle w:val="Style"/>
              <w:ind w:left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6 and 7 must be run at the same time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7F" w:rsidRPr="00341516" w:rsidRDefault="00847E7F" w:rsidP="00341516">
            <w:pPr>
              <w:pStyle w:val="Style"/>
              <w:ind w:left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If additional controls are run for a parallel, place the second set of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controls as follows, place second positive control into position 8</w:t>
            </w:r>
            <w:r w:rsidR="0034151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and the second IQ negative control in position 9 of the QC rack.</w:t>
            </w:r>
          </w:p>
        </w:tc>
      </w:tr>
    </w:tbl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990"/>
        <w:gridCol w:w="198"/>
        <w:gridCol w:w="792"/>
        <w:gridCol w:w="509"/>
        <w:gridCol w:w="1882"/>
        <w:gridCol w:w="1440"/>
        <w:gridCol w:w="1094"/>
        <w:gridCol w:w="2023"/>
      </w:tblGrid>
      <w:tr w:rsidR="00847E7F" w:rsidRPr="00341516" w:rsidTr="00847E7F">
        <w:trPr>
          <w:cantSplit/>
        </w:trPr>
        <w:tc>
          <w:tcPr>
            <w:tcW w:w="1728" w:type="dxa"/>
            <w:gridSpan w:val="3"/>
          </w:tcPr>
          <w:p w:rsidR="00847E7F" w:rsidRPr="00341516" w:rsidRDefault="00847E7F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QC rack</w:t>
            </w:r>
          </w:p>
        </w:tc>
        <w:tc>
          <w:tcPr>
            <w:tcW w:w="7740" w:type="dxa"/>
            <w:gridSpan w:val="6"/>
          </w:tcPr>
          <w:p w:rsidR="00847E7F" w:rsidRPr="00341516" w:rsidRDefault="00847E7F" w:rsidP="00483D78">
            <w:pPr>
              <w:pStyle w:val="Block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See table for correct loading of the QC rack</w:t>
            </w:r>
          </w:p>
          <w:p w:rsidR="00847E7F" w:rsidRPr="00341516" w:rsidRDefault="00847E7F" w:rsidP="005132AE">
            <w:pPr>
              <w:pStyle w:val="Block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right="264"/>
              <w:jc w:val="righ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Insert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4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proofErr w:type="spellStart"/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Vol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9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Barcode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right="264"/>
              <w:jc w:val="righ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color 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1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None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3m!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Iris system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Cleans lines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54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Cleanser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0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Gray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Iris Diluent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Rinses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54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Cleanser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from lines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0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Gray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 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Iris Diluent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Rinses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4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Cleanser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from lines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8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w w:val="90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None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Empty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3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w w:val="89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w w:val="89"/>
                <w:sz w:val="22"/>
                <w:szCs w:val="22"/>
              </w:rPr>
              <w:t xml:space="preserve">5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Dark blue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6ml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IQ Focus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Focuses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Yes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2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camera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21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Orange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IQ positive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Primary lot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Yes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positive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4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0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Light blue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 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IQ negative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Primary lot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Yes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negative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44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0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Orange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 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Optional 2</w:t>
            </w:r>
            <w:r w:rsidRPr="00341516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ml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 lot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Secondary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Yes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6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IQ positive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lot positive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4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for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6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parallel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0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Light blue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>Optional 2</w:t>
            </w:r>
            <w:r w:rsidRPr="00341516">
              <w:rPr>
                <w:rFonts w:asciiTheme="minorHAnsi" w:hAnsiTheme="minorHAnsi"/>
                <w:sz w:val="22"/>
                <w:szCs w:val="22"/>
                <w:vertAlign w:val="superscript"/>
              </w:rPr>
              <w:t>na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Lot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Secondary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Yes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7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IQ Negative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lot negative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4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control in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8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parallel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31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Gray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100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3 ml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Iris Diluent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Will initiate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8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No </w:t>
            </w:r>
          </w:p>
        </w:tc>
      </w:tr>
      <w:tr w:rsidR="00847E7F" w:rsidRPr="00341516" w:rsidTr="00847E7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40" w:type="dxa"/>
          <w:wAfter w:w="2023" w:type="dxa"/>
          <w:trHeight w:hRule="exact"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ind w:left="91"/>
              <w:rPr>
                <w:rFonts w:asciiTheme="minorHAnsi" w:hAnsiTheme="minorHAnsi" w:cs="Times New Roman"/>
                <w:sz w:val="22"/>
                <w:szCs w:val="22"/>
              </w:rPr>
            </w:pPr>
            <w:r w:rsidRPr="00341516">
              <w:rPr>
                <w:rFonts w:asciiTheme="minorHAnsi" w:hAnsiTheme="minorHAnsi" w:cs="Times New Roman"/>
                <w:sz w:val="22"/>
                <w:szCs w:val="22"/>
              </w:rPr>
              <w:t xml:space="preserve">a shut down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7F" w:rsidRPr="00341516" w:rsidRDefault="00847E7F" w:rsidP="005132AE">
            <w:pPr>
              <w:pStyle w:val="Style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p w:rsidR="00C01CCA" w:rsidRPr="00341516" w:rsidRDefault="00C01CCA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Default="004C1426" w:rsidP="00C01C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</w:t>
      </w:r>
      <w:r w:rsidRPr="004C1426">
        <w:rPr>
          <w:rFonts w:asciiTheme="minorHAnsi" w:hAnsiTheme="minorHAnsi"/>
          <w:b/>
          <w:sz w:val="22"/>
          <w:szCs w:val="22"/>
        </w:rPr>
        <w:t>Procedure</w:t>
      </w:r>
      <w:r>
        <w:rPr>
          <w:rFonts w:asciiTheme="minorHAnsi" w:hAnsiTheme="minorHAnsi"/>
          <w:sz w:val="22"/>
          <w:szCs w:val="22"/>
        </w:rPr>
        <w:t>, continued</w:t>
      </w:r>
    </w:p>
    <w:p w:rsidR="00121AA5" w:rsidRPr="00341516" w:rsidRDefault="00121AA5" w:rsidP="00C01CC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Header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Action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The controls in positions 6 and 7 (and 8 and 9 if present) of the QC</w:t>
            </w:r>
            <w:r w:rsidR="00483D78" w:rsidRPr="003415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1516">
              <w:rPr>
                <w:rFonts w:asciiTheme="minorHAnsi" w:hAnsiTheme="minorHAnsi"/>
                <w:sz w:val="22"/>
                <w:szCs w:val="22"/>
              </w:rPr>
              <w:t>rack will automatically be processed.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If the results are within allowable range, the date and time of the</w:t>
            </w:r>
          </w:p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QC will appear on the last QC field of the instrument screen. Then</w:t>
            </w:r>
          </w:p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it is Ok to proceed with patient testing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If the QC results are out of range repeat the controls using fresh</w:t>
            </w:r>
          </w:p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Aliquots of both IQ positive and IQ negative controls.  If results are in proceed with patient testing.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If results are still out repeat using new bottles of controls.  If results are in proceed with patient testing.</w:t>
            </w:r>
          </w:p>
        </w:tc>
      </w:tr>
      <w:tr w:rsidR="00847E7F" w:rsidRPr="00341516" w:rsidTr="005132A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4C1426" w:rsidP="005132AE">
            <w:pPr>
              <w:pStyle w:val="Table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7F" w:rsidRPr="00341516" w:rsidRDefault="00847E7F" w:rsidP="005132AE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If results are still out notify supervisor and contact Iris Diagnostics</w:t>
            </w:r>
          </w:p>
          <w:p w:rsidR="00847E7F" w:rsidRPr="00341516" w:rsidRDefault="00847E7F" w:rsidP="00847E7F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Technical Service. Do not proceed with patient testing until problem is resolved.</w:t>
            </w:r>
          </w:p>
        </w:tc>
      </w:tr>
    </w:tbl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p w:rsidR="00847E7F" w:rsidRPr="00341516" w:rsidRDefault="00847E7F" w:rsidP="00C01CCA">
      <w:pPr>
        <w:rPr>
          <w:rFonts w:asciiTheme="minorHAnsi" w:hAnsiTheme="minorHAnsi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41190" w:rsidRPr="00341516" w:rsidTr="00A41190">
        <w:trPr>
          <w:cantSplit/>
        </w:trPr>
        <w:tc>
          <w:tcPr>
            <w:tcW w:w="1728" w:type="dxa"/>
          </w:tcPr>
          <w:p w:rsidR="00A41190" w:rsidRPr="00341516" w:rsidRDefault="00A41190" w:rsidP="00C01CCA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Controlled Documents</w:t>
            </w:r>
          </w:p>
        </w:tc>
        <w:tc>
          <w:tcPr>
            <w:tcW w:w="8010" w:type="dxa"/>
          </w:tcPr>
          <w:p w:rsidR="00A41190" w:rsidRPr="00341516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The following controlled documents support this procedure.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Document Name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Safety Practices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LAMC-PPP-0127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Infection Control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LAMC-PPP-0128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Universal Body Substance Precaution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LAMC-PPP-0129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Handling of Regular and Infectious Waste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Cleaning Work Areas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Hand-washing Policy</w:t>
                  </w:r>
                </w:p>
              </w:tc>
            </w:tr>
            <w:tr w:rsidR="00A41190" w:rsidRPr="00341516" w:rsidTr="00C01CCA">
              <w:tc>
                <w:tcPr>
                  <w:tcW w:w="2407" w:type="dxa"/>
                  <w:shd w:val="clear" w:color="auto" w:fill="auto"/>
                </w:tcPr>
                <w:p w:rsidR="00A41190" w:rsidRPr="00341516" w:rsidRDefault="00A41190" w:rsidP="00C01C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341516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Storage and Disposal of Chemical Hazardous Waste</w:t>
                  </w:r>
                </w:p>
              </w:tc>
            </w:tr>
          </w:tbl>
          <w:p w:rsidR="00A41190" w:rsidRPr="00341516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D3965" w:rsidRPr="00341516" w:rsidRDefault="004D3965">
      <w:pPr>
        <w:rPr>
          <w:rFonts w:asciiTheme="minorHAnsi" w:hAnsiTheme="minorHAnsi"/>
          <w:sz w:val="22"/>
          <w:szCs w:val="22"/>
        </w:rPr>
      </w:pPr>
    </w:p>
    <w:p w:rsidR="00A13F18" w:rsidRPr="00341516" w:rsidRDefault="00A13F18">
      <w:pPr>
        <w:rPr>
          <w:rFonts w:asciiTheme="minorHAnsi" w:hAnsiTheme="minorHAnsi"/>
          <w:sz w:val="22"/>
          <w:szCs w:val="22"/>
        </w:rPr>
      </w:pPr>
    </w:p>
    <w:p w:rsidR="004D3965" w:rsidRPr="00341516" w:rsidRDefault="004D3965">
      <w:pPr>
        <w:rPr>
          <w:rFonts w:asciiTheme="minorHAnsi" w:hAnsiTheme="minorHAnsi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41190" w:rsidRPr="00341516" w:rsidTr="00A41190">
        <w:trPr>
          <w:cantSplit/>
        </w:trPr>
        <w:tc>
          <w:tcPr>
            <w:tcW w:w="1728" w:type="dxa"/>
          </w:tcPr>
          <w:p w:rsidR="00A41190" w:rsidRPr="00341516" w:rsidRDefault="004D3965" w:rsidP="00C01CCA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Non Controlled Documents</w:t>
            </w:r>
          </w:p>
          <w:p w:rsidR="00C01CCA" w:rsidRPr="00341516" w:rsidRDefault="00C01CCA" w:rsidP="00C01CCA">
            <w:pPr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1800" w:type="dxa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6760"/>
            </w:tblGrid>
            <w:tr w:rsidR="00C01CCA" w:rsidRPr="00341516" w:rsidTr="00C01CCA">
              <w:trPr>
                <w:cantSplit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341516" w:rsidRDefault="00C01CCA" w:rsidP="00C01CCA">
                  <w:pPr>
                    <w:pStyle w:val="TableHeaderTex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341516" w:rsidRDefault="00C01CCA" w:rsidP="00C01CCA">
                  <w:pPr>
                    <w:pStyle w:val="TableHeaderTex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Document Name</w:t>
                  </w:r>
                </w:p>
              </w:tc>
            </w:tr>
            <w:tr w:rsidR="00C01CCA" w:rsidRPr="00341516" w:rsidTr="00C01CCA">
              <w:trPr>
                <w:cantSplit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341516" w:rsidRDefault="00C01CCA" w:rsidP="00C01CCA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341516" w:rsidRDefault="00C01CCA" w:rsidP="00C01CCA">
                  <w:pPr>
                    <w:pStyle w:val="TableTex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IChem</w:t>
                  </w:r>
                  <w:proofErr w:type="spellEnd"/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 xml:space="preserve"> VELOCITY Operator’s Manual, 300-4449 English Rev E 10/2008</w:t>
                  </w:r>
                </w:p>
              </w:tc>
            </w:tr>
          </w:tbl>
          <w:p w:rsidR="00C01CCA" w:rsidRPr="00341516" w:rsidRDefault="00C01CCA" w:rsidP="00C01C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41190" w:rsidRPr="00341516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41190" w:rsidRPr="00341516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"/>
              <w:gridCol w:w="6570"/>
            </w:tblGrid>
            <w:tr w:rsidR="004D3965" w:rsidRPr="00341516" w:rsidTr="004D3965">
              <w:tc>
                <w:tcPr>
                  <w:tcW w:w="949" w:type="dxa"/>
                  <w:shd w:val="clear" w:color="auto" w:fill="auto"/>
                </w:tcPr>
                <w:p w:rsidR="004D3965" w:rsidRPr="00341516" w:rsidRDefault="004D3965" w:rsidP="004D3965">
                  <w:pPr>
                    <w:pStyle w:val="BlockTex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4D3965" w:rsidRPr="00341516" w:rsidRDefault="004D3965" w:rsidP="004D3965">
                  <w:pPr>
                    <w:pStyle w:val="BlockTex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Document Name</w:t>
                  </w:r>
                </w:p>
              </w:tc>
            </w:tr>
            <w:tr w:rsidR="004D3965" w:rsidRPr="00341516" w:rsidTr="004D3965">
              <w:tc>
                <w:tcPr>
                  <w:tcW w:w="949" w:type="dxa"/>
                  <w:shd w:val="clear" w:color="auto" w:fill="auto"/>
                </w:tcPr>
                <w:p w:rsidR="004D3965" w:rsidRPr="00341516" w:rsidRDefault="004D3965" w:rsidP="004D3965">
                  <w:pPr>
                    <w:pStyle w:val="BlockTex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4D3965" w:rsidRPr="00341516" w:rsidRDefault="00A13F18" w:rsidP="004D3965">
                  <w:pPr>
                    <w:pStyle w:val="BlockText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1516">
                    <w:rPr>
                      <w:rFonts w:asciiTheme="minorHAnsi" w:hAnsiTheme="minorHAnsi"/>
                      <w:sz w:val="22"/>
                      <w:szCs w:val="22"/>
                    </w:rPr>
                    <w:t>IQ200 Operators manual</w:t>
                  </w:r>
                </w:p>
              </w:tc>
            </w:tr>
          </w:tbl>
          <w:p w:rsidR="00A41190" w:rsidRPr="00341516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6DB2" w:rsidRPr="00341516" w:rsidTr="00A41190">
        <w:trPr>
          <w:cantSplit/>
        </w:trPr>
        <w:tc>
          <w:tcPr>
            <w:tcW w:w="1728" w:type="dxa"/>
          </w:tcPr>
          <w:p w:rsidR="00F06DB2" w:rsidRPr="00341516" w:rsidRDefault="00F06DB2" w:rsidP="00F06DB2">
            <w:pPr>
              <w:pStyle w:val="Heading5"/>
              <w:rPr>
                <w:rFonts w:asciiTheme="minorHAnsi" w:hAnsiTheme="minorHAnsi"/>
                <w:szCs w:val="22"/>
              </w:rPr>
            </w:pPr>
            <w:r w:rsidRPr="00341516">
              <w:rPr>
                <w:rFonts w:asciiTheme="minorHAnsi" w:hAnsiTheme="minorHAnsi"/>
                <w:szCs w:val="22"/>
              </w:rPr>
              <w:t>Author</w:t>
            </w:r>
            <w:r w:rsidR="00D32C36" w:rsidRPr="00341516">
              <w:rPr>
                <w:rFonts w:asciiTheme="minorHAnsi" w:hAnsiTheme="minorHAnsi"/>
                <w:szCs w:val="22"/>
              </w:rPr>
              <w:t>(s)</w:t>
            </w:r>
          </w:p>
        </w:tc>
        <w:tc>
          <w:tcPr>
            <w:tcW w:w="8010" w:type="dxa"/>
          </w:tcPr>
          <w:p w:rsidR="00F06DB2" w:rsidRPr="00341516" w:rsidRDefault="00871559" w:rsidP="00F06DB2">
            <w:pPr>
              <w:rPr>
                <w:rFonts w:asciiTheme="minorHAnsi" w:hAnsiTheme="minorHAnsi"/>
                <w:sz w:val="22"/>
                <w:szCs w:val="22"/>
              </w:rPr>
            </w:pPr>
            <w:r w:rsidRPr="00341516">
              <w:rPr>
                <w:rFonts w:asciiTheme="minorHAnsi" w:hAnsiTheme="minorHAnsi"/>
                <w:sz w:val="22"/>
                <w:szCs w:val="22"/>
              </w:rPr>
              <w:t>Alvin Castillo</w:t>
            </w:r>
          </w:p>
          <w:p w:rsidR="00D05042" w:rsidRPr="00341516" w:rsidRDefault="00D05042" w:rsidP="00F06D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6AE2" w:rsidRPr="00341516" w:rsidRDefault="00D26AE2" w:rsidP="00D26AE2">
      <w:pPr>
        <w:pStyle w:val="BlockLine"/>
        <w:rPr>
          <w:rFonts w:asciiTheme="minorHAnsi" w:hAnsiTheme="minorHAnsi"/>
          <w:sz w:val="22"/>
          <w:szCs w:val="22"/>
        </w:rPr>
      </w:pPr>
    </w:p>
    <w:p w:rsidR="00F06DB2" w:rsidRPr="00341516" w:rsidRDefault="00F06DB2" w:rsidP="00D26AE2">
      <w:pPr>
        <w:rPr>
          <w:rFonts w:asciiTheme="minorHAnsi" w:hAnsiTheme="minorHAnsi"/>
          <w:sz w:val="22"/>
          <w:szCs w:val="22"/>
        </w:rPr>
      </w:pPr>
    </w:p>
    <w:sectPr w:rsidR="00F06DB2" w:rsidRPr="00341516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61" w:rsidRDefault="00764D61">
      <w:r>
        <w:separator/>
      </w:r>
    </w:p>
  </w:endnote>
  <w:endnote w:type="continuationSeparator" w:id="0">
    <w:p w:rsidR="00764D61" w:rsidRDefault="0076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121AA5">
      <w:rPr>
        <w:i/>
        <w:noProof/>
        <w:snapToGrid w:val="0"/>
        <w:sz w:val="20"/>
      </w:rPr>
      <w:instrText>5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121AA5">
      <w:rPr>
        <w:i/>
        <w:noProof/>
        <w:snapToGrid w:val="0"/>
        <w:sz w:val="20"/>
      </w:rPr>
      <w:instrText>6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121AA5">
      <w:rPr>
        <w:i/>
        <w:snapToGrid w:val="0"/>
        <w:sz w:val="20"/>
      </w:rPr>
      <w:fldChar w:fldCharType="separate"/>
    </w:r>
    <w:r w:rsidR="00121AA5" w:rsidRPr="00637656">
      <w:rPr>
        <w:i/>
        <w:noProof/>
      </w:rPr>
      <w:t xml:space="preserve"> </w:t>
    </w:r>
    <w:r w:rsidR="00121AA5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121AA5">
      <w:rPr>
        <w:rStyle w:val="PageNumber"/>
        <w:rFonts w:ascii="Arial" w:hAnsi="Arial" w:cs="Arial"/>
        <w:noProof/>
        <w:sz w:val="20"/>
      </w:rPr>
      <w:t>5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121AA5">
      <w:rPr>
        <w:rStyle w:val="PageNumber"/>
        <w:rFonts w:ascii="Arial" w:hAnsi="Arial" w:cs="Arial"/>
        <w:noProof/>
        <w:sz w:val="20"/>
      </w:rPr>
      <w:t>6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61" w:rsidRDefault="00764D61">
      <w:r>
        <w:separator/>
      </w:r>
    </w:p>
  </w:footnote>
  <w:footnote w:type="continuationSeparator" w:id="0">
    <w:p w:rsidR="00764D61" w:rsidRDefault="0076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C01CCA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190783" w:rsidRDefault="009750CC" w:rsidP="00190783">
    <w:pPr>
      <w:pStyle w:val="Heading4"/>
    </w:pPr>
    <w:r>
      <w:t>Quality Control on IQ200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C01CCA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6C6542F"/>
    <w:multiLevelType w:val="hybridMultilevel"/>
    <w:tmpl w:val="B3FC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D6659"/>
    <w:multiLevelType w:val="hybridMultilevel"/>
    <w:tmpl w:val="852A40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56F513B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E70"/>
    <w:multiLevelType w:val="hybridMultilevel"/>
    <w:tmpl w:val="5C44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731CD"/>
    <w:multiLevelType w:val="hybridMultilevel"/>
    <w:tmpl w:val="057A924E"/>
    <w:lvl w:ilvl="0" w:tplc="48BCC4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44FE8"/>
    <w:multiLevelType w:val="hybridMultilevel"/>
    <w:tmpl w:val="81E0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3469F"/>
    <w:multiLevelType w:val="hybridMultilevel"/>
    <w:tmpl w:val="D9D0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521AB"/>
    <w:multiLevelType w:val="hybridMultilevel"/>
    <w:tmpl w:val="0DC47E0C"/>
    <w:lvl w:ilvl="0" w:tplc="E334D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41E6"/>
    <w:multiLevelType w:val="hybridMultilevel"/>
    <w:tmpl w:val="BA689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C3EE6"/>
    <w:multiLevelType w:val="hybridMultilevel"/>
    <w:tmpl w:val="A1445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7137"/>
    <w:multiLevelType w:val="hybridMultilevel"/>
    <w:tmpl w:val="E43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62892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55350"/>
    <w:multiLevelType w:val="hybridMultilevel"/>
    <w:tmpl w:val="2A58E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506A2"/>
    <w:multiLevelType w:val="multilevel"/>
    <w:tmpl w:val="3652533C"/>
    <w:lvl w:ilvl="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164" w:hanging="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581272ED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E7F9D"/>
    <w:multiLevelType w:val="hybridMultilevel"/>
    <w:tmpl w:val="2E887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B5944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2196"/>
    <w:multiLevelType w:val="hybridMultilevel"/>
    <w:tmpl w:val="03F8A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3212A"/>
    <w:multiLevelType w:val="hybridMultilevel"/>
    <w:tmpl w:val="1FC8B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8407290"/>
    <w:multiLevelType w:val="singleLevel"/>
    <w:tmpl w:val="5BE4CC3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40" w15:restartNumberingAfterBreak="0">
    <w:nsid w:val="78EB3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A1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"/>
  </w:num>
  <w:num w:numId="3">
    <w:abstractNumId w:val="23"/>
  </w:num>
  <w:num w:numId="4">
    <w:abstractNumId w:val="7"/>
  </w:num>
  <w:num w:numId="5">
    <w:abstractNumId w:val="4"/>
  </w:num>
  <w:num w:numId="6">
    <w:abstractNumId w:val="2"/>
  </w:num>
  <w:num w:numId="7">
    <w:abstractNumId w:val="34"/>
  </w:num>
  <w:num w:numId="8">
    <w:abstractNumId w:val="11"/>
  </w:num>
  <w:num w:numId="9">
    <w:abstractNumId w:val="13"/>
  </w:num>
  <w:num w:numId="10">
    <w:abstractNumId w:val="30"/>
  </w:num>
  <w:num w:numId="11">
    <w:abstractNumId w:val="31"/>
  </w:num>
  <w:num w:numId="12">
    <w:abstractNumId w:val="1"/>
  </w:num>
  <w:num w:numId="13">
    <w:abstractNumId w:val="41"/>
  </w:num>
  <w:num w:numId="14">
    <w:abstractNumId w:val="38"/>
  </w:num>
  <w:num w:numId="15">
    <w:abstractNumId w:val="32"/>
  </w:num>
  <w:num w:numId="16">
    <w:abstractNumId w:val="16"/>
  </w:num>
  <w:num w:numId="17">
    <w:abstractNumId w:val="36"/>
  </w:num>
  <w:num w:numId="18">
    <w:abstractNumId w:val="35"/>
  </w:num>
  <w:num w:numId="19">
    <w:abstractNumId w:val="37"/>
  </w:num>
  <w:num w:numId="20">
    <w:abstractNumId w:val="21"/>
  </w:num>
  <w:num w:numId="21">
    <w:abstractNumId w:val="25"/>
  </w:num>
  <w:num w:numId="22">
    <w:abstractNumId w:val="18"/>
  </w:num>
  <w:num w:numId="23">
    <w:abstractNumId w:val="17"/>
  </w:num>
  <w:num w:numId="24">
    <w:abstractNumId w:val="5"/>
  </w:num>
  <w:num w:numId="25">
    <w:abstractNumId w:val="33"/>
  </w:num>
  <w:num w:numId="26">
    <w:abstractNumId w:val="26"/>
  </w:num>
  <w:num w:numId="27">
    <w:abstractNumId w:val="42"/>
  </w:num>
  <w:num w:numId="28">
    <w:abstractNumId w:val="24"/>
  </w:num>
  <w:num w:numId="29">
    <w:abstractNumId w:val="40"/>
  </w:num>
  <w:num w:numId="30">
    <w:abstractNumId w:val="28"/>
  </w:num>
  <w:num w:numId="31">
    <w:abstractNumId w:val="6"/>
  </w:num>
  <w:num w:numId="32">
    <w:abstractNumId w:val="9"/>
  </w:num>
  <w:num w:numId="33">
    <w:abstractNumId w:val="12"/>
  </w:num>
  <w:num w:numId="34">
    <w:abstractNumId w:val="27"/>
  </w:num>
  <w:num w:numId="35">
    <w:abstractNumId w:val="8"/>
  </w:num>
  <w:num w:numId="36">
    <w:abstractNumId w:val="10"/>
  </w:num>
  <w:num w:numId="37">
    <w:abstractNumId w:val="15"/>
  </w:num>
  <w:num w:numId="38">
    <w:abstractNumId w:val="20"/>
  </w:num>
  <w:num w:numId="39">
    <w:abstractNumId w:val="39"/>
  </w:num>
  <w:num w:numId="40">
    <w:abstractNumId w:val="14"/>
  </w:num>
  <w:num w:numId="41">
    <w:abstractNumId w:val="19"/>
  </w:num>
  <w:num w:numId="42">
    <w:abstractNumId w:val="22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23379"/>
    <w:rsid w:val="00036CF5"/>
    <w:rsid w:val="00042DAA"/>
    <w:rsid w:val="00046878"/>
    <w:rsid w:val="00047EF7"/>
    <w:rsid w:val="00056877"/>
    <w:rsid w:val="000728C4"/>
    <w:rsid w:val="00086A2C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21AA5"/>
    <w:rsid w:val="00130C26"/>
    <w:rsid w:val="00130D9F"/>
    <w:rsid w:val="00133FA5"/>
    <w:rsid w:val="00134C53"/>
    <w:rsid w:val="00137FEF"/>
    <w:rsid w:val="001406A5"/>
    <w:rsid w:val="00144E3A"/>
    <w:rsid w:val="0018670E"/>
    <w:rsid w:val="00190783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70793"/>
    <w:rsid w:val="00273CCB"/>
    <w:rsid w:val="002A0EA3"/>
    <w:rsid w:val="002A79D0"/>
    <w:rsid w:val="002C1AC8"/>
    <w:rsid w:val="002C3C99"/>
    <w:rsid w:val="002C46A4"/>
    <w:rsid w:val="002D5E11"/>
    <w:rsid w:val="002E0623"/>
    <w:rsid w:val="00302013"/>
    <w:rsid w:val="003114DA"/>
    <w:rsid w:val="003166A2"/>
    <w:rsid w:val="00334141"/>
    <w:rsid w:val="00334224"/>
    <w:rsid w:val="003347F0"/>
    <w:rsid w:val="00341516"/>
    <w:rsid w:val="003454E3"/>
    <w:rsid w:val="00346DB9"/>
    <w:rsid w:val="003471B5"/>
    <w:rsid w:val="00365A64"/>
    <w:rsid w:val="00373740"/>
    <w:rsid w:val="00377806"/>
    <w:rsid w:val="003805DB"/>
    <w:rsid w:val="003812BA"/>
    <w:rsid w:val="003837C0"/>
    <w:rsid w:val="00384A92"/>
    <w:rsid w:val="00390C1A"/>
    <w:rsid w:val="00397DEF"/>
    <w:rsid w:val="003A7308"/>
    <w:rsid w:val="003C2269"/>
    <w:rsid w:val="003C508E"/>
    <w:rsid w:val="003C6786"/>
    <w:rsid w:val="003D1825"/>
    <w:rsid w:val="003E40F0"/>
    <w:rsid w:val="003F0A0D"/>
    <w:rsid w:val="004160B3"/>
    <w:rsid w:val="004223E3"/>
    <w:rsid w:val="00433D1F"/>
    <w:rsid w:val="00440B6B"/>
    <w:rsid w:val="00452AA8"/>
    <w:rsid w:val="00454667"/>
    <w:rsid w:val="00471432"/>
    <w:rsid w:val="004802BC"/>
    <w:rsid w:val="00480580"/>
    <w:rsid w:val="00482A53"/>
    <w:rsid w:val="00483D78"/>
    <w:rsid w:val="0048686C"/>
    <w:rsid w:val="004965AA"/>
    <w:rsid w:val="004B2090"/>
    <w:rsid w:val="004C1426"/>
    <w:rsid w:val="004C1667"/>
    <w:rsid w:val="004C1AD2"/>
    <w:rsid w:val="004C1B71"/>
    <w:rsid w:val="004D3965"/>
    <w:rsid w:val="00504B96"/>
    <w:rsid w:val="0050518A"/>
    <w:rsid w:val="005133FE"/>
    <w:rsid w:val="00544E86"/>
    <w:rsid w:val="00562E21"/>
    <w:rsid w:val="00595006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545AA"/>
    <w:rsid w:val="0067567A"/>
    <w:rsid w:val="00677481"/>
    <w:rsid w:val="006A107B"/>
    <w:rsid w:val="006A72CD"/>
    <w:rsid w:val="006C461B"/>
    <w:rsid w:val="006C4C9A"/>
    <w:rsid w:val="006D60D0"/>
    <w:rsid w:val="006E67E1"/>
    <w:rsid w:val="006E7401"/>
    <w:rsid w:val="00700D63"/>
    <w:rsid w:val="00706B6E"/>
    <w:rsid w:val="00707CAE"/>
    <w:rsid w:val="0075494B"/>
    <w:rsid w:val="00760854"/>
    <w:rsid w:val="00763747"/>
    <w:rsid w:val="00764D61"/>
    <w:rsid w:val="00774558"/>
    <w:rsid w:val="00776D07"/>
    <w:rsid w:val="00781F79"/>
    <w:rsid w:val="00783EFF"/>
    <w:rsid w:val="00787027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2621B"/>
    <w:rsid w:val="008415B6"/>
    <w:rsid w:val="008432AD"/>
    <w:rsid w:val="00847E7F"/>
    <w:rsid w:val="008660FE"/>
    <w:rsid w:val="00871559"/>
    <w:rsid w:val="00875F81"/>
    <w:rsid w:val="0088237F"/>
    <w:rsid w:val="00883D0A"/>
    <w:rsid w:val="0088433C"/>
    <w:rsid w:val="00885E0C"/>
    <w:rsid w:val="0089105A"/>
    <w:rsid w:val="00893352"/>
    <w:rsid w:val="008C29BB"/>
    <w:rsid w:val="008C45FE"/>
    <w:rsid w:val="008D4E7A"/>
    <w:rsid w:val="008F5077"/>
    <w:rsid w:val="009172FE"/>
    <w:rsid w:val="00936C1B"/>
    <w:rsid w:val="0094018B"/>
    <w:rsid w:val="009451A0"/>
    <w:rsid w:val="00947B7E"/>
    <w:rsid w:val="00966189"/>
    <w:rsid w:val="00971F62"/>
    <w:rsid w:val="00972031"/>
    <w:rsid w:val="0097329A"/>
    <w:rsid w:val="009750CC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9F732C"/>
    <w:rsid w:val="00A10B4E"/>
    <w:rsid w:val="00A13F18"/>
    <w:rsid w:val="00A14DC0"/>
    <w:rsid w:val="00A14F18"/>
    <w:rsid w:val="00A2202A"/>
    <w:rsid w:val="00A3670D"/>
    <w:rsid w:val="00A41190"/>
    <w:rsid w:val="00A51116"/>
    <w:rsid w:val="00A60B08"/>
    <w:rsid w:val="00A6192E"/>
    <w:rsid w:val="00A66379"/>
    <w:rsid w:val="00A8143D"/>
    <w:rsid w:val="00AA2C0B"/>
    <w:rsid w:val="00AB4147"/>
    <w:rsid w:val="00AB4889"/>
    <w:rsid w:val="00AC231D"/>
    <w:rsid w:val="00AC7F63"/>
    <w:rsid w:val="00AD1CD4"/>
    <w:rsid w:val="00AD6204"/>
    <w:rsid w:val="00AE303D"/>
    <w:rsid w:val="00AF10E7"/>
    <w:rsid w:val="00AF31B0"/>
    <w:rsid w:val="00B00F67"/>
    <w:rsid w:val="00B03F26"/>
    <w:rsid w:val="00B045E7"/>
    <w:rsid w:val="00B14A3D"/>
    <w:rsid w:val="00B1537F"/>
    <w:rsid w:val="00B16284"/>
    <w:rsid w:val="00B50BFF"/>
    <w:rsid w:val="00B52EDA"/>
    <w:rsid w:val="00B53A05"/>
    <w:rsid w:val="00B559BC"/>
    <w:rsid w:val="00B57DAA"/>
    <w:rsid w:val="00B71F0C"/>
    <w:rsid w:val="00B768CE"/>
    <w:rsid w:val="00B83E97"/>
    <w:rsid w:val="00B9218C"/>
    <w:rsid w:val="00B965B8"/>
    <w:rsid w:val="00BA7F6C"/>
    <w:rsid w:val="00BB00E7"/>
    <w:rsid w:val="00BB0F09"/>
    <w:rsid w:val="00BE1ADD"/>
    <w:rsid w:val="00BF0DF7"/>
    <w:rsid w:val="00BF7178"/>
    <w:rsid w:val="00C01CCA"/>
    <w:rsid w:val="00C0550A"/>
    <w:rsid w:val="00C1330E"/>
    <w:rsid w:val="00C14D20"/>
    <w:rsid w:val="00C311E2"/>
    <w:rsid w:val="00C33311"/>
    <w:rsid w:val="00C45269"/>
    <w:rsid w:val="00C60114"/>
    <w:rsid w:val="00C604D8"/>
    <w:rsid w:val="00C66F6C"/>
    <w:rsid w:val="00C75F4B"/>
    <w:rsid w:val="00C80C96"/>
    <w:rsid w:val="00C84E28"/>
    <w:rsid w:val="00C87487"/>
    <w:rsid w:val="00C95BA9"/>
    <w:rsid w:val="00CA0A63"/>
    <w:rsid w:val="00CA67B8"/>
    <w:rsid w:val="00CB48C3"/>
    <w:rsid w:val="00CC02CC"/>
    <w:rsid w:val="00CC0ED8"/>
    <w:rsid w:val="00CD6FE3"/>
    <w:rsid w:val="00CE1C69"/>
    <w:rsid w:val="00CE462F"/>
    <w:rsid w:val="00CE4A7F"/>
    <w:rsid w:val="00CF3295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329C"/>
    <w:rsid w:val="00D90CBE"/>
    <w:rsid w:val="00DA1F32"/>
    <w:rsid w:val="00DC3744"/>
    <w:rsid w:val="00DD53EF"/>
    <w:rsid w:val="00DE223A"/>
    <w:rsid w:val="00DE398C"/>
    <w:rsid w:val="00E118A1"/>
    <w:rsid w:val="00E301AE"/>
    <w:rsid w:val="00E42FE4"/>
    <w:rsid w:val="00E50BBB"/>
    <w:rsid w:val="00E51458"/>
    <w:rsid w:val="00E51C25"/>
    <w:rsid w:val="00E5453D"/>
    <w:rsid w:val="00E56DC2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20D81"/>
    <w:rsid w:val="00F342AB"/>
    <w:rsid w:val="00F36A3F"/>
    <w:rsid w:val="00F41AD3"/>
    <w:rsid w:val="00F46E5E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E2E18"/>
    <w:rsid w:val="00FF0823"/>
    <w:rsid w:val="00FF62B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5E2A6-9AB9-4552-AB55-F531C39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character" w:customStyle="1" w:styleId="Heading5Char">
    <w:name w:val="Heading 5 Char"/>
    <w:aliases w:val="Block Label Char"/>
    <w:link w:val="Heading5"/>
    <w:locked/>
    <w:rsid w:val="008660FE"/>
    <w:rPr>
      <w:b/>
      <w:sz w:val="22"/>
    </w:rPr>
  </w:style>
  <w:style w:type="paragraph" w:customStyle="1" w:styleId="Style">
    <w:name w:val="Style"/>
    <w:rsid w:val="00847E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13DE0"/>
    <w:rsid w:val="000F63DB"/>
    <w:rsid w:val="00140F6A"/>
    <w:rsid w:val="002C3A63"/>
    <w:rsid w:val="00302917"/>
    <w:rsid w:val="00331E0D"/>
    <w:rsid w:val="00503C9E"/>
    <w:rsid w:val="005A495C"/>
    <w:rsid w:val="00684B96"/>
    <w:rsid w:val="006E2ED4"/>
    <w:rsid w:val="00856328"/>
    <w:rsid w:val="008972FD"/>
    <w:rsid w:val="008F2A2C"/>
    <w:rsid w:val="009E2D04"/>
    <w:rsid w:val="00A8409A"/>
    <w:rsid w:val="00BA5A27"/>
    <w:rsid w:val="00C1487A"/>
    <w:rsid w:val="00CD2384"/>
    <w:rsid w:val="00F16430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30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7</cp:revision>
  <cp:lastPrinted>2011-03-21T23:09:00Z</cp:lastPrinted>
  <dcterms:created xsi:type="dcterms:W3CDTF">2017-06-17T19:36:00Z</dcterms:created>
  <dcterms:modified xsi:type="dcterms:W3CDTF">2017-06-17T20:09:00Z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