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Pr="00693D62" w:rsidRDefault="00D0664E" w:rsidP="00C60413">
      <w:pPr>
        <w:pStyle w:val="BlockLine"/>
        <w:ind w:left="0"/>
        <w:rPr>
          <w:szCs w:val="24"/>
        </w:rPr>
      </w:pPr>
      <w:bookmarkStart w:id="0" w:name="_GoBack"/>
      <w:bookmarkEnd w:id="0"/>
    </w:p>
    <w:tbl>
      <w:tblPr>
        <w:tblW w:w="0" w:type="auto"/>
        <w:tblLayout w:type="fixed"/>
        <w:tblLook w:val="0000" w:firstRow="0" w:lastRow="0" w:firstColumn="0" w:lastColumn="0" w:noHBand="0" w:noVBand="0"/>
      </w:tblPr>
      <w:tblGrid>
        <w:gridCol w:w="1728"/>
        <w:gridCol w:w="7740"/>
      </w:tblGrid>
      <w:tr w:rsidR="00C60413" w:rsidRPr="00693D62" w:rsidTr="00A165B4">
        <w:trPr>
          <w:cantSplit/>
        </w:trPr>
        <w:tc>
          <w:tcPr>
            <w:tcW w:w="1728" w:type="dxa"/>
          </w:tcPr>
          <w:p w:rsidR="00C60413" w:rsidRPr="00693D62" w:rsidRDefault="00C60413" w:rsidP="00A165B4">
            <w:pPr>
              <w:pStyle w:val="Heading5"/>
              <w:rPr>
                <w:sz w:val="24"/>
                <w:szCs w:val="24"/>
              </w:rPr>
            </w:pPr>
            <w:r w:rsidRPr="00693D62">
              <w:rPr>
                <w:sz w:val="24"/>
                <w:szCs w:val="24"/>
              </w:rPr>
              <w:t>Purpose</w:t>
            </w:r>
          </w:p>
          <w:p w:rsidR="00C60413" w:rsidRPr="00693D62" w:rsidRDefault="00C60413" w:rsidP="00A165B4">
            <w:pPr>
              <w:rPr>
                <w:szCs w:val="24"/>
              </w:rPr>
            </w:pPr>
          </w:p>
        </w:tc>
        <w:tc>
          <w:tcPr>
            <w:tcW w:w="7740" w:type="dxa"/>
          </w:tcPr>
          <w:p w:rsidR="00C60413" w:rsidRPr="00693D62" w:rsidRDefault="00C60413" w:rsidP="00C60413">
            <w:pPr>
              <w:pStyle w:val="BlockText"/>
              <w:jc w:val="left"/>
              <w:rPr>
                <w:szCs w:val="24"/>
              </w:rPr>
            </w:pPr>
            <w:r w:rsidRPr="00693D62">
              <w:rPr>
                <w:szCs w:val="24"/>
              </w:rPr>
              <w:t>The UniCel DxH 800 Coulter system is a quantitative, automated hematology instrument for in vitro diagnostic use in clinical laboratories.  The DxH 800 system provides automated complete blood count, leukocyte differential and reticulocyte analysis.  The DxH 800 also counts the NRBC present in the blood.</w:t>
            </w:r>
          </w:p>
        </w:tc>
      </w:tr>
    </w:tbl>
    <w:p w:rsidR="00C60413" w:rsidRDefault="00C60413" w:rsidP="00C60413">
      <w:pPr>
        <w:rPr>
          <w:szCs w:val="24"/>
        </w:rPr>
      </w:pPr>
    </w:p>
    <w:p w:rsidR="00705EC2" w:rsidRPr="00693D62" w:rsidRDefault="00705EC2" w:rsidP="00C60413">
      <w:pPr>
        <w:rPr>
          <w:szCs w:val="24"/>
        </w:rPr>
      </w:pPr>
    </w:p>
    <w:tbl>
      <w:tblPr>
        <w:tblW w:w="17208" w:type="dxa"/>
        <w:tblLayout w:type="fixed"/>
        <w:tblLook w:val="0000" w:firstRow="0" w:lastRow="0" w:firstColumn="0" w:lastColumn="0" w:noHBand="0" w:noVBand="0"/>
      </w:tblPr>
      <w:tblGrid>
        <w:gridCol w:w="1728"/>
        <w:gridCol w:w="7740"/>
        <w:gridCol w:w="7740"/>
      </w:tblGrid>
      <w:tr w:rsidR="00C60413" w:rsidRPr="00693D62" w:rsidTr="00A165B4">
        <w:trPr>
          <w:cantSplit/>
        </w:trPr>
        <w:tc>
          <w:tcPr>
            <w:tcW w:w="1728" w:type="dxa"/>
          </w:tcPr>
          <w:p w:rsidR="00C60413" w:rsidRPr="00693D62" w:rsidRDefault="00C60413" w:rsidP="00A165B4">
            <w:pPr>
              <w:pStyle w:val="Heading5"/>
              <w:rPr>
                <w:sz w:val="24"/>
                <w:szCs w:val="24"/>
              </w:rPr>
            </w:pPr>
            <w:r w:rsidRPr="00693D62">
              <w:rPr>
                <w:sz w:val="24"/>
                <w:szCs w:val="24"/>
              </w:rPr>
              <w:t>Policy</w:t>
            </w:r>
          </w:p>
          <w:p w:rsidR="00C60413" w:rsidRPr="00693D62" w:rsidRDefault="00C60413" w:rsidP="00A165B4">
            <w:pPr>
              <w:rPr>
                <w:szCs w:val="24"/>
              </w:rPr>
            </w:pPr>
          </w:p>
        </w:tc>
        <w:tc>
          <w:tcPr>
            <w:tcW w:w="7740" w:type="dxa"/>
          </w:tcPr>
          <w:p w:rsidR="00C60413" w:rsidRPr="00693D62" w:rsidRDefault="00C60413" w:rsidP="00A165B4">
            <w:pPr>
              <w:rPr>
                <w:szCs w:val="24"/>
              </w:rPr>
            </w:pPr>
            <w:r w:rsidRPr="00693D62">
              <w:rPr>
                <w:szCs w:val="24"/>
              </w:rPr>
              <w:t>Before patient samples, the Quality Control samples must have been analyzed for shifts and trends and Quality Control samples must be acceptable</w:t>
            </w:r>
          </w:p>
        </w:tc>
        <w:tc>
          <w:tcPr>
            <w:tcW w:w="7740" w:type="dxa"/>
          </w:tcPr>
          <w:p w:rsidR="00C60413" w:rsidRPr="00693D62" w:rsidRDefault="00C60413" w:rsidP="00A165B4">
            <w:pPr>
              <w:pStyle w:val="BlockText"/>
              <w:rPr>
                <w:szCs w:val="24"/>
              </w:rPr>
            </w:pPr>
          </w:p>
        </w:tc>
      </w:tr>
    </w:tbl>
    <w:p w:rsidR="006A107B" w:rsidRDefault="006A107B" w:rsidP="006A107B">
      <w:pPr>
        <w:pStyle w:val="BlockLine"/>
        <w:rPr>
          <w:szCs w:val="24"/>
        </w:rPr>
      </w:pPr>
    </w:p>
    <w:p w:rsidR="00705EC2" w:rsidRPr="00705EC2" w:rsidRDefault="00705EC2" w:rsidP="00705EC2"/>
    <w:tbl>
      <w:tblPr>
        <w:tblW w:w="0" w:type="auto"/>
        <w:tblLayout w:type="fixed"/>
        <w:tblLook w:val="0000" w:firstRow="0" w:lastRow="0" w:firstColumn="0" w:lastColumn="0" w:noHBand="0" w:noVBand="0"/>
      </w:tblPr>
      <w:tblGrid>
        <w:gridCol w:w="1709"/>
        <w:gridCol w:w="8014"/>
      </w:tblGrid>
      <w:tr w:rsidR="00B60062" w:rsidRPr="00693D62" w:rsidTr="001372D7">
        <w:trPr>
          <w:cantSplit/>
          <w:trHeight w:val="972"/>
        </w:trPr>
        <w:tc>
          <w:tcPr>
            <w:tcW w:w="1709" w:type="dxa"/>
          </w:tcPr>
          <w:tbl>
            <w:tblPr>
              <w:tblW w:w="0" w:type="auto"/>
              <w:tblLayout w:type="fixed"/>
              <w:tblLook w:val="0000" w:firstRow="0" w:lastRow="0" w:firstColumn="0" w:lastColumn="0" w:noHBand="0" w:noVBand="0"/>
            </w:tblPr>
            <w:tblGrid>
              <w:gridCol w:w="1728"/>
              <w:gridCol w:w="8010"/>
            </w:tblGrid>
            <w:tr w:rsidR="00B60062" w:rsidRPr="00693D62" w:rsidTr="001372D7">
              <w:trPr>
                <w:cantSplit/>
              </w:trPr>
              <w:tc>
                <w:tcPr>
                  <w:tcW w:w="1728" w:type="dxa"/>
                </w:tcPr>
                <w:p w:rsidR="00B60062" w:rsidRPr="00693D62" w:rsidRDefault="00B60062" w:rsidP="008B6D0D">
                  <w:pPr>
                    <w:pStyle w:val="Heading5"/>
                    <w:ind w:left="-36"/>
                    <w:rPr>
                      <w:sz w:val="24"/>
                      <w:szCs w:val="24"/>
                    </w:rPr>
                  </w:pPr>
                  <w:r w:rsidRPr="00693D62">
                    <w:rPr>
                      <w:sz w:val="24"/>
                      <w:szCs w:val="24"/>
                    </w:rPr>
                    <w:t>Safety or Special Safety Precautions</w:t>
                  </w:r>
                </w:p>
              </w:tc>
              <w:tc>
                <w:tcPr>
                  <w:tcW w:w="8010" w:type="dxa"/>
                </w:tcPr>
                <w:p w:rsidR="00B60062" w:rsidRPr="00693D62" w:rsidRDefault="00B60062" w:rsidP="001372D7">
                  <w:pPr>
                    <w:rPr>
                      <w:szCs w:val="24"/>
                    </w:rPr>
                  </w:pPr>
                </w:p>
                <w:p w:rsidR="00B60062" w:rsidRPr="00693D62" w:rsidRDefault="00B60062" w:rsidP="001372D7">
                  <w:pPr>
                    <w:rPr>
                      <w:szCs w:val="24"/>
                    </w:rPr>
                  </w:pPr>
                </w:p>
              </w:tc>
            </w:tr>
          </w:tbl>
          <w:p w:rsidR="00B60062" w:rsidRPr="00693D62" w:rsidRDefault="00B60062" w:rsidP="001372D7">
            <w:pPr>
              <w:pStyle w:val="Heading5"/>
              <w:rPr>
                <w:sz w:val="24"/>
                <w:szCs w:val="24"/>
              </w:rPr>
            </w:pPr>
          </w:p>
        </w:tc>
        <w:tc>
          <w:tcPr>
            <w:tcW w:w="8014" w:type="dxa"/>
          </w:tcPr>
          <w:p w:rsidR="00B60062" w:rsidRPr="00693D62" w:rsidRDefault="00B60062" w:rsidP="00D531D1">
            <w:pPr>
              <w:pStyle w:val="BlockText"/>
              <w:tabs>
                <w:tab w:val="left" w:pos="162"/>
              </w:tabs>
              <w:jc w:val="both"/>
              <w:rPr>
                <w:szCs w:val="24"/>
              </w:rPr>
            </w:pPr>
            <w:r w:rsidRPr="00693D62">
              <w:rPr>
                <w:szCs w:val="24"/>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B60062" w:rsidRPr="00693D62" w:rsidRDefault="00B60062" w:rsidP="00D531D1">
            <w:pPr>
              <w:pStyle w:val="BlockText"/>
              <w:numPr>
                <w:ilvl w:val="0"/>
                <w:numId w:val="25"/>
              </w:numPr>
              <w:ind w:left="523"/>
              <w:jc w:val="both"/>
              <w:rPr>
                <w:szCs w:val="24"/>
              </w:rPr>
            </w:pPr>
            <w:r w:rsidRPr="00693D62">
              <w:rPr>
                <w:szCs w:val="24"/>
              </w:rPr>
              <w:t xml:space="preserve">For standard precautions and safety practices in the laboratory;  see </w:t>
            </w:r>
            <w:r w:rsidR="00D531D1" w:rsidRPr="00693D62">
              <w:rPr>
                <w:b/>
                <w:szCs w:val="24"/>
              </w:rPr>
              <w:t>Safety Practices</w:t>
            </w:r>
            <w:r w:rsidR="00D531D1" w:rsidRPr="00693D62">
              <w:rPr>
                <w:szCs w:val="24"/>
              </w:rPr>
              <w:t xml:space="preserve">, </w:t>
            </w:r>
            <w:r w:rsidRPr="00693D62">
              <w:rPr>
                <w:szCs w:val="24"/>
              </w:rPr>
              <w:t>specifically, but not limited to</w:t>
            </w:r>
            <w:r w:rsidR="00D531D1" w:rsidRPr="00693D62">
              <w:rPr>
                <w:szCs w:val="24"/>
              </w:rPr>
              <w:t xml:space="preserve">, equipment safety, proper body </w:t>
            </w:r>
            <w:r w:rsidRPr="00693D62">
              <w:rPr>
                <w:szCs w:val="24"/>
              </w:rPr>
              <w:t>mechanics, sharps exposure and proper use of personal protective equipment (PPE).</w:t>
            </w:r>
          </w:p>
          <w:p w:rsidR="00B60062" w:rsidRPr="00693D62" w:rsidRDefault="00B60062" w:rsidP="00D531D1">
            <w:pPr>
              <w:pStyle w:val="BlockText"/>
              <w:numPr>
                <w:ilvl w:val="0"/>
                <w:numId w:val="25"/>
              </w:numPr>
              <w:ind w:left="523"/>
              <w:jc w:val="both"/>
              <w:rPr>
                <w:szCs w:val="24"/>
              </w:rPr>
            </w:pPr>
            <w:r w:rsidRPr="00693D62">
              <w:rPr>
                <w:szCs w:val="24"/>
              </w:rPr>
              <w:t xml:space="preserve">For Universal Body Substance precautions, see </w:t>
            </w:r>
            <w:r w:rsidR="00D531D1" w:rsidRPr="00693D62">
              <w:rPr>
                <w:b/>
                <w:szCs w:val="24"/>
              </w:rPr>
              <w:t>Universal Body Substance Precautions</w:t>
            </w:r>
            <w:r w:rsidRPr="00693D62">
              <w:rPr>
                <w:szCs w:val="24"/>
              </w:rPr>
              <w:t>, specifically, but not limited to, exposure to body fluids.</w:t>
            </w:r>
          </w:p>
          <w:p w:rsidR="00B60062" w:rsidRPr="00693D62" w:rsidRDefault="00B60062" w:rsidP="00D531D1">
            <w:pPr>
              <w:pStyle w:val="BlockText"/>
              <w:numPr>
                <w:ilvl w:val="0"/>
                <w:numId w:val="25"/>
              </w:numPr>
              <w:ind w:left="523"/>
              <w:jc w:val="both"/>
              <w:rPr>
                <w:szCs w:val="24"/>
              </w:rPr>
            </w:pPr>
            <w:r w:rsidRPr="00693D62">
              <w:rPr>
                <w:szCs w:val="24"/>
              </w:rPr>
              <w:t xml:space="preserve">For proper hand-washing, see </w:t>
            </w:r>
            <w:r w:rsidR="00D531D1" w:rsidRPr="00693D62">
              <w:rPr>
                <w:b/>
                <w:szCs w:val="24"/>
              </w:rPr>
              <w:t>Hand washing Policy</w:t>
            </w:r>
            <w:r w:rsidRPr="00693D62">
              <w:rPr>
                <w:szCs w:val="24"/>
              </w:rPr>
              <w:t>, specifically, not limited to, proper hand-washing.</w:t>
            </w:r>
          </w:p>
          <w:p w:rsidR="00B60062" w:rsidRPr="00693D62" w:rsidRDefault="00B60062" w:rsidP="00D531D1">
            <w:pPr>
              <w:pStyle w:val="BlockText"/>
              <w:numPr>
                <w:ilvl w:val="0"/>
                <w:numId w:val="25"/>
              </w:numPr>
              <w:ind w:left="523"/>
              <w:jc w:val="both"/>
              <w:rPr>
                <w:szCs w:val="24"/>
              </w:rPr>
            </w:pPr>
            <w:r w:rsidRPr="00693D62">
              <w:rPr>
                <w:szCs w:val="24"/>
              </w:rPr>
              <w:t xml:space="preserve">For proper infection control, see </w:t>
            </w:r>
            <w:r w:rsidR="00D531D1" w:rsidRPr="00693D62">
              <w:rPr>
                <w:b/>
                <w:szCs w:val="24"/>
              </w:rPr>
              <w:t>Infection Control</w:t>
            </w:r>
            <w:r w:rsidRPr="00693D62">
              <w:rPr>
                <w:szCs w:val="24"/>
              </w:rPr>
              <w:t>, specifically, but not limited to, proper use of gloves.</w:t>
            </w:r>
          </w:p>
          <w:p w:rsidR="00B60062" w:rsidRPr="00693D62" w:rsidRDefault="00B60062" w:rsidP="00D531D1">
            <w:pPr>
              <w:pStyle w:val="BlockText"/>
              <w:numPr>
                <w:ilvl w:val="0"/>
                <w:numId w:val="25"/>
              </w:numPr>
              <w:ind w:left="523"/>
              <w:jc w:val="both"/>
              <w:rPr>
                <w:szCs w:val="24"/>
              </w:rPr>
            </w:pPr>
            <w:r w:rsidRPr="00693D62">
              <w:rPr>
                <w:szCs w:val="24"/>
              </w:rPr>
              <w:t xml:space="preserve">For proper handling of regular and infectious waste, see </w:t>
            </w:r>
            <w:r w:rsidR="00D531D1" w:rsidRPr="00693D62">
              <w:rPr>
                <w:b/>
                <w:szCs w:val="24"/>
              </w:rPr>
              <w:t>Handling of Regular and Infectious Waste</w:t>
            </w:r>
            <w:r w:rsidRPr="00693D62">
              <w:rPr>
                <w:szCs w:val="24"/>
              </w:rPr>
              <w:t xml:space="preserve">, specifically, but not limited to, proper disposal of regular and </w:t>
            </w:r>
            <w:r w:rsidR="001D616E" w:rsidRPr="00693D62">
              <w:rPr>
                <w:szCs w:val="24"/>
              </w:rPr>
              <w:t>bio hazardous</w:t>
            </w:r>
            <w:r w:rsidRPr="00693D62">
              <w:rPr>
                <w:szCs w:val="24"/>
              </w:rPr>
              <w:t xml:space="preserve"> waste.</w:t>
            </w:r>
          </w:p>
          <w:p w:rsidR="00D531D1" w:rsidRPr="00693D62" w:rsidRDefault="00B60062" w:rsidP="0039218B">
            <w:pPr>
              <w:pStyle w:val="BlockText"/>
              <w:numPr>
                <w:ilvl w:val="0"/>
                <w:numId w:val="25"/>
              </w:numPr>
              <w:ind w:left="523"/>
              <w:jc w:val="both"/>
              <w:rPr>
                <w:szCs w:val="24"/>
              </w:rPr>
            </w:pPr>
            <w:r w:rsidRPr="00693D62">
              <w:rPr>
                <w:szCs w:val="24"/>
              </w:rPr>
              <w:t xml:space="preserve">For proper cleaning of work area, see </w:t>
            </w:r>
            <w:r w:rsidR="00D531D1" w:rsidRPr="00693D62">
              <w:rPr>
                <w:b/>
                <w:szCs w:val="24"/>
              </w:rPr>
              <w:t>Cleaning Work Areas</w:t>
            </w:r>
            <w:r w:rsidR="00D531D1" w:rsidRPr="00693D62">
              <w:rPr>
                <w:szCs w:val="24"/>
              </w:rPr>
              <w:t>.</w:t>
            </w:r>
          </w:p>
          <w:p w:rsidR="00B60062" w:rsidRPr="00693D62" w:rsidRDefault="00B60062" w:rsidP="0039218B">
            <w:pPr>
              <w:pStyle w:val="BlockText"/>
              <w:numPr>
                <w:ilvl w:val="0"/>
                <w:numId w:val="25"/>
              </w:numPr>
              <w:ind w:left="523"/>
              <w:jc w:val="both"/>
              <w:rPr>
                <w:szCs w:val="24"/>
              </w:rPr>
            </w:pPr>
            <w:r w:rsidRPr="00693D62">
              <w:rPr>
                <w:szCs w:val="24"/>
              </w:rPr>
              <w:t>For proper handling of chemicals and reagents, see the Chemical Hygiene Plan.</w:t>
            </w:r>
          </w:p>
          <w:p w:rsidR="00B60062" w:rsidRPr="00693D62" w:rsidRDefault="00B60062" w:rsidP="00D531D1">
            <w:pPr>
              <w:pStyle w:val="BlockText"/>
              <w:numPr>
                <w:ilvl w:val="0"/>
                <w:numId w:val="25"/>
              </w:numPr>
              <w:tabs>
                <w:tab w:val="left" w:pos="162"/>
              </w:tabs>
              <w:ind w:left="523"/>
              <w:jc w:val="both"/>
              <w:rPr>
                <w:szCs w:val="24"/>
              </w:rPr>
            </w:pPr>
            <w:r w:rsidRPr="00693D62">
              <w:rPr>
                <w:szCs w:val="24"/>
              </w:rPr>
              <w:t xml:space="preserve">For proper storage and disposal of chemical hazardous waste, see </w:t>
            </w:r>
            <w:r w:rsidR="00D531D1" w:rsidRPr="00693D62">
              <w:rPr>
                <w:b/>
                <w:szCs w:val="24"/>
              </w:rPr>
              <w:t>Storage &amp; Disposal of Chemical Hazardous Waste</w:t>
            </w:r>
            <w:r w:rsidRPr="00693D62">
              <w:rPr>
                <w:szCs w:val="24"/>
              </w:rPr>
              <w:t>.</w:t>
            </w:r>
            <w:r w:rsidR="00D531D1" w:rsidRPr="00693D62">
              <w:rPr>
                <w:szCs w:val="24"/>
              </w:rPr>
              <w:t xml:space="preserve"> </w:t>
            </w:r>
            <w:r w:rsidRPr="00693D62">
              <w:rPr>
                <w:szCs w:val="24"/>
              </w:rPr>
              <w:t xml:space="preserve">All laboratory employees are expected to maintain a safe working environment and an injury-free workplace.  Laboratory employees are responsible for their own safety, the </w:t>
            </w:r>
            <w:r w:rsidRPr="00693D62">
              <w:rPr>
                <w:szCs w:val="24"/>
              </w:rPr>
              <w:lastRenderedPageBreak/>
              <w:t>safety of others and adhering to all departmental and medical center safety policies and procedures.</w:t>
            </w:r>
          </w:p>
        </w:tc>
      </w:tr>
    </w:tbl>
    <w:p w:rsidR="00B60062" w:rsidRPr="00693D62" w:rsidRDefault="00B60062" w:rsidP="00B60062">
      <w:pPr>
        <w:rPr>
          <w:szCs w:val="24"/>
        </w:rPr>
      </w:pPr>
    </w:p>
    <w:p w:rsidR="00B60062" w:rsidRPr="00693D62" w:rsidRDefault="00B60062" w:rsidP="00B60062">
      <w:pPr>
        <w:rPr>
          <w:szCs w:val="24"/>
        </w:rPr>
      </w:pPr>
    </w:p>
    <w:p w:rsidR="00D729C9" w:rsidRPr="00693D62" w:rsidRDefault="00D729C9" w:rsidP="00B60062">
      <w:pPr>
        <w:rPr>
          <w:szCs w:val="24"/>
        </w:rPr>
      </w:pPr>
    </w:p>
    <w:p w:rsidR="005A6EE9" w:rsidRPr="00693D62" w:rsidRDefault="005A6EE9" w:rsidP="005A6EE9">
      <w:pPr>
        <w:pStyle w:val="BlockLine"/>
        <w:rPr>
          <w:szCs w:val="24"/>
        </w:rPr>
      </w:pPr>
    </w:p>
    <w:p w:rsidR="00C60413" w:rsidRPr="00693D62" w:rsidRDefault="00C60413" w:rsidP="00C60413">
      <w:pPr>
        <w:outlineLvl w:val="4"/>
        <w:rPr>
          <w:b/>
          <w:szCs w:val="24"/>
        </w:rPr>
      </w:pPr>
    </w:p>
    <w:p w:rsidR="00C60413" w:rsidRPr="00693D62" w:rsidRDefault="00C60413" w:rsidP="00C60413">
      <w:pPr>
        <w:outlineLvl w:val="4"/>
        <w:rPr>
          <w:b/>
          <w:szCs w:val="24"/>
        </w:rPr>
      </w:pPr>
      <w:r w:rsidRPr="00693D62">
        <w:rPr>
          <w:b/>
          <w:szCs w:val="24"/>
        </w:rPr>
        <w:t>PROVISIONS/PROCEDURE</w:t>
      </w:r>
    </w:p>
    <w:p w:rsidR="00AD55B2" w:rsidRPr="00693D62" w:rsidRDefault="00AD55B2" w:rsidP="00AD55B2">
      <w:pPr>
        <w:rPr>
          <w:szCs w:val="24"/>
        </w:rPr>
      </w:pPr>
    </w:p>
    <w:tbl>
      <w:tblPr>
        <w:tblW w:w="10074" w:type="dxa"/>
        <w:tblLayout w:type="fixed"/>
        <w:tblLook w:val="0000" w:firstRow="0" w:lastRow="0" w:firstColumn="0" w:lastColumn="0" w:noHBand="0" w:noVBand="0"/>
      </w:tblPr>
      <w:tblGrid>
        <w:gridCol w:w="2070"/>
        <w:gridCol w:w="8004"/>
      </w:tblGrid>
      <w:tr w:rsidR="00C60413" w:rsidRPr="00693D62" w:rsidTr="00FB1C41">
        <w:trPr>
          <w:cantSplit/>
          <w:trHeight w:val="804"/>
        </w:trPr>
        <w:tc>
          <w:tcPr>
            <w:tcW w:w="2070" w:type="dxa"/>
          </w:tcPr>
          <w:p w:rsidR="00C60413" w:rsidRPr="00693D62" w:rsidRDefault="00C60413" w:rsidP="00A165B4">
            <w:pPr>
              <w:outlineLvl w:val="4"/>
              <w:rPr>
                <w:b/>
                <w:szCs w:val="24"/>
              </w:rPr>
            </w:pPr>
            <w:r w:rsidRPr="00693D62">
              <w:rPr>
                <w:b/>
                <w:szCs w:val="24"/>
              </w:rPr>
              <w:t>SAMPLE</w:t>
            </w:r>
          </w:p>
          <w:p w:rsidR="00C60413" w:rsidRPr="00693D62" w:rsidRDefault="00C60413" w:rsidP="00A165B4">
            <w:pPr>
              <w:outlineLvl w:val="4"/>
              <w:rPr>
                <w:b/>
                <w:szCs w:val="24"/>
              </w:rPr>
            </w:pPr>
            <w:r w:rsidRPr="00693D62">
              <w:rPr>
                <w:b/>
                <w:szCs w:val="24"/>
              </w:rPr>
              <w:t>REQUIREMENT</w:t>
            </w:r>
          </w:p>
        </w:tc>
        <w:tc>
          <w:tcPr>
            <w:tcW w:w="8004" w:type="dxa"/>
          </w:tcPr>
          <w:p w:rsidR="00C60413" w:rsidRPr="00693D62" w:rsidRDefault="00C60413" w:rsidP="00A165B4">
            <w:pPr>
              <w:rPr>
                <w:szCs w:val="24"/>
              </w:rPr>
            </w:pPr>
            <w:r w:rsidRPr="00693D62">
              <w:rPr>
                <w:spacing w:val="-2"/>
                <w:szCs w:val="24"/>
              </w:rPr>
              <w:t>Whole blood in K</w:t>
            </w:r>
            <w:r w:rsidRPr="00693D62">
              <w:rPr>
                <w:spacing w:val="-2"/>
                <w:szCs w:val="24"/>
                <w:vertAlign w:val="subscript"/>
              </w:rPr>
              <w:t>3</w:t>
            </w:r>
            <w:r w:rsidRPr="00693D62">
              <w:rPr>
                <w:spacing w:val="-2"/>
                <w:szCs w:val="24"/>
              </w:rPr>
              <w:t>EDTA. CBC with differential specimen is stable at room temperature for 24 hours or 48 hours if stored between 2-8</w:t>
            </w:r>
            <w:r w:rsidRPr="00693D62">
              <w:rPr>
                <w:spacing w:val="-2"/>
                <w:szCs w:val="24"/>
                <w:vertAlign w:val="superscript"/>
              </w:rPr>
              <w:t>o</w:t>
            </w:r>
            <w:r w:rsidRPr="00693D62">
              <w:rPr>
                <w:spacing w:val="-2"/>
                <w:szCs w:val="24"/>
              </w:rPr>
              <w:t xml:space="preserve">C. Reticulocyte specimen is stable at room temperature for 8 hours or 72 hours if stored between </w:t>
            </w:r>
            <w:r w:rsidRPr="00693D62">
              <w:rPr>
                <w:szCs w:val="24"/>
              </w:rPr>
              <w:t>2-8</w:t>
            </w:r>
            <w:r w:rsidRPr="00693D62">
              <w:rPr>
                <w:szCs w:val="24"/>
                <w:vertAlign w:val="superscript"/>
              </w:rPr>
              <w:t>o</w:t>
            </w:r>
            <w:r w:rsidRPr="00693D62">
              <w:rPr>
                <w:szCs w:val="24"/>
              </w:rPr>
              <w:t>C.</w:t>
            </w:r>
          </w:p>
          <w:p w:rsidR="00C60413" w:rsidRPr="00693D62" w:rsidRDefault="00C60413" w:rsidP="00A165B4">
            <w:pPr>
              <w:rPr>
                <w:szCs w:val="24"/>
              </w:rPr>
            </w:pPr>
          </w:p>
        </w:tc>
      </w:tr>
    </w:tbl>
    <w:p w:rsidR="00C60413" w:rsidRPr="00693D62" w:rsidRDefault="00C60413" w:rsidP="00C60413">
      <w:pPr>
        <w:rPr>
          <w:szCs w:val="24"/>
        </w:rPr>
      </w:pPr>
    </w:p>
    <w:p w:rsidR="00C60413" w:rsidRPr="00693D62" w:rsidRDefault="00C60413" w:rsidP="00C60413">
      <w:pPr>
        <w:outlineLvl w:val="4"/>
        <w:rPr>
          <w:szCs w:val="24"/>
        </w:rPr>
      </w:pPr>
      <w:r w:rsidRPr="00693D62">
        <w:rPr>
          <w:b/>
          <w:szCs w:val="24"/>
        </w:rPr>
        <w:t xml:space="preserve">PLACING BAR </w:t>
      </w:r>
      <w:r w:rsidRPr="00693D62">
        <w:rPr>
          <w:b/>
          <w:szCs w:val="24"/>
        </w:rPr>
        <w:tab/>
      </w:r>
      <w:r w:rsidRPr="00693D62">
        <w:rPr>
          <w:szCs w:val="24"/>
        </w:rPr>
        <w:t xml:space="preserve">Risk of misidentification.  Use of poor-quality, dirty, improperly placed or </w:t>
      </w:r>
    </w:p>
    <w:p w:rsidR="00C60413" w:rsidRPr="00693D62" w:rsidRDefault="00C60413" w:rsidP="00C60413">
      <w:pPr>
        <w:outlineLvl w:val="4"/>
        <w:rPr>
          <w:szCs w:val="24"/>
        </w:rPr>
      </w:pPr>
      <w:r w:rsidRPr="00693D62">
        <w:rPr>
          <w:b/>
          <w:szCs w:val="24"/>
        </w:rPr>
        <w:t>CODE ON TUBE</w:t>
      </w:r>
      <w:r w:rsidRPr="00693D62">
        <w:rPr>
          <w:b/>
          <w:szCs w:val="24"/>
        </w:rPr>
        <w:tab/>
      </w:r>
      <w:r w:rsidRPr="00693D62">
        <w:rPr>
          <w:szCs w:val="24"/>
        </w:rPr>
        <w:t>damaged bar code labels are not damaged.  When placing label on a tube:</w:t>
      </w:r>
    </w:p>
    <w:p w:rsidR="00C60413" w:rsidRPr="00693D62" w:rsidRDefault="00C60413" w:rsidP="00C60413">
      <w:pPr>
        <w:rPr>
          <w:szCs w:val="24"/>
        </w:rPr>
      </w:pPr>
      <w:r w:rsidRPr="00693D62">
        <w:rPr>
          <w:szCs w:val="24"/>
        </w:rPr>
        <w:tab/>
      </w:r>
      <w:r w:rsidRPr="00693D62">
        <w:rPr>
          <w:szCs w:val="24"/>
        </w:rPr>
        <w:tab/>
      </w:r>
      <w:r w:rsidRPr="00693D62">
        <w:rPr>
          <w:szCs w:val="24"/>
        </w:rPr>
        <w:tab/>
      </w:r>
    </w:p>
    <w:tbl>
      <w:tblPr>
        <w:tblW w:w="9648" w:type="dxa"/>
        <w:tblLayout w:type="fixed"/>
        <w:tblLook w:val="0000" w:firstRow="0" w:lastRow="0" w:firstColumn="0" w:lastColumn="0" w:noHBand="0" w:noVBand="0"/>
      </w:tblPr>
      <w:tblGrid>
        <w:gridCol w:w="1829"/>
        <w:gridCol w:w="79"/>
        <w:gridCol w:w="799"/>
        <w:gridCol w:w="6670"/>
        <w:gridCol w:w="271"/>
      </w:tblGrid>
      <w:tr w:rsidR="00C60413" w:rsidRPr="00693D62" w:rsidTr="00B81787">
        <w:trPr>
          <w:gridBefore w:val="1"/>
          <w:gridAfter w:val="1"/>
          <w:wBefore w:w="1829" w:type="dxa"/>
          <w:wAfter w:w="271" w:type="dxa"/>
          <w:cantSplit/>
        </w:trPr>
        <w:tc>
          <w:tcPr>
            <w:tcW w:w="878" w:type="dxa"/>
            <w:gridSpan w:val="2"/>
            <w:tcBorders>
              <w:top w:val="single" w:sz="6" w:space="0" w:color="auto"/>
              <w:left w:val="single" w:sz="6" w:space="0" w:color="auto"/>
              <w:bottom w:val="single" w:sz="6" w:space="0" w:color="auto"/>
              <w:right w:val="single" w:sz="6" w:space="0" w:color="auto"/>
            </w:tcBorders>
          </w:tcPr>
          <w:p w:rsidR="00C60413" w:rsidRPr="00693D62" w:rsidRDefault="00C60413" w:rsidP="00A165B4">
            <w:pPr>
              <w:jc w:val="center"/>
              <w:rPr>
                <w:b/>
                <w:szCs w:val="24"/>
              </w:rPr>
            </w:pPr>
            <w:r w:rsidRPr="00693D62">
              <w:rPr>
                <w:b/>
                <w:szCs w:val="24"/>
              </w:rPr>
              <w:t>Step</w:t>
            </w:r>
          </w:p>
        </w:tc>
        <w:tc>
          <w:tcPr>
            <w:tcW w:w="6670" w:type="dxa"/>
            <w:tcBorders>
              <w:top w:val="single" w:sz="6" w:space="0" w:color="auto"/>
              <w:bottom w:val="single" w:sz="6" w:space="0" w:color="auto"/>
              <w:right w:val="single" w:sz="6" w:space="0" w:color="auto"/>
            </w:tcBorders>
          </w:tcPr>
          <w:p w:rsidR="00C60413" w:rsidRPr="00693D62" w:rsidRDefault="00C60413" w:rsidP="00A165B4">
            <w:pPr>
              <w:jc w:val="center"/>
              <w:rPr>
                <w:b/>
                <w:szCs w:val="24"/>
              </w:rPr>
            </w:pPr>
            <w:r w:rsidRPr="00693D62">
              <w:rPr>
                <w:b/>
                <w:szCs w:val="24"/>
              </w:rPr>
              <w:t>Action</w:t>
            </w:r>
          </w:p>
        </w:tc>
      </w:tr>
      <w:tr w:rsidR="00C60413" w:rsidRPr="00693D62" w:rsidTr="00B81787">
        <w:trPr>
          <w:gridBefore w:val="1"/>
          <w:gridAfter w:val="1"/>
          <w:wBefore w:w="1829" w:type="dxa"/>
          <w:wAfter w:w="271" w:type="dxa"/>
          <w:cantSplit/>
        </w:trPr>
        <w:tc>
          <w:tcPr>
            <w:tcW w:w="878" w:type="dxa"/>
            <w:gridSpan w:val="2"/>
            <w:tcBorders>
              <w:top w:val="single" w:sz="6" w:space="0" w:color="auto"/>
              <w:left w:val="single" w:sz="6" w:space="0" w:color="auto"/>
              <w:bottom w:val="single" w:sz="6" w:space="0" w:color="auto"/>
              <w:right w:val="single" w:sz="6" w:space="0" w:color="auto"/>
            </w:tcBorders>
          </w:tcPr>
          <w:p w:rsidR="00C60413" w:rsidRPr="00693D62" w:rsidRDefault="00C60413" w:rsidP="00A165B4">
            <w:pPr>
              <w:jc w:val="center"/>
              <w:rPr>
                <w:szCs w:val="24"/>
              </w:rPr>
            </w:pPr>
            <w:r w:rsidRPr="00693D62">
              <w:rPr>
                <w:szCs w:val="24"/>
              </w:rPr>
              <w:t>1.</w:t>
            </w:r>
          </w:p>
        </w:tc>
        <w:tc>
          <w:tcPr>
            <w:tcW w:w="6670" w:type="dxa"/>
            <w:tcBorders>
              <w:top w:val="single" w:sz="6" w:space="0" w:color="auto"/>
              <w:bottom w:val="single" w:sz="6" w:space="0" w:color="auto"/>
              <w:right w:val="single" w:sz="6" w:space="0" w:color="auto"/>
            </w:tcBorders>
          </w:tcPr>
          <w:p w:rsidR="00C60413" w:rsidRPr="00693D62" w:rsidRDefault="00C60413" w:rsidP="00A165B4">
            <w:pPr>
              <w:rPr>
                <w:szCs w:val="24"/>
              </w:rPr>
            </w:pPr>
            <w:r w:rsidRPr="00693D62">
              <w:rPr>
                <w:szCs w:val="24"/>
              </w:rPr>
              <w:t>Ensure the label is flattened smooth against the tube.</w:t>
            </w:r>
          </w:p>
        </w:tc>
      </w:tr>
      <w:tr w:rsidR="00C60413" w:rsidRPr="00693D62" w:rsidTr="00B81787">
        <w:trPr>
          <w:gridBefore w:val="1"/>
          <w:gridAfter w:val="1"/>
          <w:wBefore w:w="1829" w:type="dxa"/>
          <w:wAfter w:w="271" w:type="dxa"/>
          <w:cantSplit/>
        </w:trPr>
        <w:tc>
          <w:tcPr>
            <w:tcW w:w="878" w:type="dxa"/>
            <w:gridSpan w:val="2"/>
            <w:tcBorders>
              <w:top w:val="single" w:sz="6" w:space="0" w:color="auto"/>
              <w:left w:val="single" w:sz="6" w:space="0" w:color="auto"/>
              <w:bottom w:val="single" w:sz="6" w:space="0" w:color="auto"/>
              <w:right w:val="single" w:sz="6" w:space="0" w:color="auto"/>
            </w:tcBorders>
          </w:tcPr>
          <w:p w:rsidR="00C60413" w:rsidRPr="00693D62" w:rsidRDefault="00C60413" w:rsidP="00A165B4">
            <w:pPr>
              <w:jc w:val="center"/>
              <w:rPr>
                <w:szCs w:val="24"/>
              </w:rPr>
            </w:pPr>
            <w:r w:rsidRPr="00693D62">
              <w:rPr>
                <w:szCs w:val="24"/>
              </w:rPr>
              <w:t>2.</w:t>
            </w:r>
          </w:p>
        </w:tc>
        <w:tc>
          <w:tcPr>
            <w:tcW w:w="6670" w:type="dxa"/>
            <w:tcBorders>
              <w:top w:val="single" w:sz="6" w:space="0" w:color="auto"/>
              <w:bottom w:val="single" w:sz="6" w:space="0" w:color="auto"/>
              <w:right w:val="single" w:sz="6" w:space="0" w:color="auto"/>
            </w:tcBorders>
          </w:tcPr>
          <w:p w:rsidR="00C60413" w:rsidRPr="00693D62" w:rsidRDefault="00C60413" w:rsidP="00A165B4">
            <w:pPr>
              <w:rPr>
                <w:szCs w:val="24"/>
              </w:rPr>
            </w:pPr>
            <w:r w:rsidRPr="00693D62">
              <w:rPr>
                <w:szCs w:val="24"/>
              </w:rPr>
              <w:t>Press the label down securely, including all the edges and the corners.</w:t>
            </w:r>
          </w:p>
        </w:tc>
      </w:tr>
      <w:tr w:rsidR="00C60413" w:rsidRPr="00693D62" w:rsidTr="00B81787">
        <w:trPr>
          <w:gridBefore w:val="1"/>
          <w:gridAfter w:val="1"/>
          <w:wBefore w:w="1829" w:type="dxa"/>
          <w:wAfter w:w="271" w:type="dxa"/>
          <w:cantSplit/>
        </w:trPr>
        <w:tc>
          <w:tcPr>
            <w:tcW w:w="878" w:type="dxa"/>
            <w:gridSpan w:val="2"/>
            <w:tcBorders>
              <w:top w:val="single" w:sz="6" w:space="0" w:color="auto"/>
              <w:left w:val="single" w:sz="6" w:space="0" w:color="auto"/>
              <w:bottom w:val="single" w:sz="6" w:space="0" w:color="auto"/>
              <w:right w:val="single" w:sz="6" w:space="0" w:color="auto"/>
            </w:tcBorders>
          </w:tcPr>
          <w:p w:rsidR="00C60413" w:rsidRPr="00693D62" w:rsidRDefault="00C60413" w:rsidP="00A165B4">
            <w:pPr>
              <w:jc w:val="center"/>
              <w:rPr>
                <w:szCs w:val="24"/>
              </w:rPr>
            </w:pPr>
            <w:r w:rsidRPr="00693D62">
              <w:rPr>
                <w:szCs w:val="24"/>
              </w:rPr>
              <w:t>3.</w:t>
            </w:r>
          </w:p>
        </w:tc>
        <w:tc>
          <w:tcPr>
            <w:tcW w:w="6670" w:type="dxa"/>
            <w:tcBorders>
              <w:top w:val="single" w:sz="6" w:space="0" w:color="auto"/>
              <w:bottom w:val="single" w:sz="6" w:space="0" w:color="auto"/>
              <w:right w:val="single" w:sz="6" w:space="0" w:color="auto"/>
            </w:tcBorders>
          </w:tcPr>
          <w:p w:rsidR="00C60413" w:rsidRPr="00693D62" w:rsidRDefault="00C60413" w:rsidP="00A165B4">
            <w:pPr>
              <w:rPr>
                <w:szCs w:val="24"/>
              </w:rPr>
            </w:pPr>
            <w:r w:rsidRPr="00693D62">
              <w:rPr>
                <w:szCs w:val="24"/>
              </w:rPr>
              <w:t>Ensure that no part of the label is loose</w:t>
            </w:r>
          </w:p>
        </w:tc>
      </w:tr>
      <w:tr w:rsidR="00C60413" w:rsidRPr="00693D62" w:rsidTr="00B81787">
        <w:trPr>
          <w:gridBefore w:val="1"/>
          <w:gridAfter w:val="1"/>
          <w:wBefore w:w="1829" w:type="dxa"/>
          <w:wAfter w:w="271" w:type="dxa"/>
          <w:cantSplit/>
        </w:trPr>
        <w:tc>
          <w:tcPr>
            <w:tcW w:w="878" w:type="dxa"/>
            <w:gridSpan w:val="2"/>
            <w:tcBorders>
              <w:top w:val="single" w:sz="6" w:space="0" w:color="auto"/>
              <w:left w:val="single" w:sz="6" w:space="0" w:color="auto"/>
              <w:bottom w:val="single" w:sz="6" w:space="0" w:color="auto"/>
              <w:right w:val="single" w:sz="6" w:space="0" w:color="auto"/>
            </w:tcBorders>
          </w:tcPr>
          <w:p w:rsidR="00C60413" w:rsidRPr="00693D62" w:rsidRDefault="00C60413" w:rsidP="00A165B4">
            <w:pPr>
              <w:jc w:val="center"/>
              <w:rPr>
                <w:szCs w:val="24"/>
              </w:rPr>
            </w:pPr>
            <w:r w:rsidRPr="00693D62">
              <w:rPr>
                <w:szCs w:val="24"/>
              </w:rPr>
              <w:t>4.</w:t>
            </w:r>
          </w:p>
        </w:tc>
        <w:tc>
          <w:tcPr>
            <w:tcW w:w="6670" w:type="dxa"/>
            <w:tcBorders>
              <w:top w:val="single" w:sz="6" w:space="0" w:color="auto"/>
              <w:bottom w:val="single" w:sz="6" w:space="0" w:color="auto"/>
              <w:right w:val="single" w:sz="6" w:space="0" w:color="auto"/>
            </w:tcBorders>
          </w:tcPr>
          <w:p w:rsidR="00C60413" w:rsidRPr="00693D62" w:rsidRDefault="00C60413" w:rsidP="00A165B4">
            <w:pPr>
              <w:rPr>
                <w:szCs w:val="24"/>
              </w:rPr>
            </w:pPr>
            <w:r w:rsidRPr="00693D62">
              <w:rPr>
                <w:szCs w:val="24"/>
              </w:rPr>
              <w:t xml:space="preserve">Place the labels so that they are in the viewable area of the tube through the cassette window. </w:t>
            </w:r>
          </w:p>
          <w:p w:rsidR="00C60413" w:rsidRPr="00693D62" w:rsidRDefault="00C60413" w:rsidP="00A165B4">
            <w:pPr>
              <w:rPr>
                <w:szCs w:val="24"/>
              </w:rPr>
            </w:pPr>
          </w:p>
          <w:p w:rsidR="00C60413" w:rsidRPr="00693D62" w:rsidRDefault="00C60413" w:rsidP="00A165B4">
            <w:pPr>
              <w:rPr>
                <w:i/>
                <w:szCs w:val="24"/>
              </w:rPr>
            </w:pPr>
            <w:r w:rsidRPr="00693D62">
              <w:rPr>
                <w:szCs w:val="24"/>
              </w:rPr>
              <w:t>Note: Do not place the label on the bottom 10mm or the top 10mm of the tube or skew the label more than 12 degrees.  These areas are not viewable due to the curvature of the tube and the cassette window.  The top 10mm dimension is measure from the bottom edge of the cap.</w:t>
            </w:r>
          </w:p>
        </w:tc>
      </w:tr>
      <w:tr w:rsidR="00C60413" w:rsidRPr="00693D62" w:rsidTr="00B81787">
        <w:trPr>
          <w:cantSplit/>
        </w:trPr>
        <w:tc>
          <w:tcPr>
            <w:tcW w:w="1908" w:type="dxa"/>
            <w:gridSpan w:val="2"/>
          </w:tcPr>
          <w:p w:rsidR="00C60413" w:rsidRPr="00693D62" w:rsidRDefault="00C60413" w:rsidP="00A165B4">
            <w:pPr>
              <w:outlineLvl w:val="4"/>
              <w:rPr>
                <w:b/>
                <w:szCs w:val="24"/>
              </w:rPr>
            </w:pPr>
          </w:p>
        </w:tc>
        <w:tc>
          <w:tcPr>
            <w:tcW w:w="7740" w:type="dxa"/>
            <w:gridSpan w:val="3"/>
          </w:tcPr>
          <w:p w:rsidR="00C60413" w:rsidRPr="00693D62" w:rsidRDefault="00C60413" w:rsidP="00A165B4">
            <w:pPr>
              <w:ind w:left="720"/>
              <w:rPr>
                <w:szCs w:val="24"/>
              </w:rPr>
            </w:pPr>
          </w:p>
        </w:tc>
      </w:tr>
    </w:tbl>
    <w:p w:rsidR="009074A9" w:rsidRPr="00693D62" w:rsidRDefault="00C60413" w:rsidP="00C60413">
      <w:pPr>
        <w:pStyle w:val="BlockLine"/>
        <w:pBdr>
          <w:top w:val="none" w:sz="0" w:space="0" w:color="auto"/>
        </w:pBdr>
        <w:rPr>
          <w:szCs w:val="24"/>
        </w:rPr>
      </w:pPr>
      <w:r w:rsidRPr="00693D62">
        <w:rPr>
          <w:szCs w:val="24"/>
        </w:rPr>
        <w:lastRenderedPageBreak/>
        <w:tab/>
      </w:r>
      <w:r w:rsidRPr="00693D62">
        <w:rPr>
          <w:szCs w:val="24"/>
        </w:rPr>
        <w:tab/>
      </w:r>
    </w:p>
    <w:p w:rsidR="00C60413" w:rsidRPr="00693D62" w:rsidRDefault="00C60413" w:rsidP="009074A9">
      <w:pPr>
        <w:pStyle w:val="BlockLine"/>
        <w:pBdr>
          <w:top w:val="none" w:sz="0" w:space="0" w:color="auto"/>
        </w:pBdr>
        <w:ind w:left="0"/>
        <w:rPr>
          <w:szCs w:val="24"/>
        </w:rPr>
      </w:pPr>
      <w:r w:rsidRPr="00693D62">
        <w:rPr>
          <w:szCs w:val="24"/>
        </w:rPr>
        <w:tab/>
      </w:r>
      <w:r w:rsidRPr="00693D62">
        <w:rPr>
          <w:szCs w:val="24"/>
        </w:rPr>
        <w:tab/>
      </w:r>
    </w:p>
    <w:tbl>
      <w:tblPr>
        <w:tblW w:w="9932" w:type="dxa"/>
        <w:tblLayout w:type="fixed"/>
        <w:tblLook w:val="0000" w:firstRow="0" w:lastRow="0" w:firstColumn="0" w:lastColumn="0" w:noHBand="0" w:noVBand="0"/>
      </w:tblPr>
      <w:tblGrid>
        <w:gridCol w:w="1928"/>
        <w:gridCol w:w="8004"/>
      </w:tblGrid>
      <w:tr w:rsidR="00C60413" w:rsidRPr="00693D62" w:rsidTr="00B45551">
        <w:trPr>
          <w:cantSplit/>
          <w:trHeight w:val="804"/>
        </w:trPr>
        <w:tc>
          <w:tcPr>
            <w:tcW w:w="1928" w:type="dxa"/>
          </w:tcPr>
          <w:p w:rsidR="009074A9" w:rsidRPr="00693D62" w:rsidRDefault="009074A9" w:rsidP="00A165B4">
            <w:pPr>
              <w:outlineLvl w:val="4"/>
              <w:rPr>
                <w:b/>
                <w:szCs w:val="24"/>
              </w:rPr>
            </w:pPr>
          </w:p>
          <w:p w:rsidR="00C60413" w:rsidRPr="00693D62" w:rsidRDefault="00C60413" w:rsidP="00A165B4">
            <w:pPr>
              <w:outlineLvl w:val="4"/>
              <w:rPr>
                <w:b/>
                <w:szCs w:val="24"/>
              </w:rPr>
            </w:pPr>
            <w:r w:rsidRPr="00693D62">
              <w:rPr>
                <w:b/>
                <w:szCs w:val="24"/>
              </w:rPr>
              <w:t>CASSETTE</w:t>
            </w:r>
          </w:p>
          <w:p w:rsidR="00C60413" w:rsidRPr="00693D62" w:rsidRDefault="00C60413" w:rsidP="00A165B4">
            <w:pPr>
              <w:outlineLvl w:val="4"/>
              <w:rPr>
                <w:b/>
                <w:szCs w:val="24"/>
              </w:rPr>
            </w:pPr>
            <w:r w:rsidRPr="00693D62">
              <w:rPr>
                <w:b/>
                <w:szCs w:val="24"/>
              </w:rPr>
              <w:t>PRESENTATION</w:t>
            </w:r>
          </w:p>
        </w:tc>
        <w:tc>
          <w:tcPr>
            <w:tcW w:w="8004" w:type="dxa"/>
          </w:tcPr>
          <w:p w:rsidR="009074A9" w:rsidRPr="00693D62" w:rsidRDefault="009074A9" w:rsidP="00A165B4">
            <w:pPr>
              <w:rPr>
                <w:szCs w:val="24"/>
              </w:rPr>
            </w:pPr>
          </w:p>
          <w:p w:rsidR="00C60413" w:rsidRPr="00693D62" w:rsidRDefault="00C60413" w:rsidP="00A165B4">
            <w:pPr>
              <w:rPr>
                <w:szCs w:val="24"/>
              </w:rPr>
            </w:pPr>
            <w:r w:rsidRPr="00693D62">
              <w:rPr>
                <w:szCs w:val="24"/>
              </w:rPr>
              <w:t>The SPM (Specimen Processing Modular) must be online to run samples. View the status of the SPM in the Status Mode area at the upper left hand corner of the screen.  Follow the steps below to process samples in the cassette presentation process.</w:t>
            </w:r>
          </w:p>
          <w:p w:rsidR="00C60413" w:rsidRPr="00693D62" w:rsidRDefault="00C60413" w:rsidP="00A165B4">
            <w:pPr>
              <w:rPr>
                <w:szCs w:val="24"/>
              </w:rPr>
            </w:pPr>
          </w:p>
          <w:tbl>
            <w:tblPr>
              <w:tblW w:w="0" w:type="auto"/>
              <w:tblLayout w:type="fixed"/>
              <w:tblLook w:val="0000" w:firstRow="0" w:lastRow="0" w:firstColumn="0" w:lastColumn="0" w:noHBand="0" w:noVBand="0"/>
            </w:tblPr>
            <w:tblGrid>
              <w:gridCol w:w="878"/>
              <w:gridCol w:w="6670"/>
            </w:tblGrid>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b/>
                      <w:szCs w:val="24"/>
                    </w:rPr>
                  </w:pPr>
                  <w:r w:rsidRPr="00693D62">
                    <w:rPr>
                      <w:b/>
                      <w:szCs w:val="24"/>
                    </w:rPr>
                    <w:t>Step</w:t>
                  </w:r>
                </w:p>
              </w:tc>
              <w:tc>
                <w:tcPr>
                  <w:tcW w:w="6670" w:type="dxa"/>
                  <w:tcBorders>
                    <w:top w:val="single" w:sz="6" w:space="0" w:color="auto"/>
                    <w:bottom w:val="single" w:sz="6" w:space="0" w:color="auto"/>
                    <w:right w:val="single" w:sz="6" w:space="0" w:color="auto"/>
                  </w:tcBorders>
                </w:tcPr>
                <w:p w:rsidR="00C60413" w:rsidRPr="00693D62" w:rsidRDefault="00C60413" w:rsidP="00C60413">
                  <w:pPr>
                    <w:jc w:val="center"/>
                    <w:rPr>
                      <w:b/>
                      <w:szCs w:val="24"/>
                    </w:rPr>
                  </w:pPr>
                  <w:r w:rsidRPr="00693D62">
                    <w:rPr>
                      <w:b/>
                      <w:szCs w:val="24"/>
                    </w:rPr>
                    <w:t>Action</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1.</w:t>
                  </w:r>
                </w:p>
              </w:tc>
              <w:tc>
                <w:tcPr>
                  <w:tcW w:w="6670" w:type="dxa"/>
                  <w:tcBorders>
                    <w:top w:val="single" w:sz="6" w:space="0" w:color="auto"/>
                    <w:bottom w:val="single" w:sz="6" w:space="0" w:color="auto"/>
                    <w:right w:val="single" w:sz="6" w:space="0" w:color="auto"/>
                  </w:tcBorders>
                </w:tcPr>
                <w:p w:rsidR="00C60413" w:rsidRPr="00693D62" w:rsidRDefault="00C60413" w:rsidP="00C60413">
                  <w:pPr>
                    <w:rPr>
                      <w:szCs w:val="24"/>
                    </w:rPr>
                  </w:pPr>
                  <w:r w:rsidRPr="00693D62">
                    <w:rPr>
                      <w:szCs w:val="24"/>
                    </w:rPr>
                    <w:t>Ensure the SPM is set up for the appropriate for your workflow.</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2.</w:t>
                  </w:r>
                </w:p>
              </w:tc>
              <w:tc>
                <w:tcPr>
                  <w:tcW w:w="6670" w:type="dxa"/>
                  <w:tcBorders>
                    <w:top w:val="single" w:sz="6" w:space="0" w:color="auto"/>
                    <w:bottom w:val="single" w:sz="6" w:space="0" w:color="auto"/>
                    <w:right w:val="single" w:sz="6" w:space="0" w:color="auto"/>
                  </w:tcBorders>
                </w:tcPr>
                <w:p w:rsidR="00C60413" w:rsidRPr="00693D62" w:rsidRDefault="00C60413" w:rsidP="00A10FA9">
                  <w:pPr>
                    <w:rPr>
                      <w:szCs w:val="24"/>
                    </w:rPr>
                  </w:pPr>
                  <w:r w:rsidRPr="00693D62">
                    <w:rPr>
                      <w:szCs w:val="24"/>
                    </w:rPr>
                    <w:t xml:space="preserve">Ensure your specimens have been collected and stored properly. </w:t>
                  </w:r>
                  <w:r w:rsidR="00EA37FD">
                    <w:rPr>
                      <w:szCs w:val="24"/>
                    </w:rPr>
                    <w:t xml:space="preserve">Possible clots will be flagged by </w:t>
                  </w:r>
                  <w:r w:rsidR="00A10FA9">
                    <w:rPr>
                      <w:szCs w:val="24"/>
                    </w:rPr>
                    <w:t>automated</w:t>
                  </w:r>
                  <w:r w:rsidR="00EA37FD">
                    <w:rPr>
                      <w:szCs w:val="24"/>
                    </w:rPr>
                    <w:t xml:space="preserve"> analyzer. Specimen collected with Micro-container Map tubes should be checked for clots visually or with applicator sticks.</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3.</w:t>
                  </w:r>
                </w:p>
              </w:tc>
              <w:tc>
                <w:tcPr>
                  <w:tcW w:w="6670" w:type="dxa"/>
                  <w:tcBorders>
                    <w:top w:val="single" w:sz="6" w:space="0" w:color="auto"/>
                    <w:bottom w:val="single" w:sz="6" w:space="0" w:color="auto"/>
                    <w:right w:val="single" w:sz="6" w:space="0" w:color="auto"/>
                  </w:tcBorders>
                </w:tcPr>
                <w:p w:rsidR="00C60413" w:rsidRPr="00693D62" w:rsidRDefault="00C60413" w:rsidP="00C60413">
                  <w:pPr>
                    <w:rPr>
                      <w:szCs w:val="24"/>
                    </w:rPr>
                  </w:pPr>
                  <w:r w:rsidRPr="00693D62">
                    <w:rPr>
                      <w:szCs w:val="24"/>
                    </w:rPr>
                    <w:t>Load the specimens into the cassettes</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4.</w:t>
                  </w:r>
                </w:p>
              </w:tc>
              <w:tc>
                <w:tcPr>
                  <w:tcW w:w="6670" w:type="dxa"/>
                  <w:tcBorders>
                    <w:top w:val="single" w:sz="6" w:space="0" w:color="auto"/>
                    <w:bottom w:val="single" w:sz="6" w:space="0" w:color="auto"/>
                    <w:right w:val="single" w:sz="6" w:space="0" w:color="auto"/>
                  </w:tcBorders>
                </w:tcPr>
                <w:p w:rsidR="00C60413" w:rsidRPr="00693D62" w:rsidRDefault="00C60413" w:rsidP="00C60413">
                  <w:pPr>
                    <w:rPr>
                      <w:szCs w:val="24"/>
                    </w:rPr>
                  </w:pPr>
                  <w:r w:rsidRPr="00693D62">
                    <w:rPr>
                      <w:szCs w:val="24"/>
                    </w:rPr>
                    <w:t>Pre-Mix the sample specimens by inverting 8-10 times, avoid foaming.</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5.</w:t>
                  </w:r>
                </w:p>
              </w:tc>
              <w:tc>
                <w:tcPr>
                  <w:tcW w:w="6670" w:type="dxa"/>
                  <w:tcBorders>
                    <w:top w:val="single" w:sz="6" w:space="0" w:color="auto"/>
                    <w:bottom w:val="single" w:sz="6" w:space="0" w:color="auto"/>
                    <w:right w:val="single" w:sz="6" w:space="0" w:color="auto"/>
                  </w:tcBorders>
                </w:tcPr>
                <w:p w:rsidR="00C60413" w:rsidRPr="00693D62" w:rsidRDefault="00C60413" w:rsidP="00C60413">
                  <w:pPr>
                    <w:rPr>
                      <w:szCs w:val="24"/>
                    </w:rPr>
                  </w:pPr>
                  <w:r w:rsidRPr="00693D62">
                    <w:rPr>
                      <w:szCs w:val="24"/>
                    </w:rPr>
                    <w:t>Place cassettes into the input buffer to the right of the SPM.  The SPM automatically begins cycling the cassettes.</w:t>
                  </w:r>
                </w:p>
              </w:tc>
            </w:tr>
            <w:tr w:rsidR="00C60413" w:rsidRPr="00693D62" w:rsidTr="00C60413">
              <w:trPr>
                <w:cantSplit/>
              </w:trPr>
              <w:tc>
                <w:tcPr>
                  <w:tcW w:w="878" w:type="dxa"/>
                  <w:tcBorders>
                    <w:top w:val="single" w:sz="6" w:space="0" w:color="auto"/>
                    <w:left w:val="single" w:sz="6" w:space="0" w:color="auto"/>
                    <w:bottom w:val="single" w:sz="6" w:space="0" w:color="auto"/>
                    <w:right w:val="single" w:sz="6" w:space="0" w:color="auto"/>
                  </w:tcBorders>
                </w:tcPr>
                <w:p w:rsidR="00C60413" w:rsidRPr="00693D62" w:rsidRDefault="00C60413" w:rsidP="00C60413">
                  <w:pPr>
                    <w:jc w:val="center"/>
                    <w:rPr>
                      <w:szCs w:val="24"/>
                    </w:rPr>
                  </w:pPr>
                  <w:r w:rsidRPr="00693D62">
                    <w:rPr>
                      <w:szCs w:val="24"/>
                    </w:rPr>
                    <w:t>6.</w:t>
                  </w:r>
                </w:p>
              </w:tc>
              <w:tc>
                <w:tcPr>
                  <w:tcW w:w="6670" w:type="dxa"/>
                  <w:tcBorders>
                    <w:top w:val="single" w:sz="6" w:space="0" w:color="auto"/>
                    <w:bottom w:val="single" w:sz="6" w:space="0" w:color="auto"/>
                    <w:right w:val="single" w:sz="6" w:space="0" w:color="auto"/>
                  </w:tcBorders>
                </w:tcPr>
                <w:p w:rsidR="00C60413" w:rsidRPr="00693D62" w:rsidRDefault="00C60413" w:rsidP="00C60413">
                  <w:pPr>
                    <w:rPr>
                      <w:szCs w:val="24"/>
                    </w:rPr>
                  </w:pPr>
                  <w:r w:rsidRPr="00693D62">
                    <w:rPr>
                      <w:szCs w:val="24"/>
                    </w:rPr>
                    <w:t xml:space="preserve">After the SPM cycles the samples, review the sample results at the System Manager. </w:t>
                  </w:r>
                </w:p>
                <w:p w:rsidR="00C60413" w:rsidRPr="00693D62" w:rsidRDefault="00C60413" w:rsidP="00C60413">
                  <w:pPr>
                    <w:rPr>
                      <w:szCs w:val="24"/>
                    </w:rPr>
                  </w:pPr>
                </w:p>
                <w:p w:rsidR="00C60413" w:rsidRPr="00693D62" w:rsidRDefault="00C60413" w:rsidP="00C60413">
                  <w:pPr>
                    <w:rPr>
                      <w:szCs w:val="24"/>
                    </w:rPr>
                  </w:pPr>
                  <w:r w:rsidRPr="00693D62">
                    <w:rPr>
                      <w:szCs w:val="24"/>
                    </w:rPr>
                    <w:t>NOTE: To avoid serious injury, do not place your hand through the cassette presentation opening on the SPM.</w:t>
                  </w:r>
                </w:p>
              </w:tc>
            </w:tr>
          </w:tbl>
          <w:p w:rsidR="00C60413" w:rsidRPr="00693D62" w:rsidRDefault="00C60413" w:rsidP="00A165B4">
            <w:pPr>
              <w:rPr>
                <w:szCs w:val="24"/>
              </w:rPr>
            </w:pPr>
          </w:p>
        </w:tc>
      </w:tr>
    </w:tbl>
    <w:p w:rsidR="00C60413" w:rsidRPr="00693D62" w:rsidRDefault="00C60413"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p w:rsidR="00AF3741" w:rsidRPr="00693D62" w:rsidRDefault="00AF3741" w:rsidP="00AD55B2">
      <w:pPr>
        <w:rPr>
          <w:szCs w:val="24"/>
        </w:rPr>
      </w:pPr>
    </w:p>
    <w:tbl>
      <w:tblPr>
        <w:tblW w:w="9738" w:type="dxa"/>
        <w:tblLayout w:type="fixed"/>
        <w:tblLook w:val="0000" w:firstRow="0" w:lastRow="0" w:firstColumn="0" w:lastColumn="0" w:noHBand="0" w:noVBand="0"/>
      </w:tblPr>
      <w:tblGrid>
        <w:gridCol w:w="1728"/>
        <w:gridCol w:w="180"/>
        <w:gridCol w:w="7740"/>
        <w:gridCol w:w="90"/>
      </w:tblGrid>
      <w:tr w:rsidR="009074A9" w:rsidRPr="00693D62" w:rsidTr="00AF3741">
        <w:trPr>
          <w:gridAfter w:val="1"/>
          <w:wAfter w:w="90" w:type="dxa"/>
          <w:cantSplit/>
        </w:trPr>
        <w:tc>
          <w:tcPr>
            <w:tcW w:w="1908" w:type="dxa"/>
            <w:gridSpan w:val="2"/>
          </w:tcPr>
          <w:p w:rsidR="009074A9" w:rsidRPr="00693D62" w:rsidRDefault="009074A9" w:rsidP="00A165B4">
            <w:pPr>
              <w:outlineLvl w:val="4"/>
              <w:rPr>
                <w:b/>
                <w:szCs w:val="24"/>
              </w:rPr>
            </w:pPr>
          </w:p>
          <w:p w:rsidR="009074A9" w:rsidRPr="00693D62" w:rsidRDefault="009074A9" w:rsidP="00A165B4">
            <w:pPr>
              <w:outlineLvl w:val="4"/>
              <w:rPr>
                <w:b/>
                <w:szCs w:val="24"/>
              </w:rPr>
            </w:pPr>
            <w:r w:rsidRPr="00693D62">
              <w:rPr>
                <w:b/>
                <w:szCs w:val="24"/>
              </w:rPr>
              <w:t>SINGLE TUBE PRESENTATION</w:t>
            </w:r>
          </w:p>
        </w:tc>
        <w:tc>
          <w:tcPr>
            <w:tcW w:w="7740" w:type="dxa"/>
          </w:tcPr>
          <w:p w:rsidR="009074A9" w:rsidRPr="00693D62" w:rsidRDefault="009074A9" w:rsidP="00A165B4">
            <w:pPr>
              <w:tabs>
                <w:tab w:val="left" w:pos="-720"/>
                <w:tab w:val="left" w:pos="0"/>
              </w:tabs>
              <w:suppressAutoHyphens/>
              <w:rPr>
                <w:szCs w:val="24"/>
              </w:rPr>
            </w:pPr>
          </w:p>
          <w:p w:rsidR="009074A9" w:rsidRPr="00693D62" w:rsidRDefault="009074A9" w:rsidP="00A165B4">
            <w:pPr>
              <w:tabs>
                <w:tab w:val="left" w:pos="-720"/>
                <w:tab w:val="left" w:pos="0"/>
              </w:tabs>
              <w:suppressAutoHyphens/>
              <w:rPr>
                <w:szCs w:val="24"/>
              </w:rPr>
            </w:pPr>
            <w:r w:rsidRPr="00693D62">
              <w:rPr>
                <w:szCs w:val="24"/>
              </w:rPr>
              <w:t>Follow the steps below to process samples using the Single-Tube presentation process.</w:t>
            </w:r>
          </w:p>
          <w:tbl>
            <w:tblPr>
              <w:tblW w:w="7548" w:type="dxa"/>
              <w:tblLayout w:type="fixed"/>
              <w:tblLook w:val="0000" w:firstRow="0" w:lastRow="0" w:firstColumn="0" w:lastColumn="0" w:noHBand="0" w:noVBand="0"/>
            </w:tblPr>
            <w:tblGrid>
              <w:gridCol w:w="878"/>
              <w:gridCol w:w="6670"/>
            </w:tblGrid>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b/>
                      <w:szCs w:val="24"/>
                    </w:rPr>
                  </w:pPr>
                  <w:r w:rsidRPr="00693D62">
                    <w:rPr>
                      <w:b/>
                      <w:szCs w:val="24"/>
                    </w:rPr>
                    <w:t>Step</w:t>
                  </w:r>
                </w:p>
              </w:tc>
              <w:tc>
                <w:tcPr>
                  <w:tcW w:w="6670" w:type="dxa"/>
                  <w:tcBorders>
                    <w:top w:val="single" w:sz="6" w:space="0" w:color="auto"/>
                    <w:bottom w:val="single" w:sz="6" w:space="0" w:color="auto"/>
                    <w:right w:val="single" w:sz="6" w:space="0" w:color="auto"/>
                  </w:tcBorders>
                </w:tcPr>
                <w:p w:rsidR="009074A9" w:rsidRPr="00693D62" w:rsidRDefault="009074A9" w:rsidP="009074A9">
                  <w:pPr>
                    <w:jc w:val="center"/>
                    <w:rPr>
                      <w:b/>
                      <w:szCs w:val="24"/>
                    </w:rPr>
                  </w:pPr>
                  <w:r w:rsidRPr="00693D62">
                    <w:rPr>
                      <w:b/>
                      <w:szCs w:val="24"/>
                    </w:rPr>
                    <w:t>Action</w:t>
                  </w:r>
                </w:p>
              </w:tc>
            </w:tr>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1.</w:t>
                  </w:r>
                </w:p>
              </w:tc>
              <w:tc>
                <w:tcPr>
                  <w:tcW w:w="6670" w:type="dxa"/>
                  <w:tcBorders>
                    <w:top w:val="single" w:sz="6" w:space="0" w:color="auto"/>
                    <w:bottom w:val="single" w:sz="6" w:space="0" w:color="auto"/>
                    <w:right w:val="single" w:sz="6" w:space="0" w:color="auto"/>
                  </w:tcBorders>
                </w:tcPr>
                <w:p w:rsidR="009074A9" w:rsidRPr="00693D62" w:rsidRDefault="00EA37FD" w:rsidP="00A10FA9">
                  <w:pPr>
                    <w:rPr>
                      <w:szCs w:val="24"/>
                    </w:rPr>
                  </w:pPr>
                  <w:r w:rsidRPr="00693D62">
                    <w:rPr>
                      <w:szCs w:val="24"/>
                    </w:rPr>
                    <w:t xml:space="preserve">Ensure your specimens have been collected and stored properly. </w:t>
                  </w:r>
                  <w:r>
                    <w:rPr>
                      <w:szCs w:val="24"/>
                    </w:rPr>
                    <w:t xml:space="preserve">Possible clots will be flagged by </w:t>
                  </w:r>
                  <w:r w:rsidR="00A10FA9">
                    <w:rPr>
                      <w:szCs w:val="24"/>
                    </w:rPr>
                    <w:t>automated</w:t>
                  </w:r>
                  <w:r>
                    <w:rPr>
                      <w:szCs w:val="24"/>
                    </w:rPr>
                    <w:t xml:space="preserve"> analyzer. Specimen collected with Micro-container Map tubes should be checked for clots visually or with applicator sticks.</w:t>
                  </w:r>
                  <w:r w:rsidR="00393D83">
                    <w:rPr>
                      <w:szCs w:val="24"/>
                    </w:rPr>
                    <w:t xml:space="preserve"> Samples that needs to be aliquot on conical tubes will be labeled with new Cerner accession stickers.</w:t>
                  </w:r>
                </w:p>
              </w:tc>
            </w:tr>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2.</w:t>
                  </w:r>
                </w:p>
              </w:tc>
              <w:tc>
                <w:tcPr>
                  <w:tcW w:w="6670"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Select the Single-Tube Presentation icon at the top of any screen to display the Single-Tube Presentation dialog box.</w:t>
                  </w:r>
                </w:p>
              </w:tc>
            </w:tr>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3.</w:t>
                  </w:r>
                </w:p>
              </w:tc>
              <w:tc>
                <w:tcPr>
                  <w:tcW w:w="6670"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Place the specimen on the bar-code reader platform of the Single-Tube Presentation Station with the bar code facing the SPM to allow the Single-Tube Presentation Bar-Code Reader to scan the specimen label. The bar code may also be scanned with the handheld scanner or the Specimen Accession Number may be typed into the Specimen Identifier field.</w:t>
                  </w:r>
                </w:p>
              </w:tc>
            </w:tr>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4.</w:t>
                  </w:r>
                </w:p>
              </w:tc>
              <w:tc>
                <w:tcPr>
                  <w:tcW w:w="6670"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Verify the Specimen Accession number and test request. Acknowledging the ID that displays on the System Manager screen indicates that you accept the bar-code label read or manual entry.</w:t>
                  </w:r>
                </w:p>
              </w:tc>
            </w:tr>
            <w:tr w:rsidR="009074A9"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5.</w:t>
                  </w:r>
                </w:p>
              </w:tc>
              <w:tc>
                <w:tcPr>
                  <w:tcW w:w="6670"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Thoroughly mix the specimen (invert 8-10 times, avoid foaming).</w:t>
                  </w:r>
                </w:p>
              </w:tc>
            </w:tr>
            <w:tr w:rsidR="00AF3741"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AF3741" w:rsidRPr="00693D62" w:rsidRDefault="00AF3741" w:rsidP="00AF3741">
                  <w:pPr>
                    <w:jc w:val="center"/>
                    <w:rPr>
                      <w:szCs w:val="24"/>
                    </w:rPr>
                  </w:pPr>
                  <w:r w:rsidRPr="00693D62">
                    <w:rPr>
                      <w:szCs w:val="24"/>
                    </w:rPr>
                    <w:t>6.</w:t>
                  </w:r>
                </w:p>
              </w:tc>
              <w:tc>
                <w:tcPr>
                  <w:tcW w:w="6670" w:type="dxa"/>
                  <w:tcBorders>
                    <w:top w:val="single" w:sz="6" w:space="0" w:color="auto"/>
                    <w:bottom w:val="single" w:sz="6" w:space="0" w:color="auto"/>
                    <w:right w:val="single" w:sz="6" w:space="0" w:color="auto"/>
                  </w:tcBorders>
                </w:tcPr>
                <w:p w:rsidR="00AF3741" w:rsidRPr="00693D62" w:rsidRDefault="00AF3741" w:rsidP="00AF3741">
                  <w:pPr>
                    <w:rPr>
                      <w:szCs w:val="24"/>
                    </w:rPr>
                  </w:pPr>
                  <w:r w:rsidRPr="00693D62">
                    <w:rPr>
                      <w:szCs w:val="24"/>
                    </w:rPr>
                    <w:t>Place the specimen into the correct Single-tube position.</w:t>
                  </w:r>
                </w:p>
              </w:tc>
            </w:tr>
            <w:tr w:rsidR="00AF3741" w:rsidRPr="00693D62" w:rsidTr="00AF3741">
              <w:trPr>
                <w:cantSplit/>
              </w:trPr>
              <w:tc>
                <w:tcPr>
                  <w:tcW w:w="878" w:type="dxa"/>
                  <w:tcBorders>
                    <w:top w:val="single" w:sz="6" w:space="0" w:color="auto"/>
                    <w:left w:val="single" w:sz="6" w:space="0" w:color="auto"/>
                    <w:bottom w:val="single" w:sz="6" w:space="0" w:color="auto"/>
                    <w:right w:val="single" w:sz="6" w:space="0" w:color="auto"/>
                  </w:tcBorders>
                </w:tcPr>
                <w:p w:rsidR="00AF3741" w:rsidRPr="00693D62" w:rsidRDefault="00AF3741" w:rsidP="00AF3741">
                  <w:pPr>
                    <w:jc w:val="center"/>
                    <w:rPr>
                      <w:szCs w:val="24"/>
                    </w:rPr>
                  </w:pPr>
                  <w:r w:rsidRPr="00693D62">
                    <w:rPr>
                      <w:szCs w:val="24"/>
                    </w:rPr>
                    <w:t>7.</w:t>
                  </w:r>
                </w:p>
              </w:tc>
              <w:tc>
                <w:tcPr>
                  <w:tcW w:w="6670" w:type="dxa"/>
                  <w:tcBorders>
                    <w:top w:val="single" w:sz="6" w:space="0" w:color="auto"/>
                    <w:bottom w:val="single" w:sz="6" w:space="0" w:color="auto"/>
                    <w:right w:val="single" w:sz="6" w:space="0" w:color="auto"/>
                  </w:tcBorders>
                </w:tcPr>
                <w:p w:rsidR="00AF3741" w:rsidRPr="00693D62" w:rsidRDefault="00AF3741" w:rsidP="00AF3741">
                  <w:pPr>
                    <w:rPr>
                      <w:szCs w:val="24"/>
                    </w:rPr>
                  </w:pPr>
                  <w:r w:rsidRPr="00693D62">
                    <w:rPr>
                      <w:szCs w:val="24"/>
                    </w:rPr>
                    <w:t>Do not place a closed tube or a 16 mm diameter tube in the right position of the Single-tube Presentation Station. Doing so could result in an incomplete aspiration and an erroneous result.</w:t>
                  </w:r>
                </w:p>
              </w:tc>
            </w:tr>
          </w:tbl>
          <w:p w:rsidR="009074A9" w:rsidRPr="00693D62" w:rsidRDefault="009074A9" w:rsidP="00A165B4">
            <w:pPr>
              <w:tabs>
                <w:tab w:val="left" w:pos="-720"/>
                <w:tab w:val="left" w:pos="0"/>
              </w:tabs>
              <w:suppressAutoHyphens/>
              <w:rPr>
                <w:szCs w:val="24"/>
              </w:rPr>
            </w:pPr>
          </w:p>
        </w:tc>
      </w:tr>
      <w:tr w:rsidR="009074A9" w:rsidRPr="00693D62" w:rsidTr="00AF3741">
        <w:trPr>
          <w:cantSplit/>
        </w:trPr>
        <w:tc>
          <w:tcPr>
            <w:tcW w:w="1728" w:type="dxa"/>
          </w:tcPr>
          <w:p w:rsidR="009074A9" w:rsidRPr="00693D62" w:rsidRDefault="009074A9" w:rsidP="009074A9">
            <w:pPr>
              <w:rPr>
                <w:szCs w:val="24"/>
              </w:rPr>
            </w:pPr>
            <w:r w:rsidRPr="00693D62">
              <w:rPr>
                <w:szCs w:val="24"/>
              </w:rPr>
              <w:t>DATA REVIEW</w:t>
            </w:r>
          </w:p>
        </w:tc>
        <w:tc>
          <w:tcPr>
            <w:tcW w:w="8010" w:type="dxa"/>
            <w:gridSpan w:val="3"/>
          </w:tcPr>
          <w:p w:rsidR="009074A9" w:rsidRPr="00693D62" w:rsidRDefault="009074A9" w:rsidP="00A165B4">
            <w:pPr>
              <w:rPr>
                <w:szCs w:val="24"/>
              </w:rPr>
            </w:pPr>
            <w:r w:rsidRPr="00693D62">
              <w:rPr>
                <w:szCs w:val="24"/>
              </w:rPr>
              <w:t>Go to Worklist Screen, it manages tests orders and results within the database. Worklist screen may be used:</w:t>
            </w:r>
          </w:p>
          <w:p w:rsidR="009074A9" w:rsidRPr="00693D62" w:rsidRDefault="009074A9" w:rsidP="00A165B4">
            <w:pPr>
              <w:rPr>
                <w:szCs w:val="24"/>
              </w:rPr>
            </w:pPr>
          </w:p>
          <w:p w:rsidR="009074A9" w:rsidRPr="00693D62" w:rsidRDefault="009074A9" w:rsidP="009074A9">
            <w:pPr>
              <w:numPr>
                <w:ilvl w:val="0"/>
                <w:numId w:val="44"/>
              </w:numPr>
              <w:rPr>
                <w:szCs w:val="24"/>
              </w:rPr>
            </w:pPr>
            <w:r w:rsidRPr="00693D62">
              <w:rPr>
                <w:szCs w:val="24"/>
              </w:rPr>
              <w:t>Use predefined filters for display and monitoring of patient test orders and results.</w:t>
            </w:r>
          </w:p>
          <w:p w:rsidR="009074A9" w:rsidRPr="00693D62" w:rsidRDefault="009074A9" w:rsidP="009074A9">
            <w:pPr>
              <w:numPr>
                <w:ilvl w:val="0"/>
                <w:numId w:val="44"/>
              </w:numPr>
              <w:rPr>
                <w:szCs w:val="24"/>
              </w:rPr>
            </w:pPr>
            <w:r w:rsidRPr="00693D62">
              <w:rPr>
                <w:szCs w:val="24"/>
              </w:rPr>
              <w:t>Specify sort/filter criteria for display and monitoring of patient test orders and reults.</w:t>
            </w:r>
          </w:p>
          <w:p w:rsidR="009074A9" w:rsidRPr="00693D62" w:rsidRDefault="009074A9" w:rsidP="009074A9">
            <w:pPr>
              <w:numPr>
                <w:ilvl w:val="0"/>
                <w:numId w:val="44"/>
              </w:numPr>
              <w:rPr>
                <w:szCs w:val="24"/>
              </w:rPr>
            </w:pPr>
            <w:r w:rsidRPr="00693D62">
              <w:rPr>
                <w:szCs w:val="24"/>
              </w:rPr>
              <w:t>Add, transmit, and export patient results,</w:t>
            </w:r>
          </w:p>
          <w:p w:rsidR="009074A9" w:rsidRPr="00693D62" w:rsidRDefault="009074A9" w:rsidP="009074A9">
            <w:pPr>
              <w:numPr>
                <w:ilvl w:val="0"/>
                <w:numId w:val="44"/>
              </w:numPr>
              <w:rPr>
                <w:szCs w:val="24"/>
              </w:rPr>
            </w:pPr>
            <w:r w:rsidRPr="00693D62">
              <w:rPr>
                <w:szCs w:val="24"/>
              </w:rPr>
              <w:t>Clear notification for specimens that were not processed.</w:t>
            </w:r>
          </w:p>
          <w:p w:rsidR="009074A9" w:rsidRPr="00693D62" w:rsidRDefault="009074A9" w:rsidP="00A165B4">
            <w:pPr>
              <w:rPr>
                <w:szCs w:val="24"/>
              </w:rPr>
            </w:pPr>
          </w:p>
          <w:p w:rsidR="009074A9" w:rsidRPr="00693D62" w:rsidRDefault="009074A9" w:rsidP="00A165B4">
            <w:pPr>
              <w:rPr>
                <w:szCs w:val="24"/>
              </w:rPr>
            </w:pPr>
          </w:p>
          <w:p w:rsidR="009074A9" w:rsidRPr="00693D62" w:rsidRDefault="009074A9" w:rsidP="00A165B4">
            <w:pPr>
              <w:rPr>
                <w:szCs w:val="24"/>
              </w:rPr>
            </w:pPr>
            <w:r w:rsidRPr="00693D62">
              <w:rPr>
                <w:szCs w:val="24"/>
              </w:rPr>
              <w:t>Select worklist icon from the top of any screen OR Select Menu/Worklist:</w:t>
            </w:r>
          </w:p>
          <w:tbl>
            <w:tblPr>
              <w:tblW w:w="7218" w:type="dxa"/>
              <w:tblInd w:w="46" w:type="dxa"/>
              <w:tblLayout w:type="fixed"/>
              <w:tblLook w:val="0000" w:firstRow="0" w:lastRow="0" w:firstColumn="0" w:lastColumn="0" w:noHBand="0" w:noVBand="0"/>
            </w:tblPr>
            <w:tblGrid>
              <w:gridCol w:w="810"/>
              <w:gridCol w:w="6408"/>
            </w:tblGrid>
            <w:tr w:rsidR="009074A9" w:rsidRPr="00693D62" w:rsidTr="009074A9">
              <w:trPr>
                <w:cantSplit/>
                <w:trHeight w:val="273"/>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b/>
                      <w:szCs w:val="24"/>
                    </w:rPr>
                  </w:pPr>
                  <w:r w:rsidRPr="00693D62">
                    <w:rPr>
                      <w:b/>
                      <w:szCs w:val="24"/>
                    </w:rPr>
                    <w:t>Tab</w:t>
                  </w:r>
                </w:p>
              </w:tc>
              <w:tc>
                <w:tcPr>
                  <w:tcW w:w="6408" w:type="dxa"/>
                  <w:tcBorders>
                    <w:top w:val="single" w:sz="6" w:space="0" w:color="auto"/>
                    <w:bottom w:val="single" w:sz="6" w:space="0" w:color="auto"/>
                    <w:right w:val="single" w:sz="6" w:space="0" w:color="auto"/>
                  </w:tcBorders>
                </w:tcPr>
                <w:p w:rsidR="009074A9" w:rsidRPr="00693D62" w:rsidRDefault="009074A9" w:rsidP="009074A9">
                  <w:pPr>
                    <w:jc w:val="center"/>
                    <w:rPr>
                      <w:b/>
                      <w:szCs w:val="24"/>
                    </w:rPr>
                  </w:pPr>
                  <w:r w:rsidRPr="00693D62">
                    <w:rPr>
                      <w:b/>
                      <w:szCs w:val="24"/>
                    </w:rPr>
                    <w:t>Process</w:t>
                  </w:r>
                </w:p>
              </w:tc>
            </w:tr>
            <w:tr w:rsidR="009074A9" w:rsidRPr="00693D62" w:rsidTr="009074A9">
              <w:trPr>
                <w:cantSplit/>
                <w:trHeight w:val="562"/>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1.</w:t>
                  </w:r>
                </w:p>
              </w:tc>
              <w:tc>
                <w:tcPr>
                  <w:tcW w:w="6408"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b/>
                      <w:szCs w:val="24"/>
                    </w:rPr>
                    <w:t>Pending Tab</w:t>
                  </w:r>
                  <w:r w:rsidRPr="00693D62">
                    <w:rPr>
                      <w:szCs w:val="24"/>
                    </w:rPr>
                    <w:t xml:space="preserve"> – The pending tab displays all patient test orders with a pending or partially completed result status.</w:t>
                  </w:r>
                </w:p>
              </w:tc>
            </w:tr>
            <w:tr w:rsidR="009074A9" w:rsidRPr="00693D62" w:rsidTr="009074A9">
              <w:trPr>
                <w:cantSplit/>
                <w:trHeight w:val="2234"/>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2.</w:t>
                  </w:r>
                </w:p>
              </w:tc>
              <w:tc>
                <w:tcPr>
                  <w:tcW w:w="6408"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b/>
                      <w:szCs w:val="24"/>
                    </w:rPr>
                    <w:t>Not Processed Tab</w:t>
                  </w:r>
                  <w:r w:rsidRPr="00693D62">
                    <w:rPr>
                      <w:szCs w:val="24"/>
                    </w:rPr>
                    <w:t xml:space="preserve"> – The Not Processed tab displays exceptions for specimens that have been skipped. Those specimens need to be reloaded and tested. If exceptions are posted to the Not Processed tab, the Worklist alert status icon is red. The tab (view) automatically displays when you click the red Worklist icon. Specimens skipped because of a No Read or No Match is posted to the Not Processed tab. A corresponding Event is posted in the Event Log for each.</w:t>
                  </w:r>
                </w:p>
              </w:tc>
            </w:tr>
            <w:tr w:rsidR="009074A9" w:rsidRPr="00693D62" w:rsidTr="009074A9">
              <w:trPr>
                <w:cantSplit/>
                <w:trHeight w:val="899"/>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3.</w:t>
                  </w:r>
                </w:p>
              </w:tc>
              <w:tc>
                <w:tcPr>
                  <w:tcW w:w="6408"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Review Tab – The Worklist-Review tab displays specimens that have been held (not released) and requires attention. Use the scroll bar to view all the components and data on this screen. The filter at the top right allows you to search by the following categories; all held, held with exception status, and held with slide review action. To release a result, you must be at the Patient Results screen.</w:t>
                  </w:r>
                </w:p>
              </w:tc>
            </w:tr>
            <w:tr w:rsidR="009074A9" w:rsidRPr="00693D62" w:rsidTr="009074A9">
              <w:trPr>
                <w:cantSplit/>
                <w:trHeight w:val="899"/>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4.</w:t>
                  </w:r>
                </w:p>
              </w:tc>
              <w:tc>
                <w:tcPr>
                  <w:tcW w:w="6408"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Released Tab – The Worklist-Released tab displays the released results according to the filter that you select. The filter name drop-down list at the top right of the Released Tab allows you to filter by selecting All or All (last 30 days).</w:t>
                  </w:r>
                </w:p>
              </w:tc>
            </w:tr>
            <w:tr w:rsidR="009074A9" w:rsidRPr="00693D62" w:rsidTr="009074A9">
              <w:trPr>
                <w:cantSplit/>
                <w:trHeight w:val="899"/>
              </w:trPr>
              <w:tc>
                <w:tcPr>
                  <w:tcW w:w="810" w:type="dxa"/>
                  <w:tcBorders>
                    <w:top w:val="single" w:sz="6" w:space="0" w:color="auto"/>
                    <w:left w:val="single" w:sz="6" w:space="0" w:color="auto"/>
                    <w:bottom w:val="single" w:sz="6" w:space="0" w:color="auto"/>
                    <w:right w:val="single" w:sz="6" w:space="0" w:color="auto"/>
                  </w:tcBorders>
                </w:tcPr>
                <w:p w:rsidR="009074A9" w:rsidRPr="00693D62" w:rsidRDefault="009074A9" w:rsidP="009074A9">
                  <w:pPr>
                    <w:jc w:val="center"/>
                    <w:rPr>
                      <w:szCs w:val="24"/>
                    </w:rPr>
                  </w:pPr>
                  <w:r w:rsidRPr="00693D62">
                    <w:rPr>
                      <w:szCs w:val="24"/>
                    </w:rPr>
                    <w:t>5.</w:t>
                  </w:r>
                </w:p>
              </w:tc>
              <w:tc>
                <w:tcPr>
                  <w:tcW w:w="6408" w:type="dxa"/>
                  <w:tcBorders>
                    <w:top w:val="single" w:sz="6" w:space="0" w:color="auto"/>
                    <w:bottom w:val="single" w:sz="6" w:space="0" w:color="auto"/>
                    <w:right w:val="single" w:sz="6" w:space="0" w:color="auto"/>
                  </w:tcBorders>
                </w:tcPr>
                <w:p w:rsidR="009074A9" w:rsidRPr="00693D62" w:rsidRDefault="009074A9" w:rsidP="009074A9">
                  <w:pPr>
                    <w:rPr>
                      <w:szCs w:val="24"/>
                    </w:rPr>
                  </w:pPr>
                  <w:r w:rsidRPr="00693D62">
                    <w:rPr>
                      <w:szCs w:val="24"/>
                    </w:rPr>
                    <w:t>Custom Tab – The Worklist-Custom tab allows one to select from predefined or user-defined filters. The following filter options may be chosen from the Filter Name drop-down list; Chartable Report Not Printed, Lab Report Not Printed, Not Transmitted, Rejected, Removed, Studies, and site specific Custom filters.</w:t>
                  </w:r>
                </w:p>
              </w:tc>
            </w:tr>
          </w:tbl>
          <w:p w:rsidR="009074A9" w:rsidRPr="00693D62" w:rsidRDefault="009074A9" w:rsidP="00A165B4">
            <w:pPr>
              <w:rPr>
                <w:szCs w:val="24"/>
              </w:rPr>
            </w:pPr>
          </w:p>
        </w:tc>
      </w:tr>
    </w:tbl>
    <w:p w:rsidR="009074A9" w:rsidRPr="00693D62" w:rsidRDefault="009074A9">
      <w:pPr>
        <w:rPr>
          <w:szCs w:val="24"/>
        </w:rPr>
      </w:pPr>
    </w:p>
    <w:tbl>
      <w:tblPr>
        <w:tblW w:w="9648" w:type="dxa"/>
        <w:tblLayout w:type="fixed"/>
        <w:tblLook w:val="0000" w:firstRow="0" w:lastRow="0" w:firstColumn="0" w:lastColumn="0" w:noHBand="0" w:noVBand="0"/>
      </w:tblPr>
      <w:tblGrid>
        <w:gridCol w:w="1908"/>
        <w:gridCol w:w="7740"/>
      </w:tblGrid>
      <w:tr w:rsidR="00AF3741" w:rsidRPr="00693D62" w:rsidTr="00A165B4">
        <w:trPr>
          <w:cantSplit/>
        </w:trPr>
        <w:tc>
          <w:tcPr>
            <w:tcW w:w="1908" w:type="dxa"/>
          </w:tcPr>
          <w:p w:rsidR="00AF3741" w:rsidRPr="00693D62" w:rsidRDefault="00AF3741" w:rsidP="00A165B4">
            <w:pPr>
              <w:outlineLvl w:val="4"/>
              <w:rPr>
                <w:b/>
                <w:szCs w:val="24"/>
              </w:rPr>
            </w:pPr>
          </w:p>
          <w:p w:rsidR="00AF3741" w:rsidRPr="00693D62" w:rsidRDefault="00AF3741" w:rsidP="00A165B4">
            <w:pPr>
              <w:outlineLvl w:val="4"/>
              <w:rPr>
                <w:b/>
                <w:szCs w:val="24"/>
              </w:rPr>
            </w:pPr>
            <w:r w:rsidRPr="00693D62">
              <w:rPr>
                <w:b/>
                <w:szCs w:val="24"/>
              </w:rPr>
              <w:t>PERFORMING DILUTION RUN ON DXH800</w:t>
            </w:r>
          </w:p>
        </w:tc>
        <w:tc>
          <w:tcPr>
            <w:tcW w:w="7740" w:type="dxa"/>
          </w:tcPr>
          <w:p w:rsidR="00AF3741" w:rsidRPr="00693D62" w:rsidRDefault="00AF3741" w:rsidP="00A165B4">
            <w:pPr>
              <w:tabs>
                <w:tab w:val="left" w:pos="-720"/>
                <w:tab w:val="left" w:pos="0"/>
              </w:tabs>
              <w:suppressAutoHyphens/>
              <w:rPr>
                <w:szCs w:val="24"/>
              </w:rPr>
            </w:pPr>
          </w:p>
          <w:p w:rsidR="00AF3741" w:rsidRPr="00693D62" w:rsidRDefault="00AF3741" w:rsidP="00A165B4">
            <w:pPr>
              <w:tabs>
                <w:tab w:val="left" w:pos="-720"/>
                <w:tab w:val="left" w:pos="0"/>
              </w:tabs>
              <w:suppressAutoHyphens/>
              <w:rPr>
                <w:szCs w:val="24"/>
              </w:rPr>
            </w:pPr>
            <w:r w:rsidRPr="00693D62">
              <w:rPr>
                <w:szCs w:val="24"/>
              </w:rPr>
              <w:t>If results for WBC &gt; 300 or HGB &gt;23.1, CBC will be performed by dilution analysis. Instrument recommendation for dilution is run at 1:5 dilutions. Follow the steps in performing dilution analysis.</w:t>
            </w:r>
          </w:p>
          <w:p w:rsidR="00AF3741" w:rsidRPr="00693D62" w:rsidRDefault="00AF3741" w:rsidP="00A165B4">
            <w:pPr>
              <w:tabs>
                <w:tab w:val="left" w:pos="-720"/>
                <w:tab w:val="left" w:pos="0"/>
              </w:tabs>
              <w:suppressAutoHyphens/>
              <w:rPr>
                <w:szCs w:val="24"/>
              </w:rPr>
            </w:pPr>
          </w:p>
          <w:p w:rsidR="00AF3741" w:rsidRPr="00693D62" w:rsidRDefault="00AF3741" w:rsidP="00A165B4">
            <w:pPr>
              <w:tabs>
                <w:tab w:val="left" w:pos="-720"/>
                <w:tab w:val="left" w:pos="0"/>
              </w:tabs>
              <w:suppressAutoHyphens/>
              <w:rPr>
                <w:szCs w:val="24"/>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570"/>
            </w:tblGrid>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b/>
                      <w:szCs w:val="24"/>
                    </w:rPr>
                  </w:pPr>
                  <w:r w:rsidRPr="00693D62">
                    <w:rPr>
                      <w:b/>
                      <w:szCs w:val="24"/>
                    </w:rPr>
                    <w:t>STEPS</w:t>
                  </w:r>
                </w:p>
              </w:tc>
              <w:tc>
                <w:tcPr>
                  <w:tcW w:w="6570" w:type="dxa"/>
                  <w:shd w:val="clear" w:color="auto" w:fill="auto"/>
                </w:tcPr>
                <w:p w:rsidR="00AF3741" w:rsidRPr="00693D62" w:rsidRDefault="00AF3741" w:rsidP="00A165B4">
                  <w:pPr>
                    <w:tabs>
                      <w:tab w:val="left" w:pos="-720"/>
                      <w:tab w:val="left" w:pos="0"/>
                    </w:tabs>
                    <w:suppressAutoHyphens/>
                    <w:jc w:val="center"/>
                    <w:rPr>
                      <w:b/>
                      <w:szCs w:val="24"/>
                    </w:rPr>
                  </w:pPr>
                  <w:r w:rsidRPr="00693D62">
                    <w:rPr>
                      <w:b/>
                      <w:szCs w:val="24"/>
                    </w:rPr>
                    <w:t>Action</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lastRenderedPageBreak/>
                    <w:t>1</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In the instrument/DXH800 choose Single-Tube presentation. Under Single-Tube presentation, choose ‘Dispense Diluent’.</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2</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Confirm procedure and insert an empty test tube on the left side loader as a container for your diluent to be used. Instrument will dispense diluent from instrument to the test tube. Repeat procedure for more diluent depending on the amount needed. Follow the  instruction by instrument to stop Dispense diluent procedure</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3</w:t>
                  </w:r>
                </w:p>
              </w:tc>
              <w:tc>
                <w:tcPr>
                  <w:tcW w:w="6570" w:type="dxa"/>
                  <w:shd w:val="clear" w:color="auto" w:fill="auto"/>
                </w:tcPr>
                <w:p w:rsidR="00AF3741" w:rsidRPr="00693D62" w:rsidRDefault="00AF3741" w:rsidP="00A165B4">
                  <w:pPr>
                    <w:tabs>
                      <w:tab w:val="left" w:pos="-720"/>
                      <w:tab w:val="left" w:pos="0"/>
                    </w:tabs>
                    <w:suppressAutoHyphens/>
                    <w:rPr>
                      <w:i/>
                      <w:szCs w:val="24"/>
                    </w:rPr>
                  </w:pPr>
                  <w:r w:rsidRPr="00693D62">
                    <w:rPr>
                      <w:i/>
                      <w:szCs w:val="24"/>
                    </w:rPr>
                    <w:t>Perform 1:5 manual dilution of patient specimen using the dispensed diluent obtained from the instrument.</w:t>
                  </w:r>
                  <w:r w:rsidR="00393D83">
                    <w:rPr>
                      <w:i/>
                      <w:szCs w:val="24"/>
                    </w:rPr>
                    <w:t xml:space="preserve"> </w:t>
                  </w:r>
                  <w:r w:rsidR="00393D83" w:rsidRPr="00393D83">
                    <w:rPr>
                      <w:szCs w:val="24"/>
                    </w:rPr>
                    <w:t xml:space="preserve">New specimen container with diluted sample will be labeled with new Cerner </w:t>
                  </w:r>
                  <w:r w:rsidR="00393D83">
                    <w:rPr>
                      <w:szCs w:val="24"/>
                    </w:rPr>
                    <w:t>accession sticker marked with a</w:t>
                  </w:r>
                  <w:r w:rsidR="00393D83" w:rsidRPr="00393D83">
                    <w:rPr>
                      <w:b/>
                      <w:szCs w:val="24"/>
                    </w:rPr>
                    <w:t>‘X5’</w:t>
                  </w:r>
                  <w:r w:rsidR="00393D83" w:rsidRPr="00393D83">
                    <w:rPr>
                      <w:szCs w:val="24"/>
                    </w:rPr>
                    <w:t>on the sticker label to identify dilution of the sample.</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4</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 xml:space="preserve">Still on Single-Tube presentation, scan or type in the accession number of patient being </w:t>
                  </w:r>
                  <w:r w:rsidR="00393D83" w:rsidRPr="00693D62">
                    <w:rPr>
                      <w:szCs w:val="24"/>
                    </w:rPr>
                    <w:t>processed (</w:t>
                  </w:r>
                  <w:r w:rsidRPr="00693D62">
                    <w:rPr>
                      <w:szCs w:val="24"/>
                    </w:rPr>
                    <w:t xml:space="preserve">e.g. 215001123456B) and press </w:t>
                  </w:r>
                  <w:r w:rsidRPr="00693D62">
                    <w:rPr>
                      <w:b/>
                      <w:szCs w:val="24"/>
                    </w:rPr>
                    <w:t>ENTER</w:t>
                  </w:r>
                  <w:r w:rsidRPr="00693D62">
                    <w:rPr>
                      <w:szCs w:val="24"/>
                    </w:rPr>
                    <w:t xml:space="preserve">. </w:t>
                  </w:r>
                  <w:r w:rsidRPr="00693D62">
                    <w:rPr>
                      <w:i/>
                      <w:szCs w:val="24"/>
                    </w:rPr>
                    <w:t>Pressing the enter button will allow you to edit order for the patient</w:t>
                  </w:r>
                  <w:r w:rsidRPr="00693D62">
                    <w:rPr>
                      <w:szCs w:val="24"/>
                    </w:rPr>
                    <w:t xml:space="preserve">. Select </w:t>
                  </w:r>
                  <w:r w:rsidRPr="00693D62">
                    <w:rPr>
                      <w:b/>
                      <w:szCs w:val="24"/>
                    </w:rPr>
                    <w:t>OK</w:t>
                  </w:r>
                  <w:r w:rsidRPr="00693D62">
                    <w:rPr>
                      <w:szCs w:val="24"/>
                    </w:rPr>
                    <w:t xml:space="preserve"> to view/edit order.</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5</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 xml:space="preserve">A pop up screen for editing order will show up. Remove the CDR default order by selecting CDR on the right side Selected Panels* and hit Remove&lt;&lt;.  </w:t>
                  </w:r>
                </w:p>
                <w:p w:rsidR="00AF3741" w:rsidRPr="00693D62" w:rsidRDefault="00AF3741" w:rsidP="00A165B4">
                  <w:pPr>
                    <w:tabs>
                      <w:tab w:val="left" w:pos="-720"/>
                      <w:tab w:val="left" w:pos="0"/>
                    </w:tabs>
                    <w:suppressAutoHyphens/>
                    <w:rPr>
                      <w:szCs w:val="24"/>
                    </w:rPr>
                  </w:pPr>
                  <w:r w:rsidRPr="00693D62">
                    <w:rPr>
                      <w:szCs w:val="24"/>
                    </w:rPr>
                    <w:t xml:space="preserve">Under left side Available Panels*, select </w:t>
                  </w:r>
                  <w:r w:rsidRPr="00693D62">
                    <w:rPr>
                      <w:b/>
                      <w:szCs w:val="24"/>
                    </w:rPr>
                    <w:t>PREDIX5</w:t>
                  </w:r>
                  <w:r w:rsidRPr="00693D62">
                    <w:rPr>
                      <w:szCs w:val="24"/>
                    </w:rPr>
                    <w:t xml:space="preserve"> and Add&gt;&gt; order as a selected panel to be run. Hit </w:t>
                  </w:r>
                  <w:r w:rsidRPr="00693D62">
                    <w:rPr>
                      <w:b/>
                      <w:szCs w:val="24"/>
                    </w:rPr>
                    <w:t xml:space="preserve">Submit </w:t>
                  </w:r>
                  <w:r w:rsidRPr="00693D62">
                    <w:rPr>
                      <w:szCs w:val="24"/>
                    </w:rPr>
                    <w:t>to run 1:5 diluted patient sample.</w:t>
                  </w:r>
                </w:p>
              </w:tc>
            </w:tr>
            <w:tr w:rsidR="00AF3741" w:rsidRPr="00693D62" w:rsidTr="00A165B4">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6</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Instrument will instruct to load specimen to be run. Load 1:5 diluted sample on the left side of the Single-Tube presentation.</w:t>
                  </w:r>
                </w:p>
              </w:tc>
            </w:tr>
            <w:tr w:rsidR="00AF3741" w:rsidRPr="00693D62" w:rsidTr="00A165B4">
              <w:trPr>
                <w:trHeight w:val="710"/>
              </w:trPr>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t>7</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 xml:space="preserve">Results obtained from this run will all be calculated as X5 and will be ready to verify in Remisol. </w:t>
                  </w:r>
                </w:p>
              </w:tc>
            </w:tr>
          </w:tbl>
          <w:p w:rsidR="00393D83" w:rsidRDefault="00393D83"/>
          <w:p w:rsidR="00393D83" w:rsidRDefault="00393D83"/>
          <w:p w:rsidR="00393D83" w:rsidRDefault="00393D83"/>
          <w:p w:rsidR="00393D83" w:rsidRDefault="00393D83"/>
          <w:p w:rsidR="00393D83" w:rsidRDefault="00393D83"/>
          <w:p w:rsidR="00393D83" w:rsidRDefault="00393D83"/>
          <w:p w:rsidR="00393D83" w:rsidRDefault="00393D83"/>
          <w:p w:rsidR="00393D83" w:rsidRDefault="00393D83"/>
          <w:p w:rsidR="00393D83" w:rsidRDefault="00393D83"/>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570"/>
            </w:tblGrid>
            <w:tr w:rsidR="00AF3741" w:rsidRPr="00693D62" w:rsidTr="00A165B4">
              <w:trPr>
                <w:trHeight w:val="1745"/>
              </w:trPr>
              <w:tc>
                <w:tcPr>
                  <w:tcW w:w="1057" w:type="dxa"/>
                  <w:shd w:val="clear" w:color="auto" w:fill="auto"/>
                </w:tcPr>
                <w:p w:rsidR="00AF3741" w:rsidRPr="00693D62" w:rsidRDefault="00AF3741" w:rsidP="00A165B4">
                  <w:pPr>
                    <w:tabs>
                      <w:tab w:val="left" w:pos="-720"/>
                      <w:tab w:val="left" w:pos="0"/>
                    </w:tabs>
                    <w:suppressAutoHyphens/>
                    <w:jc w:val="center"/>
                    <w:rPr>
                      <w:szCs w:val="24"/>
                    </w:rPr>
                  </w:pPr>
                  <w:r w:rsidRPr="00693D62">
                    <w:rPr>
                      <w:szCs w:val="24"/>
                    </w:rPr>
                    <w:lastRenderedPageBreak/>
                    <w:t>8</w:t>
                  </w:r>
                </w:p>
              </w:tc>
              <w:tc>
                <w:tcPr>
                  <w:tcW w:w="6570" w:type="dxa"/>
                  <w:shd w:val="clear" w:color="auto" w:fill="auto"/>
                </w:tcPr>
                <w:p w:rsidR="00AF3741" w:rsidRPr="00693D62" w:rsidRDefault="00AF3741" w:rsidP="00A165B4">
                  <w:pPr>
                    <w:tabs>
                      <w:tab w:val="left" w:pos="-720"/>
                      <w:tab w:val="left" w:pos="0"/>
                    </w:tabs>
                    <w:suppressAutoHyphens/>
                    <w:rPr>
                      <w:szCs w:val="24"/>
                    </w:rPr>
                  </w:pPr>
                  <w:r w:rsidRPr="00693D62">
                    <w:rPr>
                      <w:szCs w:val="24"/>
                    </w:rPr>
                    <w:t xml:space="preserve">Under Remisol, double click on parameter(wbc/hgb) and type in under </w:t>
                  </w:r>
                  <w:r w:rsidRPr="00693D62">
                    <w:rPr>
                      <w:i/>
                      <w:szCs w:val="24"/>
                    </w:rPr>
                    <w:t>result comment</w:t>
                  </w:r>
                  <w:r w:rsidRPr="00693D62">
                    <w:rPr>
                      <w:szCs w:val="24"/>
                    </w:rPr>
                    <w:t xml:space="preserve"> the value obtained that is beyond linearity(e.g. WBC = 452). Add comment from drop down “Result verified by Dilution Analysis” and click on the Check icon to save.  </w:t>
                  </w:r>
                  <w:r w:rsidR="00393D83">
                    <w:rPr>
                      <w:szCs w:val="24"/>
                    </w:rPr>
                    <w:t>If differential count was ordered, report absolute differential count as “==” on each result field with a result comment of “</w:t>
                  </w:r>
                  <w:r w:rsidR="00393D83">
                    <w:rPr>
                      <w:i/>
                      <w:szCs w:val="24"/>
                    </w:rPr>
                    <w:t>U</w:t>
                  </w:r>
                  <w:r w:rsidR="00393D83" w:rsidRPr="00393D83">
                    <w:rPr>
                      <w:i/>
                      <w:szCs w:val="24"/>
                    </w:rPr>
                    <w:t>nable to calculate, WBC beyond reportable range</w:t>
                  </w:r>
                  <w:r w:rsidR="00393D83">
                    <w:rPr>
                      <w:szCs w:val="24"/>
                    </w:rPr>
                    <w:t xml:space="preserve">”. </w:t>
                  </w:r>
                  <w:r w:rsidRPr="00693D62">
                    <w:rPr>
                      <w:szCs w:val="24"/>
                    </w:rPr>
                    <w:t>Follow Critical Results protocol/documentation. Verify the pre-diluted CBC results.</w:t>
                  </w:r>
                </w:p>
              </w:tc>
            </w:tr>
          </w:tbl>
          <w:p w:rsidR="00AF3741" w:rsidRPr="00693D62" w:rsidRDefault="00AF3741" w:rsidP="00A165B4">
            <w:pPr>
              <w:tabs>
                <w:tab w:val="left" w:pos="-720"/>
                <w:tab w:val="left" w:pos="0"/>
              </w:tabs>
              <w:suppressAutoHyphens/>
              <w:rPr>
                <w:szCs w:val="24"/>
              </w:rPr>
            </w:pPr>
          </w:p>
        </w:tc>
      </w:tr>
    </w:tbl>
    <w:p w:rsidR="009074A9" w:rsidRPr="00693D62" w:rsidRDefault="009074A9">
      <w:pPr>
        <w:rPr>
          <w:szCs w:val="24"/>
        </w:rPr>
      </w:pPr>
    </w:p>
    <w:p w:rsidR="009074A9" w:rsidRPr="00693D62" w:rsidRDefault="009074A9">
      <w:pPr>
        <w:rPr>
          <w:szCs w:val="24"/>
        </w:rPr>
      </w:pPr>
    </w:p>
    <w:p w:rsidR="009074A9" w:rsidRPr="00693D62" w:rsidRDefault="009074A9">
      <w:pPr>
        <w:rPr>
          <w:szCs w:val="24"/>
        </w:rPr>
      </w:pPr>
    </w:p>
    <w:p w:rsidR="009074A9" w:rsidRPr="00693D62" w:rsidRDefault="009074A9">
      <w:pPr>
        <w:rPr>
          <w:szCs w:val="24"/>
        </w:rPr>
      </w:pPr>
    </w:p>
    <w:p w:rsidR="009074A9" w:rsidRPr="00693D62" w:rsidRDefault="009074A9">
      <w:pPr>
        <w:rPr>
          <w:szCs w:val="24"/>
        </w:rPr>
      </w:pPr>
    </w:p>
    <w:p w:rsidR="009074A9" w:rsidRPr="00693D62" w:rsidRDefault="009074A9">
      <w:pPr>
        <w:rPr>
          <w:szCs w:val="24"/>
        </w:rPr>
      </w:pPr>
    </w:p>
    <w:p w:rsidR="009074A9" w:rsidRPr="00693D62" w:rsidRDefault="009074A9">
      <w:pPr>
        <w:rPr>
          <w:szCs w:val="24"/>
        </w:rPr>
      </w:pPr>
    </w:p>
    <w:tbl>
      <w:tblPr>
        <w:tblW w:w="9738" w:type="dxa"/>
        <w:tblLayout w:type="fixed"/>
        <w:tblLook w:val="0000" w:firstRow="0" w:lastRow="0" w:firstColumn="0" w:lastColumn="0" w:noHBand="0" w:noVBand="0"/>
      </w:tblPr>
      <w:tblGrid>
        <w:gridCol w:w="1728"/>
        <w:gridCol w:w="8010"/>
      </w:tblGrid>
      <w:tr w:rsidR="007E257B" w:rsidRPr="00693D62" w:rsidTr="001372D7">
        <w:trPr>
          <w:cantSplit/>
        </w:trPr>
        <w:tc>
          <w:tcPr>
            <w:tcW w:w="1728" w:type="dxa"/>
          </w:tcPr>
          <w:p w:rsidR="009074A9" w:rsidRPr="00693D62" w:rsidRDefault="009074A9" w:rsidP="00AD55B2">
            <w:pPr>
              <w:rPr>
                <w:szCs w:val="24"/>
              </w:rPr>
            </w:pPr>
          </w:p>
          <w:p w:rsidR="005A4A2A" w:rsidRPr="00693D62" w:rsidRDefault="005A4A2A" w:rsidP="001372D7">
            <w:pPr>
              <w:pStyle w:val="Heading5"/>
              <w:rPr>
                <w:sz w:val="24"/>
                <w:szCs w:val="24"/>
              </w:rPr>
            </w:pPr>
          </w:p>
          <w:p w:rsidR="007E257B" w:rsidRPr="00693D62" w:rsidRDefault="00D729C9" w:rsidP="001372D7">
            <w:pPr>
              <w:pStyle w:val="Heading5"/>
              <w:rPr>
                <w:sz w:val="24"/>
                <w:szCs w:val="24"/>
              </w:rPr>
            </w:pPr>
            <w:r w:rsidRPr="00693D62">
              <w:rPr>
                <w:sz w:val="24"/>
                <w:szCs w:val="24"/>
              </w:rPr>
              <w:t>Reference</w:t>
            </w:r>
          </w:p>
        </w:tc>
        <w:tc>
          <w:tcPr>
            <w:tcW w:w="8010" w:type="dxa"/>
          </w:tcPr>
          <w:p w:rsidR="009074A9" w:rsidRPr="00693D62" w:rsidRDefault="009074A9">
            <w:pPr>
              <w:rPr>
                <w:szCs w:val="24"/>
              </w:rPr>
            </w:pPr>
          </w:p>
          <w:p w:rsidR="005A4A2A" w:rsidRPr="00693D62" w:rsidRDefault="005A4A2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7E257B" w:rsidRPr="00693D62" w:rsidTr="001372D7">
              <w:tc>
                <w:tcPr>
                  <w:tcW w:w="2407" w:type="dxa"/>
                  <w:shd w:val="clear" w:color="auto" w:fill="auto"/>
                </w:tcPr>
                <w:p w:rsidR="007E257B" w:rsidRPr="00693D62" w:rsidRDefault="007E257B" w:rsidP="007E257B">
                  <w:pPr>
                    <w:pStyle w:val="BlockText"/>
                    <w:rPr>
                      <w:b/>
                      <w:szCs w:val="24"/>
                    </w:rPr>
                  </w:pPr>
                  <w:r w:rsidRPr="00693D62">
                    <w:rPr>
                      <w:b/>
                      <w:szCs w:val="24"/>
                    </w:rPr>
                    <w:t>Document Number</w:t>
                  </w:r>
                </w:p>
              </w:tc>
              <w:tc>
                <w:tcPr>
                  <w:tcW w:w="5102" w:type="dxa"/>
                  <w:shd w:val="clear" w:color="auto" w:fill="auto"/>
                </w:tcPr>
                <w:p w:rsidR="007E257B" w:rsidRPr="00693D62" w:rsidRDefault="007E257B" w:rsidP="007E257B">
                  <w:pPr>
                    <w:pStyle w:val="BlockText"/>
                    <w:rPr>
                      <w:b/>
                      <w:szCs w:val="24"/>
                    </w:rPr>
                  </w:pPr>
                  <w:r w:rsidRPr="00693D62">
                    <w:rPr>
                      <w:b/>
                      <w:szCs w:val="24"/>
                    </w:rPr>
                    <w:t>Document Name</w:t>
                  </w:r>
                </w:p>
              </w:tc>
            </w:tr>
            <w:tr w:rsidR="007E257B" w:rsidRPr="00693D62" w:rsidTr="001372D7">
              <w:tc>
                <w:tcPr>
                  <w:tcW w:w="2407" w:type="dxa"/>
                  <w:shd w:val="clear" w:color="auto" w:fill="auto"/>
                </w:tcPr>
                <w:p w:rsidR="007E257B" w:rsidRPr="00693D62" w:rsidRDefault="00AB035B" w:rsidP="00AB035B">
                  <w:pPr>
                    <w:pStyle w:val="BlockText"/>
                    <w:rPr>
                      <w:szCs w:val="24"/>
                    </w:rPr>
                  </w:pPr>
                  <w:r w:rsidRPr="00693D62">
                    <w:rPr>
                      <w:szCs w:val="24"/>
                    </w:rPr>
                    <w:t>LAMC-PPP-0123</w:t>
                  </w:r>
                </w:p>
              </w:tc>
              <w:tc>
                <w:tcPr>
                  <w:tcW w:w="5102" w:type="dxa"/>
                  <w:shd w:val="clear" w:color="auto" w:fill="auto"/>
                </w:tcPr>
                <w:p w:rsidR="007E257B" w:rsidRPr="00693D62" w:rsidRDefault="007E257B" w:rsidP="007E257B">
                  <w:pPr>
                    <w:pStyle w:val="BlockText"/>
                    <w:jc w:val="left"/>
                    <w:rPr>
                      <w:szCs w:val="24"/>
                    </w:rPr>
                  </w:pPr>
                  <w:r w:rsidRPr="00693D62">
                    <w:rPr>
                      <w:szCs w:val="24"/>
                    </w:rPr>
                    <w:t>Safety Practices</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LAMC-PPP-0127</w:t>
                  </w:r>
                </w:p>
              </w:tc>
              <w:tc>
                <w:tcPr>
                  <w:tcW w:w="5102" w:type="dxa"/>
                  <w:shd w:val="clear" w:color="auto" w:fill="auto"/>
                </w:tcPr>
                <w:p w:rsidR="00AB035B" w:rsidRPr="00693D62" w:rsidRDefault="00AB035B" w:rsidP="00AB035B">
                  <w:pPr>
                    <w:pStyle w:val="BlockText"/>
                    <w:jc w:val="left"/>
                    <w:rPr>
                      <w:szCs w:val="24"/>
                    </w:rPr>
                  </w:pPr>
                  <w:r w:rsidRPr="00693D62">
                    <w:rPr>
                      <w:szCs w:val="24"/>
                    </w:rPr>
                    <w:t>Infection Control</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LAMC-PPP-0128</w:t>
                  </w:r>
                </w:p>
              </w:tc>
              <w:tc>
                <w:tcPr>
                  <w:tcW w:w="5102" w:type="dxa"/>
                  <w:shd w:val="clear" w:color="auto" w:fill="auto"/>
                </w:tcPr>
                <w:p w:rsidR="00AB035B" w:rsidRPr="00693D62" w:rsidRDefault="00AB035B" w:rsidP="00AB035B">
                  <w:pPr>
                    <w:pStyle w:val="BlockText"/>
                    <w:jc w:val="left"/>
                    <w:rPr>
                      <w:szCs w:val="24"/>
                    </w:rPr>
                  </w:pPr>
                  <w:r w:rsidRPr="00693D62">
                    <w:rPr>
                      <w:szCs w:val="24"/>
                    </w:rPr>
                    <w:t>Universal Body Substance Precaution</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LAMC-PPP-0129</w:t>
                  </w:r>
                </w:p>
              </w:tc>
              <w:tc>
                <w:tcPr>
                  <w:tcW w:w="5102" w:type="dxa"/>
                  <w:shd w:val="clear" w:color="auto" w:fill="auto"/>
                </w:tcPr>
                <w:p w:rsidR="00AB035B" w:rsidRPr="00693D62" w:rsidRDefault="00AB035B" w:rsidP="00AB035B">
                  <w:pPr>
                    <w:pStyle w:val="BlockText"/>
                    <w:jc w:val="left"/>
                    <w:rPr>
                      <w:szCs w:val="24"/>
                    </w:rPr>
                  </w:pPr>
                  <w:r w:rsidRPr="00693D62">
                    <w:rPr>
                      <w:szCs w:val="24"/>
                    </w:rPr>
                    <w:t>Handling of Regular and Infectious Waste</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LAMC-PPP-0130</w:t>
                  </w:r>
                </w:p>
              </w:tc>
              <w:tc>
                <w:tcPr>
                  <w:tcW w:w="5102" w:type="dxa"/>
                  <w:shd w:val="clear" w:color="auto" w:fill="auto"/>
                </w:tcPr>
                <w:p w:rsidR="00AB035B" w:rsidRPr="00693D62" w:rsidRDefault="00AB035B" w:rsidP="00AB035B">
                  <w:pPr>
                    <w:pStyle w:val="BlockText"/>
                    <w:jc w:val="left"/>
                    <w:rPr>
                      <w:szCs w:val="24"/>
                    </w:rPr>
                  </w:pPr>
                  <w:r w:rsidRPr="00693D62">
                    <w:rPr>
                      <w:szCs w:val="24"/>
                    </w:rPr>
                    <w:t>Cleaning Work Areas</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LAMC-PPP-0132</w:t>
                  </w:r>
                </w:p>
              </w:tc>
              <w:tc>
                <w:tcPr>
                  <w:tcW w:w="5102" w:type="dxa"/>
                  <w:shd w:val="clear" w:color="auto" w:fill="auto"/>
                </w:tcPr>
                <w:p w:rsidR="00AB035B" w:rsidRPr="00693D62" w:rsidRDefault="00AB035B" w:rsidP="00AB035B">
                  <w:pPr>
                    <w:pStyle w:val="BlockText"/>
                    <w:jc w:val="left"/>
                    <w:rPr>
                      <w:szCs w:val="24"/>
                    </w:rPr>
                  </w:pPr>
                  <w:r w:rsidRPr="00693D62">
                    <w:rPr>
                      <w:szCs w:val="24"/>
                    </w:rPr>
                    <w:t>Hand-washing Policy</w:t>
                  </w:r>
                </w:p>
              </w:tc>
            </w:tr>
            <w:tr w:rsidR="00AB035B" w:rsidRPr="00693D62" w:rsidTr="001372D7">
              <w:tc>
                <w:tcPr>
                  <w:tcW w:w="2407" w:type="dxa"/>
                  <w:shd w:val="clear" w:color="auto" w:fill="auto"/>
                </w:tcPr>
                <w:p w:rsidR="00AB035B" w:rsidRPr="00693D62" w:rsidRDefault="00AB035B" w:rsidP="00AB035B">
                  <w:pPr>
                    <w:jc w:val="center"/>
                    <w:rPr>
                      <w:szCs w:val="24"/>
                    </w:rPr>
                  </w:pPr>
                  <w:r w:rsidRPr="00693D62">
                    <w:rPr>
                      <w:szCs w:val="24"/>
                    </w:rPr>
                    <w:t>LAMC-PPP-0134</w:t>
                  </w:r>
                </w:p>
              </w:tc>
              <w:tc>
                <w:tcPr>
                  <w:tcW w:w="5102" w:type="dxa"/>
                  <w:shd w:val="clear" w:color="auto" w:fill="auto"/>
                </w:tcPr>
                <w:p w:rsidR="00AB035B" w:rsidRPr="00693D62" w:rsidRDefault="00AB035B" w:rsidP="00AB035B">
                  <w:pPr>
                    <w:pStyle w:val="BlockText"/>
                    <w:jc w:val="left"/>
                    <w:rPr>
                      <w:szCs w:val="24"/>
                    </w:rPr>
                  </w:pPr>
                  <w:r w:rsidRPr="00693D62">
                    <w:rPr>
                      <w:szCs w:val="24"/>
                    </w:rPr>
                    <w:t>Storage and Disposal of Chemical Hazardous Waste</w:t>
                  </w:r>
                </w:p>
              </w:tc>
            </w:tr>
            <w:tr w:rsidR="00AF3741" w:rsidRPr="00693D62" w:rsidTr="001372D7">
              <w:tc>
                <w:tcPr>
                  <w:tcW w:w="2407" w:type="dxa"/>
                  <w:shd w:val="clear" w:color="auto" w:fill="auto"/>
                </w:tcPr>
                <w:p w:rsidR="00AF3741" w:rsidRPr="00693D62" w:rsidRDefault="00DB41E2" w:rsidP="00AB035B">
                  <w:pPr>
                    <w:jc w:val="center"/>
                    <w:rPr>
                      <w:szCs w:val="24"/>
                    </w:rPr>
                  </w:pPr>
                  <w:r w:rsidRPr="00693D62">
                    <w:rPr>
                      <w:szCs w:val="24"/>
                    </w:rPr>
                    <w:t>LAMC-PPP-0026</w:t>
                  </w:r>
                </w:p>
              </w:tc>
              <w:tc>
                <w:tcPr>
                  <w:tcW w:w="5102" w:type="dxa"/>
                  <w:shd w:val="clear" w:color="auto" w:fill="auto"/>
                </w:tcPr>
                <w:p w:rsidR="00AF3741" w:rsidRPr="00693D62" w:rsidRDefault="00DB41E2" w:rsidP="00AB035B">
                  <w:pPr>
                    <w:pStyle w:val="BlockText"/>
                    <w:jc w:val="left"/>
                    <w:rPr>
                      <w:szCs w:val="24"/>
                    </w:rPr>
                  </w:pPr>
                  <w:r w:rsidRPr="00693D62">
                    <w:rPr>
                      <w:szCs w:val="24"/>
                    </w:rPr>
                    <w:t>Quality Control Program</w:t>
                  </w:r>
                </w:p>
              </w:tc>
            </w:tr>
            <w:tr w:rsidR="00AF3741" w:rsidRPr="00693D62" w:rsidTr="001372D7">
              <w:tc>
                <w:tcPr>
                  <w:tcW w:w="2407" w:type="dxa"/>
                  <w:shd w:val="clear" w:color="auto" w:fill="auto"/>
                </w:tcPr>
                <w:p w:rsidR="00AF3741" w:rsidRPr="00693D62" w:rsidRDefault="00DB41E2" w:rsidP="00AB035B">
                  <w:pPr>
                    <w:jc w:val="center"/>
                    <w:rPr>
                      <w:szCs w:val="24"/>
                    </w:rPr>
                  </w:pPr>
                  <w:r w:rsidRPr="00693D62">
                    <w:rPr>
                      <w:szCs w:val="24"/>
                    </w:rPr>
                    <w:t>LAMC-PPP-0277</w:t>
                  </w:r>
                </w:p>
              </w:tc>
              <w:tc>
                <w:tcPr>
                  <w:tcW w:w="5102" w:type="dxa"/>
                  <w:shd w:val="clear" w:color="auto" w:fill="auto"/>
                </w:tcPr>
                <w:p w:rsidR="00AF3741" w:rsidRPr="00693D62" w:rsidRDefault="00DB41E2" w:rsidP="00AB035B">
                  <w:pPr>
                    <w:pStyle w:val="BlockText"/>
                    <w:jc w:val="left"/>
                    <w:rPr>
                      <w:szCs w:val="24"/>
                    </w:rPr>
                  </w:pPr>
                  <w:r w:rsidRPr="00693D62">
                    <w:rPr>
                      <w:szCs w:val="24"/>
                    </w:rPr>
                    <w:t>Beckman Coulter DxH 800 System, Quality Control</w:t>
                  </w:r>
                </w:p>
              </w:tc>
            </w:tr>
          </w:tbl>
          <w:p w:rsidR="007E257B" w:rsidRPr="00693D62" w:rsidRDefault="007E257B" w:rsidP="001372D7">
            <w:pPr>
              <w:rPr>
                <w:szCs w:val="24"/>
              </w:rPr>
            </w:pPr>
          </w:p>
        </w:tc>
      </w:tr>
      <w:tr w:rsidR="00AF19E8" w:rsidRPr="00693D62" w:rsidTr="001372D7">
        <w:trPr>
          <w:cantSplit/>
        </w:trPr>
        <w:tc>
          <w:tcPr>
            <w:tcW w:w="1728" w:type="dxa"/>
          </w:tcPr>
          <w:p w:rsidR="00AF19E8" w:rsidRPr="00693D62" w:rsidRDefault="00AF19E8" w:rsidP="001372D7">
            <w:pPr>
              <w:pStyle w:val="Heading5"/>
              <w:rPr>
                <w:sz w:val="24"/>
                <w:szCs w:val="24"/>
              </w:rPr>
            </w:pPr>
          </w:p>
          <w:p w:rsidR="00AF19E8" w:rsidRPr="00693D62" w:rsidRDefault="00AF19E8" w:rsidP="00AF19E8">
            <w:pPr>
              <w:rPr>
                <w:szCs w:val="24"/>
              </w:rPr>
            </w:pPr>
          </w:p>
          <w:p w:rsidR="00AF19E8" w:rsidRPr="00693D62" w:rsidRDefault="00AF19E8" w:rsidP="00AF19E8">
            <w:pPr>
              <w:rPr>
                <w:szCs w:val="24"/>
              </w:rPr>
            </w:pPr>
          </w:p>
          <w:p w:rsidR="00AF19E8" w:rsidRPr="00693D62" w:rsidRDefault="00AF19E8" w:rsidP="00AF19E8">
            <w:pPr>
              <w:rPr>
                <w:szCs w:val="24"/>
              </w:rPr>
            </w:pPr>
          </w:p>
          <w:p w:rsidR="00AF19E8" w:rsidRPr="00693D62" w:rsidRDefault="00AF19E8" w:rsidP="00AF19E8">
            <w:pPr>
              <w:rPr>
                <w:szCs w:val="24"/>
              </w:rPr>
            </w:pPr>
          </w:p>
        </w:tc>
        <w:tc>
          <w:tcPr>
            <w:tcW w:w="8010" w:type="dxa"/>
          </w:tcPr>
          <w:p w:rsidR="00AF19E8" w:rsidRPr="00693D62" w:rsidRDefault="00AF19E8">
            <w:pPr>
              <w:rPr>
                <w:szCs w:val="24"/>
              </w:rPr>
            </w:pPr>
          </w:p>
        </w:tc>
      </w:tr>
    </w:tbl>
    <w:p w:rsidR="00AD55B2" w:rsidRPr="00693D62" w:rsidRDefault="00AD55B2">
      <w:pPr>
        <w:rPr>
          <w:szCs w:val="24"/>
        </w:rPr>
      </w:pPr>
    </w:p>
    <w:tbl>
      <w:tblPr>
        <w:tblW w:w="9738" w:type="dxa"/>
        <w:tblLayout w:type="fixed"/>
        <w:tblLook w:val="0000" w:firstRow="0" w:lastRow="0" w:firstColumn="0" w:lastColumn="0" w:noHBand="0" w:noVBand="0"/>
      </w:tblPr>
      <w:tblGrid>
        <w:gridCol w:w="1728"/>
        <w:gridCol w:w="8010"/>
      </w:tblGrid>
      <w:tr w:rsidR="00F06DB2" w:rsidRPr="00693D62" w:rsidTr="00A6171E">
        <w:trPr>
          <w:cantSplit/>
        </w:trPr>
        <w:tc>
          <w:tcPr>
            <w:tcW w:w="1728" w:type="dxa"/>
          </w:tcPr>
          <w:p w:rsidR="00F06DB2" w:rsidRPr="00693D62" w:rsidRDefault="00F06DB2" w:rsidP="00F06DB2">
            <w:pPr>
              <w:pStyle w:val="Heading5"/>
              <w:rPr>
                <w:sz w:val="24"/>
                <w:szCs w:val="24"/>
              </w:rPr>
            </w:pPr>
            <w:r w:rsidRPr="00693D62">
              <w:rPr>
                <w:sz w:val="24"/>
                <w:szCs w:val="24"/>
              </w:rPr>
              <w:t>Author</w:t>
            </w:r>
            <w:r w:rsidR="00D32C36" w:rsidRPr="00693D62">
              <w:rPr>
                <w:sz w:val="24"/>
                <w:szCs w:val="24"/>
              </w:rPr>
              <w:t>(s)</w:t>
            </w:r>
          </w:p>
        </w:tc>
        <w:tc>
          <w:tcPr>
            <w:tcW w:w="8010" w:type="dxa"/>
          </w:tcPr>
          <w:p w:rsidR="00D05042" w:rsidRPr="00693D62" w:rsidRDefault="00DB41E2" w:rsidP="00504E4B">
            <w:pPr>
              <w:rPr>
                <w:szCs w:val="24"/>
              </w:rPr>
            </w:pPr>
            <w:r w:rsidRPr="00693D62">
              <w:rPr>
                <w:szCs w:val="24"/>
              </w:rPr>
              <w:t>Alvin Castillo</w:t>
            </w:r>
          </w:p>
        </w:tc>
      </w:tr>
    </w:tbl>
    <w:p w:rsidR="004B28D4" w:rsidRPr="00693D62" w:rsidRDefault="004B28D4" w:rsidP="00504E4B">
      <w:pPr>
        <w:rPr>
          <w:szCs w:val="24"/>
        </w:rPr>
      </w:pPr>
    </w:p>
    <w:p w:rsidR="00AD55B2" w:rsidRPr="00693D62" w:rsidRDefault="00AD55B2" w:rsidP="00504E4B">
      <w:pPr>
        <w:rPr>
          <w:szCs w:val="24"/>
        </w:rPr>
      </w:pPr>
    </w:p>
    <w:sectPr w:rsidR="00AD55B2" w:rsidRPr="00693D62" w:rsidSect="00D4361C">
      <w:headerReference w:type="even" r:id="rId8"/>
      <w:headerReference w:type="default" r:id="rId9"/>
      <w:footerReference w:type="even" r:id="rId10"/>
      <w:footerReference w:type="default" r:id="rId11"/>
      <w:headerReference w:type="first" r:id="rId12"/>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29" w:rsidRDefault="009E6729">
      <w:r>
        <w:separator/>
      </w:r>
    </w:p>
  </w:endnote>
  <w:endnote w:type="continuationSeparator" w:id="0">
    <w:p w:rsidR="009E6729" w:rsidRDefault="009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874B44">
      <w:rPr>
        <w:i/>
        <w:noProof/>
        <w:snapToGrid w:val="0"/>
        <w:sz w:val="20"/>
      </w:rPr>
      <w:instrText>7</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874B44">
      <w:rPr>
        <w:i/>
        <w:noProof/>
        <w:snapToGrid w:val="0"/>
        <w:sz w:val="20"/>
      </w:rPr>
      <w:instrText>7</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874B44">
      <w:rPr>
        <w:rStyle w:val="PageNumber"/>
        <w:rFonts w:ascii="Arial" w:hAnsi="Arial" w:cs="Arial"/>
        <w:noProof/>
        <w:sz w:val="20"/>
      </w:rPr>
      <w:t>7</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874B44">
      <w:rPr>
        <w:rStyle w:val="PageNumber"/>
        <w:rFonts w:ascii="Arial" w:hAnsi="Arial" w:cs="Arial"/>
        <w:noProof/>
        <w:sz w:val="20"/>
      </w:rPr>
      <w:t>7</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29" w:rsidRDefault="009E6729">
      <w:r>
        <w:separator/>
      </w:r>
    </w:p>
  </w:footnote>
  <w:footnote w:type="continuationSeparator" w:id="0">
    <w:p w:rsidR="009E6729" w:rsidRDefault="009E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552AC" w:rsidRDefault="003552AC" w:rsidP="0025757B">
          <w:pPr>
            <w:pStyle w:val="Header"/>
            <w:tabs>
              <w:tab w:val="clear" w:pos="4320"/>
              <w:tab w:val="clear" w:pos="8640"/>
              <w:tab w:val="center" w:pos="4680"/>
              <w:tab w:val="right" w:pos="9360"/>
            </w:tabs>
            <w:jc w:val="right"/>
            <w:rPr>
              <w:rFonts w:ascii="Arial" w:hAnsi="Arial"/>
              <w:sz w:val="20"/>
            </w:rPr>
          </w:pPr>
          <w:r>
            <w:rPr>
              <w:sz w:val="20"/>
            </w:rPr>
            <w:t>SCPMG Laboratory System</w:t>
          </w:r>
          <w:r>
            <w:rPr>
              <w:rFonts w:ascii="Arial" w:hAnsi="Arial"/>
              <w:sz w:val="20"/>
            </w:rPr>
            <w:t xml:space="preserve"> </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C60413" w:rsidRPr="00B43944" w:rsidRDefault="00C60413" w:rsidP="00C60413">
    <w:pPr>
      <w:pStyle w:val="Heading4"/>
      <w:spacing w:after="0"/>
      <w:rPr>
        <w:rFonts w:ascii="Times New Roman" w:hAnsi="Times New Roman"/>
        <w:szCs w:val="32"/>
      </w:rPr>
    </w:pPr>
    <w:r w:rsidRPr="00B43944">
      <w:rPr>
        <w:rFonts w:ascii="Times New Roman" w:hAnsi="Times New Roman"/>
        <w:szCs w:val="32"/>
      </w:rPr>
      <w:t>Beckman Coulter Unicel® DxH 800 System</w:t>
    </w:r>
  </w:p>
  <w:p w:rsidR="00AD55B2" w:rsidRPr="00C60413" w:rsidRDefault="00C60413" w:rsidP="00C60413">
    <w:pPr>
      <w:pStyle w:val="Heading4"/>
      <w:spacing w:after="0"/>
      <w:rPr>
        <w:rFonts w:ascii="Times New Roman" w:hAnsi="Times New Roman"/>
      </w:rPr>
    </w:pPr>
    <w:r w:rsidRPr="00B43944">
      <w:rPr>
        <w:rFonts w:ascii="Times New Roman" w:hAnsi="Times New Roman"/>
      </w:rPr>
      <w:t>Running Patient Samples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CFC"/>
    <w:multiLevelType w:val="hybridMultilevel"/>
    <w:tmpl w:val="879E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1C25"/>
    <w:multiLevelType w:val="hybridMultilevel"/>
    <w:tmpl w:val="EA1CC2AC"/>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85760"/>
    <w:multiLevelType w:val="hybridMultilevel"/>
    <w:tmpl w:val="9A44A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B4D"/>
    <w:multiLevelType w:val="hybridMultilevel"/>
    <w:tmpl w:val="65921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6" w15:restartNumberingAfterBreak="0">
    <w:nsid w:val="0E3127DE"/>
    <w:multiLevelType w:val="hybridMultilevel"/>
    <w:tmpl w:val="62C0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8"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9" w15:restartNumberingAfterBreak="0">
    <w:nsid w:val="17886D2E"/>
    <w:multiLevelType w:val="hybridMultilevel"/>
    <w:tmpl w:val="8EDAB1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A0DD3"/>
    <w:multiLevelType w:val="hybridMultilevel"/>
    <w:tmpl w:val="02F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C542E"/>
    <w:multiLevelType w:val="hybridMultilevel"/>
    <w:tmpl w:val="44AA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256A0462"/>
    <w:multiLevelType w:val="hybridMultilevel"/>
    <w:tmpl w:val="C3BA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A76DA4"/>
    <w:multiLevelType w:val="hybridMultilevel"/>
    <w:tmpl w:val="4BF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67009"/>
    <w:multiLevelType w:val="hybridMultilevel"/>
    <w:tmpl w:val="CC4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73F9D"/>
    <w:multiLevelType w:val="hybridMultilevel"/>
    <w:tmpl w:val="D382BFFC"/>
    <w:lvl w:ilvl="0" w:tplc="ADB0C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C5CB9"/>
    <w:multiLevelType w:val="hybridMultilevel"/>
    <w:tmpl w:val="CA4E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65005"/>
    <w:multiLevelType w:val="hybridMultilevel"/>
    <w:tmpl w:val="5152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27B96"/>
    <w:multiLevelType w:val="hybridMultilevel"/>
    <w:tmpl w:val="EE1E8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3858"/>
    <w:multiLevelType w:val="hybridMultilevel"/>
    <w:tmpl w:val="0220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65428"/>
    <w:multiLevelType w:val="hybridMultilevel"/>
    <w:tmpl w:val="85FE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5EF765BA"/>
    <w:multiLevelType w:val="hybridMultilevel"/>
    <w:tmpl w:val="879E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8" w15:restartNumberingAfterBreak="0">
    <w:nsid w:val="62D71366"/>
    <w:multiLevelType w:val="hybridMultilevel"/>
    <w:tmpl w:val="B23656C0"/>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0"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012814"/>
    <w:multiLevelType w:val="hybridMultilevel"/>
    <w:tmpl w:val="64A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E3BA3"/>
    <w:multiLevelType w:val="hybridMultilevel"/>
    <w:tmpl w:val="5180F15A"/>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1A20E0"/>
    <w:multiLevelType w:val="hybridMultilevel"/>
    <w:tmpl w:val="F40C2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86952"/>
    <w:multiLevelType w:val="hybridMultilevel"/>
    <w:tmpl w:val="7452EC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4084E"/>
    <w:multiLevelType w:val="hybridMultilevel"/>
    <w:tmpl w:val="B718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25"/>
  </w:num>
  <w:num w:numId="4">
    <w:abstractNumId w:val="12"/>
  </w:num>
  <w:num w:numId="5">
    <w:abstractNumId w:val="8"/>
  </w:num>
  <w:num w:numId="6">
    <w:abstractNumId w:val="5"/>
  </w:num>
  <w:num w:numId="7">
    <w:abstractNumId w:val="34"/>
  </w:num>
  <w:num w:numId="8">
    <w:abstractNumId w:val="14"/>
  </w:num>
  <w:num w:numId="9">
    <w:abstractNumId w:val="16"/>
  </w:num>
  <w:num w:numId="10">
    <w:abstractNumId w:val="29"/>
  </w:num>
  <w:num w:numId="11">
    <w:abstractNumId w:val="30"/>
  </w:num>
  <w:num w:numId="12">
    <w:abstractNumId w:val="2"/>
  </w:num>
  <w:num w:numId="13">
    <w:abstractNumId w:val="42"/>
  </w:num>
  <w:num w:numId="14">
    <w:abstractNumId w:val="41"/>
  </w:num>
  <w:num w:numId="15">
    <w:abstractNumId w:val="32"/>
  </w:num>
  <w:num w:numId="16">
    <w:abstractNumId w:val="22"/>
  </w:num>
  <w:num w:numId="17">
    <w:abstractNumId w:val="36"/>
  </w:num>
  <w:num w:numId="18">
    <w:abstractNumId w:val="35"/>
  </w:num>
  <w:num w:numId="19">
    <w:abstractNumId w:val="40"/>
  </w:num>
  <w:num w:numId="20">
    <w:abstractNumId w:val="10"/>
  </w:num>
  <w:num w:numId="21">
    <w:abstractNumId w:val="11"/>
  </w:num>
  <w:num w:numId="22">
    <w:abstractNumId w:val="24"/>
  </w:num>
  <w:num w:numId="23">
    <w:abstractNumId w:val="18"/>
  </w:num>
  <w:num w:numId="24">
    <w:abstractNumId w:val="37"/>
  </w:num>
  <w:num w:numId="25">
    <w:abstractNumId w:val="33"/>
  </w:num>
  <w:num w:numId="26">
    <w:abstractNumId w:val="20"/>
  </w:num>
  <w:num w:numId="27">
    <w:abstractNumId w:val="15"/>
  </w:num>
  <w:num w:numId="28">
    <w:abstractNumId w:val="6"/>
  </w:num>
  <w:num w:numId="29">
    <w:abstractNumId w:val="23"/>
  </w:num>
  <w:num w:numId="30">
    <w:abstractNumId w:val="28"/>
  </w:num>
  <w:num w:numId="31">
    <w:abstractNumId w:val="1"/>
  </w:num>
  <w:num w:numId="32">
    <w:abstractNumId w:val="38"/>
  </w:num>
  <w:num w:numId="33">
    <w:abstractNumId w:val="21"/>
  </w:num>
  <w:num w:numId="34">
    <w:abstractNumId w:val="13"/>
  </w:num>
  <w:num w:numId="35">
    <w:abstractNumId w:val="17"/>
  </w:num>
  <w:num w:numId="36">
    <w:abstractNumId w:val="19"/>
  </w:num>
  <w:num w:numId="37">
    <w:abstractNumId w:val="43"/>
  </w:num>
  <w:num w:numId="38">
    <w:abstractNumId w:val="4"/>
  </w:num>
  <w:num w:numId="39">
    <w:abstractNumId w:val="3"/>
  </w:num>
  <w:num w:numId="40">
    <w:abstractNumId w:val="0"/>
  </w:num>
  <w:num w:numId="41">
    <w:abstractNumId w:val="39"/>
  </w:num>
  <w:num w:numId="42">
    <w:abstractNumId w:val="26"/>
  </w:num>
  <w:num w:numId="43">
    <w:abstractNumId w:val="9"/>
  </w:num>
  <w:num w:numId="4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47EF7"/>
    <w:rsid w:val="00052D82"/>
    <w:rsid w:val="0005528B"/>
    <w:rsid w:val="00056877"/>
    <w:rsid w:val="000728C4"/>
    <w:rsid w:val="0009129B"/>
    <w:rsid w:val="000953A5"/>
    <w:rsid w:val="000A20AA"/>
    <w:rsid w:val="000C3FDD"/>
    <w:rsid w:val="000C4B97"/>
    <w:rsid w:val="000D0F87"/>
    <w:rsid w:val="000E3F47"/>
    <w:rsid w:val="000F3098"/>
    <w:rsid w:val="00101B9E"/>
    <w:rsid w:val="00103AE5"/>
    <w:rsid w:val="00107263"/>
    <w:rsid w:val="0010773B"/>
    <w:rsid w:val="0010795C"/>
    <w:rsid w:val="00127935"/>
    <w:rsid w:val="00130C26"/>
    <w:rsid w:val="00130D9F"/>
    <w:rsid w:val="00132B4B"/>
    <w:rsid w:val="00133FA5"/>
    <w:rsid w:val="00134C53"/>
    <w:rsid w:val="00137FEF"/>
    <w:rsid w:val="001406A5"/>
    <w:rsid w:val="00144E3A"/>
    <w:rsid w:val="00163A1F"/>
    <w:rsid w:val="0018670E"/>
    <w:rsid w:val="00192DE5"/>
    <w:rsid w:val="001A14EE"/>
    <w:rsid w:val="001D616E"/>
    <w:rsid w:val="00207CFE"/>
    <w:rsid w:val="00211546"/>
    <w:rsid w:val="00222FE8"/>
    <w:rsid w:val="00232612"/>
    <w:rsid w:val="00232E81"/>
    <w:rsid w:val="002363E4"/>
    <w:rsid w:val="002556D8"/>
    <w:rsid w:val="0025757B"/>
    <w:rsid w:val="00263C22"/>
    <w:rsid w:val="0027013C"/>
    <w:rsid w:val="00270793"/>
    <w:rsid w:val="00273CCB"/>
    <w:rsid w:val="002A0EA3"/>
    <w:rsid w:val="002A79D0"/>
    <w:rsid w:val="002C0560"/>
    <w:rsid w:val="002C1AC8"/>
    <w:rsid w:val="002C3C99"/>
    <w:rsid w:val="002C46A4"/>
    <w:rsid w:val="002E0623"/>
    <w:rsid w:val="00302013"/>
    <w:rsid w:val="003114DA"/>
    <w:rsid w:val="003166A2"/>
    <w:rsid w:val="00334141"/>
    <w:rsid w:val="00334224"/>
    <w:rsid w:val="003342C3"/>
    <w:rsid w:val="003347F0"/>
    <w:rsid w:val="003454E3"/>
    <w:rsid w:val="00346DB9"/>
    <w:rsid w:val="003471B5"/>
    <w:rsid w:val="003552AC"/>
    <w:rsid w:val="00365A64"/>
    <w:rsid w:val="00373740"/>
    <w:rsid w:val="00377806"/>
    <w:rsid w:val="003805DB"/>
    <w:rsid w:val="003812BA"/>
    <w:rsid w:val="00384A92"/>
    <w:rsid w:val="00390C1A"/>
    <w:rsid w:val="00393D83"/>
    <w:rsid w:val="00397DEF"/>
    <w:rsid w:val="003A7308"/>
    <w:rsid w:val="003A7E16"/>
    <w:rsid w:val="003B1E42"/>
    <w:rsid w:val="003C508E"/>
    <w:rsid w:val="003C6786"/>
    <w:rsid w:val="003E40F0"/>
    <w:rsid w:val="003F0A0D"/>
    <w:rsid w:val="003F66C6"/>
    <w:rsid w:val="004160B3"/>
    <w:rsid w:val="00421D62"/>
    <w:rsid w:val="00433D1F"/>
    <w:rsid w:val="00440B6B"/>
    <w:rsid w:val="00452AA8"/>
    <w:rsid w:val="00454667"/>
    <w:rsid w:val="00471432"/>
    <w:rsid w:val="004802BC"/>
    <w:rsid w:val="00480580"/>
    <w:rsid w:val="00482A53"/>
    <w:rsid w:val="0048686C"/>
    <w:rsid w:val="004965AA"/>
    <w:rsid w:val="004B2090"/>
    <w:rsid w:val="004B28D4"/>
    <w:rsid w:val="004C1667"/>
    <w:rsid w:val="004C1AD2"/>
    <w:rsid w:val="004C1B71"/>
    <w:rsid w:val="005011D5"/>
    <w:rsid w:val="00504B96"/>
    <w:rsid w:val="00504E4B"/>
    <w:rsid w:val="0050518A"/>
    <w:rsid w:val="005133FE"/>
    <w:rsid w:val="00544E86"/>
    <w:rsid w:val="00580D9D"/>
    <w:rsid w:val="00595006"/>
    <w:rsid w:val="005A4A2A"/>
    <w:rsid w:val="005A6643"/>
    <w:rsid w:val="005A6674"/>
    <w:rsid w:val="005A6EE9"/>
    <w:rsid w:val="005B1E7F"/>
    <w:rsid w:val="005D5202"/>
    <w:rsid w:val="005F2ABD"/>
    <w:rsid w:val="005F3E96"/>
    <w:rsid w:val="00605DCB"/>
    <w:rsid w:val="0061079E"/>
    <w:rsid w:val="00611F3E"/>
    <w:rsid w:val="00620A2D"/>
    <w:rsid w:val="00631EB9"/>
    <w:rsid w:val="00633012"/>
    <w:rsid w:val="00637656"/>
    <w:rsid w:val="00677481"/>
    <w:rsid w:val="00693D62"/>
    <w:rsid w:val="00696ABF"/>
    <w:rsid w:val="006A107B"/>
    <w:rsid w:val="006A72CD"/>
    <w:rsid w:val="006C4C9A"/>
    <w:rsid w:val="006D60D0"/>
    <w:rsid w:val="006E67E1"/>
    <w:rsid w:val="00700D63"/>
    <w:rsid w:val="00705EC2"/>
    <w:rsid w:val="00706B6E"/>
    <w:rsid w:val="00707CAE"/>
    <w:rsid w:val="0075494B"/>
    <w:rsid w:val="00760854"/>
    <w:rsid w:val="00762690"/>
    <w:rsid w:val="00763747"/>
    <w:rsid w:val="007738D9"/>
    <w:rsid w:val="00774558"/>
    <w:rsid w:val="00781F79"/>
    <w:rsid w:val="00787027"/>
    <w:rsid w:val="00791322"/>
    <w:rsid w:val="00797B8C"/>
    <w:rsid w:val="007A0607"/>
    <w:rsid w:val="007A4A1C"/>
    <w:rsid w:val="007A5962"/>
    <w:rsid w:val="007B0208"/>
    <w:rsid w:val="007B069A"/>
    <w:rsid w:val="007B606D"/>
    <w:rsid w:val="007B608F"/>
    <w:rsid w:val="007B620E"/>
    <w:rsid w:val="007C1C2C"/>
    <w:rsid w:val="007C1D1E"/>
    <w:rsid w:val="007D3D83"/>
    <w:rsid w:val="007D5433"/>
    <w:rsid w:val="007E0843"/>
    <w:rsid w:val="007E257B"/>
    <w:rsid w:val="007E2A47"/>
    <w:rsid w:val="007E651E"/>
    <w:rsid w:val="00801686"/>
    <w:rsid w:val="00803536"/>
    <w:rsid w:val="00821E6D"/>
    <w:rsid w:val="0082621B"/>
    <w:rsid w:val="008415B6"/>
    <w:rsid w:val="008432AD"/>
    <w:rsid w:val="00845835"/>
    <w:rsid w:val="00873ADB"/>
    <w:rsid w:val="00874B44"/>
    <w:rsid w:val="0088237F"/>
    <w:rsid w:val="00883D0A"/>
    <w:rsid w:val="0088433C"/>
    <w:rsid w:val="00885E0C"/>
    <w:rsid w:val="0089105A"/>
    <w:rsid w:val="008B6D0D"/>
    <w:rsid w:val="008C29BB"/>
    <w:rsid w:val="008C45FE"/>
    <w:rsid w:val="008C5102"/>
    <w:rsid w:val="008D4E7A"/>
    <w:rsid w:val="009074A9"/>
    <w:rsid w:val="00925076"/>
    <w:rsid w:val="00926110"/>
    <w:rsid w:val="00936C1B"/>
    <w:rsid w:val="0094018B"/>
    <w:rsid w:val="009451A0"/>
    <w:rsid w:val="00947B7E"/>
    <w:rsid w:val="00960853"/>
    <w:rsid w:val="009647A8"/>
    <w:rsid w:val="00964A5C"/>
    <w:rsid w:val="00966189"/>
    <w:rsid w:val="009719C6"/>
    <w:rsid w:val="00971F62"/>
    <w:rsid w:val="00972031"/>
    <w:rsid w:val="0097329A"/>
    <w:rsid w:val="00976FCA"/>
    <w:rsid w:val="00977422"/>
    <w:rsid w:val="00983B6D"/>
    <w:rsid w:val="00997B2A"/>
    <w:rsid w:val="009A491F"/>
    <w:rsid w:val="009B088D"/>
    <w:rsid w:val="009C10D5"/>
    <w:rsid w:val="009C4605"/>
    <w:rsid w:val="009E0BB9"/>
    <w:rsid w:val="009E6162"/>
    <w:rsid w:val="009E6729"/>
    <w:rsid w:val="00A10B4E"/>
    <w:rsid w:val="00A10FA9"/>
    <w:rsid w:val="00A14DC0"/>
    <w:rsid w:val="00A14F18"/>
    <w:rsid w:val="00A2202A"/>
    <w:rsid w:val="00A241DE"/>
    <w:rsid w:val="00A3670D"/>
    <w:rsid w:val="00A4015E"/>
    <w:rsid w:val="00A4065F"/>
    <w:rsid w:val="00A5520B"/>
    <w:rsid w:val="00A60B08"/>
    <w:rsid w:val="00A6171E"/>
    <w:rsid w:val="00A6192E"/>
    <w:rsid w:val="00A66379"/>
    <w:rsid w:val="00A8143D"/>
    <w:rsid w:val="00A9634B"/>
    <w:rsid w:val="00AA2C0B"/>
    <w:rsid w:val="00AB035B"/>
    <w:rsid w:val="00AB4147"/>
    <w:rsid w:val="00AB4889"/>
    <w:rsid w:val="00AC1963"/>
    <w:rsid w:val="00AC231D"/>
    <w:rsid w:val="00AC7F63"/>
    <w:rsid w:val="00AD1CD4"/>
    <w:rsid w:val="00AD55B2"/>
    <w:rsid w:val="00AD6204"/>
    <w:rsid w:val="00AE303D"/>
    <w:rsid w:val="00AF10E7"/>
    <w:rsid w:val="00AF19E8"/>
    <w:rsid w:val="00AF3741"/>
    <w:rsid w:val="00B03F26"/>
    <w:rsid w:val="00B045E7"/>
    <w:rsid w:val="00B14A3D"/>
    <w:rsid w:val="00B1537F"/>
    <w:rsid w:val="00B16284"/>
    <w:rsid w:val="00B50BFF"/>
    <w:rsid w:val="00B559BC"/>
    <w:rsid w:val="00B57DAA"/>
    <w:rsid w:val="00B60062"/>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3311"/>
    <w:rsid w:val="00C33420"/>
    <w:rsid w:val="00C45269"/>
    <w:rsid w:val="00C60114"/>
    <w:rsid w:val="00C60413"/>
    <w:rsid w:val="00C604D8"/>
    <w:rsid w:val="00C60ECB"/>
    <w:rsid w:val="00C66F6C"/>
    <w:rsid w:val="00C75F4B"/>
    <w:rsid w:val="00C80C96"/>
    <w:rsid w:val="00C84E28"/>
    <w:rsid w:val="00C87487"/>
    <w:rsid w:val="00C95BA9"/>
    <w:rsid w:val="00CA0A63"/>
    <w:rsid w:val="00CA67B8"/>
    <w:rsid w:val="00CC02CC"/>
    <w:rsid w:val="00CC0ED8"/>
    <w:rsid w:val="00CC70BE"/>
    <w:rsid w:val="00CD6FE3"/>
    <w:rsid w:val="00CE1C69"/>
    <w:rsid w:val="00CE462F"/>
    <w:rsid w:val="00CE4A7F"/>
    <w:rsid w:val="00CE5554"/>
    <w:rsid w:val="00D01157"/>
    <w:rsid w:val="00D033EB"/>
    <w:rsid w:val="00D05042"/>
    <w:rsid w:val="00D0664E"/>
    <w:rsid w:val="00D20336"/>
    <w:rsid w:val="00D205F2"/>
    <w:rsid w:val="00D239DF"/>
    <w:rsid w:val="00D24697"/>
    <w:rsid w:val="00D26AE2"/>
    <w:rsid w:val="00D32C36"/>
    <w:rsid w:val="00D4361C"/>
    <w:rsid w:val="00D44AFA"/>
    <w:rsid w:val="00D531D1"/>
    <w:rsid w:val="00D6360E"/>
    <w:rsid w:val="00D64FEA"/>
    <w:rsid w:val="00D729C9"/>
    <w:rsid w:val="00D8329C"/>
    <w:rsid w:val="00D90CBE"/>
    <w:rsid w:val="00DA1F32"/>
    <w:rsid w:val="00DB41E2"/>
    <w:rsid w:val="00DC3744"/>
    <w:rsid w:val="00DC5BE1"/>
    <w:rsid w:val="00DD53EF"/>
    <w:rsid w:val="00DE223A"/>
    <w:rsid w:val="00DE398C"/>
    <w:rsid w:val="00E301AE"/>
    <w:rsid w:val="00E330CC"/>
    <w:rsid w:val="00E42FE4"/>
    <w:rsid w:val="00E50BBB"/>
    <w:rsid w:val="00E51458"/>
    <w:rsid w:val="00E5453D"/>
    <w:rsid w:val="00E61CD5"/>
    <w:rsid w:val="00E733D6"/>
    <w:rsid w:val="00E75365"/>
    <w:rsid w:val="00E838C5"/>
    <w:rsid w:val="00E965F0"/>
    <w:rsid w:val="00EA37FD"/>
    <w:rsid w:val="00EB027B"/>
    <w:rsid w:val="00EB50D8"/>
    <w:rsid w:val="00EB6FA0"/>
    <w:rsid w:val="00EC0EFC"/>
    <w:rsid w:val="00EC7C99"/>
    <w:rsid w:val="00EE0F07"/>
    <w:rsid w:val="00EE396F"/>
    <w:rsid w:val="00EE3CFA"/>
    <w:rsid w:val="00EE6D86"/>
    <w:rsid w:val="00EF2A00"/>
    <w:rsid w:val="00EF4AA0"/>
    <w:rsid w:val="00F06DB2"/>
    <w:rsid w:val="00F342AB"/>
    <w:rsid w:val="00F36A3F"/>
    <w:rsid w:val="00F47F67"/>
    <w:rsid w:val="00F56C49"/>
    <w:rsid w:val="00F56EFF"/>
    <w:rsid w:val="00F73178"/>
    <w:rsid w:val="00F80BE8"/>
    <w:rsid w:val="00F81614"/>
    <w:rsid w:val="00F90DC7"/>
    <w:rsid w:val="00F91A4D"/>
    <w:rsid w:val="00F94602"/>
    <w:rsid w:val="00FA472E"/>
    <w:rsid w:val="00FB016C"/>
    <w:rsid w:val="00FB1920"/>
    <w:rsid w:val="00FB1C41"/>
    <w:rsid w:val="00FB6F06"/>
    <w:rsid w:val="00FC1C5D"/>
    <w:rsid w:val="00FC47C8"/>
    <w:rsid w:val="00FE2E18"/>
    <w:rsid w:val="00FF0823"/>
    <w:rsid w:val="00FF5375"/>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paragraph" w:styleId="BalloonText">
    <w:name w:val="Balloon Text"/>
    <w:basedOn w:val="Normal"/>
    <w:link w:val="BalloonTextChar"/>
    <w:rsid w:val="00132B4B"/>
    <w:rPr>
      <w:rFonts w:ascii="Segoe UI" w:hAnsi="Segoe UI" w:cs="Segoe UI"/>
      <w:sz w:val="18"/>
      <w:szCs w:val="18"/>
    </w:rPr>
  </w:style>
  <w:style w:type="character" w:customStyle="1" w:styleId="BalloonTextChar">
    <w:name w:val="Balloon Text Char"/>
    <w:basedOn w:val="DefaultParagraphFont"/>
    <w:link w:val="BalloonText"/>
    <w:rsid w:val="00132B4B"/>
    <w:rPr>
      <w:rFonts w:ascii="Segoe UI" w:hAnsi="Segoe UI" w:cs="Segoe UI"/>
      <w:sz w:val="18"/>
      <w:szCs w:val="18"/>
    </w:rPr>
  </w:style>
  <w:style w:type="character" w:customStyle="1" w:styleId="Heading5Char">
    <w:name w:val="Heading 5 Char"/>
    <w:aliases w:val="Block Label Char"/>
    <w:link w:val="Heading5"/>
    <w:locked/>
    <w:rsid w:val="004B28D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A19B4"/>
    <w:rsid w:val="001113CE"/>
    <w:rsid w:val="00194D20"/>
    <w:rsid w:val="002C3A63"/>
    <w:rsid w:val="00302917"/>
    <w:rsid w:val="00311BF6"/>
    <w:rsid w:val="003677AC"/>
    <w:rsid w:val="003D1D3D"/>
    <w:rsid w:val="00441A49"/>
    <w:rsid w:val="00503C9E"/>
    <w:rsid w:val="005A495C"/>
    <w:rsid w:val="0067123A"/>
    <w:rsid w:val="00674274"/>
    <w:rsid w:val="00856328"/>
    <w:rsid w:val="008F2A2C"/>
    <w:rsid w:val="00942920"/>
    <w:rsid w:val="009E2D04"/>
    <w:rsid w:val="00A4304E"/>
    <w:rsid w:val="00A8409A"/>
    <w:rsid w:val="00BA5A27"/>
    <w:rsid w:val="00CD2384"/>
    <w:rsid w:val="00D45A23"/>
    <w:rsid w:val="00EC20C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33F1B9F2-6ABF-4548-9289-78F556D4401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INFOMAP</Template>
  <TotalTime>0</TotalTime>
  <Pages>7</Pages>
  <Words>1611</Words>
  <Characters>8801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2</cp:revision>
  <cp:lastPrinted>2017-04-07T19:48:00Z</cp:lastPrinted>
  <dcterms:created xsi:type="dcterms:W3CDTF">2017-08-02T17:29:00Z</dcterms:created>
  <dcterms:modified xsi:type="dcterms:W3CDTF">2017-08-02T17:29:00Z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04</vt:lpwstr>
  </property>
  <property fmtid="{D5CDD505-2E9C-101B-9397-08002B2CF9AE}" pid="5" name="MC_ExpirationDate">
    <vt:lpwstr/>
  </property>
  <property fmtid="{D5CDD505-2E9C-101B-9397-08002B2CF9AE}" pid="6" name="MC_CreatedDate">
    <vt:lpwstr>18 Jul 2017</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
  </property>
  <property fmtid="{D5CDD505-2E9C-101B-9397-08002B2CF9AE}" pid="10" name="MC_Title">
    <vt:lpwstr>Beckman Coulter Unicel DxH 800 System Running Patient Samples</vt:lpwstr>
  </property>
  <property fmtid="{D5CDD505-2E9C-101B-9397-08002B2CF9AE}" pid="11" name="MC_Notes">
    <vt:lpwstr/>
  </property>
  <property fmtid="{D5CDD505-2E9C-101B-9397-08002B2CF9AE}" pid="12" name="MC_Number">
    <vt:lpwstr>LAMC-PPP-0280</vt:lpwstr>
  </property>
  <property fmtid="{D5CDD505-2E9C-101B-9397-08002B2CF9AE}" pid="13" name="MC_Author">
    <vt:lpwstr/>
  </property>
  <property fmtid="{D5CDD505-2E9C-101B-9397-08002B2CF9AE}" pid="14" name="MC_Vault">
    <vt:lpwstr>LAMC-dft</vt:lpwstr>
  </property>
  <property fmtid="{D5CDD505-2E9C-101B-9397-08002B2CF9AE}" pid="15" name="MC_CF_Med Center Heme Bench (Old)">
    <vt:lpwstr>HE Manual</vt:lpwstr>
  </property>
  <property fmtid="{D5CDD505-2E9C-101B-9397-08002B2CF9AE}" pid="16" name="MC_CF_Med Center Heme Bench">
    <vt:lpwstr>HE DxH/SMS</vt:lpwstr>
  </property>
</Properties>
</file>