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BC" w:rsidRDefault="00CE0DBC"/>
    <w:tbl>
      <w:tblPr>
        <w:tblW w:w="9828" w:type="dxa"/>
        <w:tblLayout w:type="fixed"/>
        <w:tblLook w:val="0000" w:firstRow="0" w:lastRow="0" w:firstColumn="0" w:lastColumn="0" w:noHBand="0" w:noVBand="0"/>
      </w:tblPr>
      <w:tblGrid>
        <w:gridCol w:w="1548"/>
        <w:gridCol w:w="8280"/>
      </w:tblGrid>
      <w:tr w:rsidR="00776D07" w:rsidRPr="00CE0DBC" w:rsidTr="008E6C15">
        <w:trPr>
          <w:trHeight w:val="450"/>
        </w:trPr>
        <w:tc>
          <w:tcPr>
            <w:tcW w:w="1548" w:type="dxa"/>
          </w:tcPr>
          <w:p w:rsidR="00776D07" w:rsidRPr="00CE0DBC" w:rsidRDefault="00776D07" w:rsidP="005132AE">
            <w:pPr>
              <w:rPr>
                <w:rFonts w:ascii="Arial" w:hAnsi="Arial" w:cs="Arial"/>
                <w:b/>
                <w:sz w:val="22"/>
                <w:szCs w:val="22"/>
              </w:rPr>
            </w:pPr>
            <w:r w:rsidRPr="00CE0DBC">
              <w:rPr>
                <w:rFonts w:ascii="Arial" w:hAnsi="Arial" w:cs="Arial"/>
                <w:b/>
                <w:bCs/>
                <w:sz w:val="22"/>
                <w:szCs w:val="22"/>
              </w:rPr>
              <w:t>Purpose</w:t>
            </w:r>
          </w:p>
        </w:tc>
        <w:tc>
          <w:tcPr>
            <w:tcW w:w="8280" w:type="dxa"/>
          </w:tcPr>
          <w:p w:rsidR="00776D07" w:rsidRPr="00CE0DBC" w:rsidRDefault="008E6C15" w:rsidP="009750CC">
            <w:pPr>
              <w:autoSpaceDE w:val="0"/>
              <w:autoSpaceDN w:val="0"/>
              <w:adjustRightInd w:val="0"/>
              <w:rPr>
                <w:rFonts w:ascii="Arial" w:hAnsi="Arial" w:cs="Arial"/>
                <w:sz w:val="22"/>
                <w:szCs w:val="22"/>
              </w:rPr>
            </w:pPr>
            <w:r w:rsidRPr="00CE0DBC">
              <w:rPr>
                <w:rFonts w:ascii="Arial" w:hAnsi="Arial" w:cs="Arial"/>
                <w:sz w:val="22"/>
                <w:szCs w:val="22"/>
              </w:rPr>
              <w:t xml:space="preserve">The purpose is to give instructions in replacing Beckman </w:t>
            </w:r>
            <w:proofErr w:type="spellStart"/>
            <w:r w:rsidRPr="00CE0DBC">
              <w:rPr>
                <w:rFonts w:ascii="Arial" w:hAnsi="Arial" w:cs="Arial"/>
                <w:sz w:val="22"/>
                <w:szCs w:val="22"/>
              </w:rPr>
              <w:t>Unicel</w:t>
            </w:r>
            <w:proofErr w:type="spellEnd"/>
            <w:r w:rsidRPr="00CE0DBC">
              <w:rPr>
                <w:rFonts w:ascii="Arial" w:hAnsi="Arial" w:cs="Arial"/>
                <w:sz w:val="22"/>
                <w:szCs w:val="22"/>
              </w:rPr>
              <w:t xml:space="preserve">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 Coulter Reagents.</w:t>
            </w:r>
          </w:p>
        </w:tc>
      </w:tr>
    </w:tbl>
    <w:p w:rsidR="009451A0" w:rsidRPr="00CE0DBC" w:rsidRDefault="009451A0" w:rsidP="009451A0">
      <w:pPr>
        <w:pStyle w:val="BlockLine"/>
        <w:rPr>
          <w:rFonts w:ascii="Arial" w:hAnsi="Arial" w:cs="Arial"/>
          <w:sz w:val="22"/>
          <w:szCs w:val="22"/>
        </w:rPr>
      </w:pPr>
    </w:p>
    <w:tbl>
      <w:tblPr>
        <w:tblW w:w="9828" w:type="dxa"/>
        <w:tblLayout w:type="fixed"/>
        <w:tblLook w:val="0000" w:firstRow="0" w:lastRow="0" w:firstColumn="0" w:lastColumn="0" w:noHBand="0" w:noVBand="0"/>
      </w:tblPr>
      <w:tblGrid>
        <w:gridCol w:w="1548"/>
        <w:gridCol w:w="8280"/>
      </w:tblGrid>
      <w:tr w:rsidR="008E6C15" w:rsidRPr="00CE0DBC" w:rsidTr="00872194">
        <w:trPr>
          <w:trHeight w:val="450"/>
        </w:trPr>
        <w:tc>
          <w:tcPr>
            <w:tcW w:w="1548" w:type="dxa"/>
          </w:tcPr>
          <w:p w:rsidR="008E6C15" w:rsidRPr="00CE0DBC" w:rsidRDefault="008E6C15" w:rsidP="00872194">
            <w:pPr>
              <w:rPr>
                <w:rFonts w:ascii="Arial" w:hAnsi="Arial" w:cs="Arial"/>
                <w:b/>
                <w:sz w:val="22"/>
                <w:szCs w:val="22"/>
              </w:rPr>
            </w:pPr>
            <w:r w:rsidRPr="00CE0DBC">
              <w:rPr>
                <w:rFonts w:ascii="Arial" w:hAnsi="Arial" w:cs="Arial"/>
                <w:b/>
                <w:bCs/>
                <w:sz w:val="22"/>
                <w:szCs w:val="22"/>
              </w:rPr>
              <w:t>Policy</w:t>
            </w:r>
          </w:p>
        </w:tc>
        <w:tc>
          <w:tcPr>
            <w:tcW w:w="8280" w:type="dxa"/>
          </w:tcPr>
          <w:p w:rsidR="008E6C15" w:rsidRPr="00CE0DBC" w:rsidRDefault="008E6C15" w:rsidP="00872194">
            <w:pPr>
              <w:autoSpaceDE w:val="0"/>
              <w:autoSpaceDN w:val="0"/>
              <w:adjustRightInd w:val="0"/>
              <w:rPr>
                <w:rFonts w:ascii="Arial" w:hAnsi="Arial" w:cs="Arial"/>
                <w:sz w:val="22"/>
                <w:szCs w:val="22"/>
              </w:rPr>
            </w:pPr>
            <w:r w:rsidRPr="00CE0DBC">
              <w:rPr>
                <w:rFonts w:ascii="Arial" w:hAnsi="Arial" w:cs="Arial"/>
                <w:sz w:val="22"/>
                <w:szCs w:val="22"/>
              </w:rPr>
              <w:t xml:space="preserve">Sufficient reagents must be on hand at all times.  Reagents volume </w:t>
            </w:r>
            <w:r w:rsidR="00E0124D" w:rsidRPr="00CE0DBC">
              <w:rPr>
                <w:rFonts w:ascii="Arial" w:hAnsi="Arial" w:cs="Arial"/>
                <w:sz w:val="22"/>
                <w:szCs w:val="22"/>
              </w:rPr>
              <w:t>in the</w:t>
            </w:r>
            <w:r w:rsidRPr="00CE0DBC">
              <w:rPr>
                <w:rFonts w:ascii="Arial" w:hAnsi="Arial" w:cs="Arial"/>
                <w:sz w:val="22"/>
                <w:szCs w:val="22"/>
              </w:rPr>
              <w:t xml:space="preserve"> analyzer must be adequate for testing patient samples and must not exceed the expiration date.</w:t>
            </w:r>
          </w:p>
        </w:tc>
      </w:tr>
    </w:tbl>
    <w:p w:rsidR="008E6C15" w:rsidRPr="00CE0DBC" w:rsidRDefault="008E6C15" w:rsidP="008E6C15">
      <w:pPr>
        <w:rPr>
          <w:rFonts w:ascii="Arial" w:hAnsi="Arial" w:cs="Arial"/>
          <w:sz w:val="22"/>
          <w:szCs w:val="22"/>
        </w:rPr>
      </w:pPr>
    </w:p>
    <w:p w:rsidR="008E6C15" w:rsidRPr="00CE0DBC" w:rsidRDefault="008E6C15" w:rsidP="008E6C15">
      <w:pPr>
        <w:rPr>
          <w:rFonts w:ascii="Arial" w:hAnsi="Arial" w:cs="Arial"/>
          <w:sz w:val="22"/>
          <w:szCs w:val="22"/>
        </w:rPr>
      </w:pPr>
    </w:p>
    <w:p w:rsidR="008E6C15" w:rsidRPr="00CE0DBC" w:rsidRDefault="008E6C15" w:rsidP="008E6C15">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9451A0" w:rsidRPr="00CE0DBC" w:rsidTr="00CE0DBC">
        <w:trPr>
          <w:cantSplit/>
        </w:trPr>
        <w:tc>
          <w:tcPr>
            <w:tcW w:w="1728" w:type="dxa"/>
          </w:tcPr>
          <w:p w:rsidR="009451A0" w:rsidRPr="00CE0DBC" w:rsidRDefault="00086A2C" w:rsidP="00803536">
            <w:pPr>
              <w:pStyle w:val="Heading5"/>
              <w:rPr>
                <w:rFonts w:ascii="Arial" w:hAnsi="Arial" w:cs="Arial"/>
                <w:szCs w:val="22"/>
              </w:rPr>
            </w:pPr>
            <w:r w:rsidRPr="00CE0DBC">
              <w:rPr>
                <w:rFonts w:ascii="Arial" w:hAnsi="Arial" w:cs="Arial"/>
                <w:szCs w:val="22"/>
              </w:rPr>
              <w:t>Workplace Safety</w:t>
            </w:r>
          </w:p>
        </w:tc>
        <w:tc>
          <w:tcPr>
            <w:tcW w:w="8010" w:type="dxa"/>
          </w:tcPr>
          <w:p w:rsidR="00086A2C" w:rsidRPr="00CE0DBC" w:rsidRDefault="00086A2C" w:rsidP="00086A2C">
            <w:pPr>
              <w:pStyle w:val="BlockText"/>
              <w:tabs>
                <w:tab w:val="left" w:pos="162"/>
              </w:tabs>
              <w:jc w:val="both"/>
              <w:rPr>
                <w:rFonts w:ascii="Arial" w:hAnsi="Arial" w:cs="Arial"/>
                <w:sz w:val="22"/>
                <w:szCs w:val="22"/>
              </w:rPr>
            </w:pPr>
            <w:r w:rsidRPr="00CE0DBC">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standard precautions and safety practices in the laboratory;  see </w:t>
            </w:r>
            <w:r w:rsidRPr="00CE0DBC">
              <w:rPr>
                <w:rFonts w:ascii="Arial" w:hAnsi="Arial" w:cs="Arial"/>
                <w:b/>
                <w:sz w:val="22"/>
                <w:szCs w:val="22"/>
              </w:rPr>
              <w:t>Safety Practices</w:t>
            </w:r>
            <w:r w:rsidRPr="00CE0DBC">
              <w:rPr>
                <w:rFonts w:ascii="Arial" w:hAnsi="Arial" w:cs="Arial"/>
                <w:sz w:val="22"/>
                <w:szCs w:val="22"/>
              </w:rPr>
              <w:t>, specifically, but not limited to, equipment safety, proper body mechanics, sharps exposure and proper use of personal protective equipment (PPE).</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Universal Body Substance precautions, see </w:t>
            </w:r>
            <w:r w:rsidRPr="00CE0DBC">
              <w:rPr>
                <w:rFonts w:ascii="Arial" w:hAnsi="Arial" w:cs="Arial"/>
                <w:b/>
                <w:sz w:val="22"/>
                <w:szCs w:val="22"/>
              </w:rPr>
              <w:t>Universal Body Substance Precautions</w:t>
            </w:r>
            <w:r w:rsidRPr="00CE0DBC">
              <w:rPr>
                <w:rFonts w:ascii="Arial" w:hAnsi="Arial" w:cs="Arial"/>
                <w:sz w:val="22"/>
                <w:szCs w:val="22"/>
              </w:rPr>
              <w:t>, specifically, but not limited to, exposure to body fluids.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hand-washing, see </w:t>
            </w:r>
            <w:r w:rsidRPr="00CE0DBC">
              <w:rPr>
                <w:rFonts w:ascii="Arial" w:hAnsi="Arial" w:cs="Arial"/>
                <w:b/>
                <w:sz w:val="22"/>
                <w:szCs w:val="22"/>
              </w:rPr>
              <w:t>Hand washing Policy</w:t>
            </w:r>
            <w:r w:rsidRPr="00CE0DBC">
              <w:rPr>
                <w:rFonts w:ascii="Arial" w:hAnsi="Arial" w:cs="Arial"/>
                <w:sz w:val="22"/>
                <w:szCs w:val="22"/>
              </w:rPr>
              <w:t>, specifically, not limited to, proper hand-washing.</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infection control, see </w:t>
            </w:r>
            <w:r w:rsidRPr="00CE0DBC">
              <w:rPr>
                <w:rFonts w:ascii="Arial" w:hAnsi="Arial" w:cs="Arial"/>
                <w:b/>
                <w:sz w:val="22"/>
                <w:szCs w:val="22"/>
              </w:rPr>
              <w:t>Infection Control</w:t>
            </w:r>
            <w:r w:rsidRPr="00CE0DBC">
              <w:rPr>
                <w:rFonts w:ascii="Arial" w:hAnsi="Arial" w:cs="Arial"/>
                <w:sz w:val="22"/>
                <w:szCs w:val="22"/>
              </w:rPr>
              <w:t>, specifically, but not limited to, proper use of gloves.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handling of regular and infectious waste, see </w:t>
            </w:r>
            <w:r w:rsidRPr="00CE0DBC">
              <w:rPr>
                <w:rFonts w:ascii="Arial" w:hAnsi="Arial" w:cs="Arial"/>
                <w:b/>
                <w:sz w:val="22"/>
                <w:szCs w:val="22"/>
              </w:rPr>
              <w:t>Handling of Regular and Infectious Waste</w:t>
            </w:r>
            <w:r w:rsidRPr="00CE0DBC">
              <w:rPr>
                <w:rFonts w:ascii="Arial" w:hAnsi="Arial" w:cs="Arial"/>
                <w:sz w:val="22"/>
                <w:szCs w:val="22"/>
              </w:rPr>
              <w:t xml:space="preserve">, specifically, but not limited to, proper disposal of regular and </w:t>
            </w:r>
            <w:proofErr w:type="spellStart"/>
            <w:r w:rsidRPr="00CE0DBC">
              <w:rPr>
                <w:rFonts w:ascii="Arial" w:hAnsi="Arial" w:cs="Arial"/>
                <w:sz w:val="22"/>
                <w:szCs w:val="22"/>
              </w:rPr>
              <w:t>biohazardous</w:t>
            </w:r>
            <w:proofErr w:type="spellEnd"/>
            <w:r w:rsidRPr="00CE0DBC">
              <w:rPr>
                <w:rFonts w:ascii="Arial" w:hAnsi="Arial" w:cs="Arial"/>
                <w:sz w:val="22"/>
                <w:szCs w:val="22"/>
              </w:rPr>
              <w:t xml:space="preserve"> waste.</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cleaning of work area, see </w:t>
            </w:r>
            <w:r w:rsidRPr="00CE0DBC">
              <w:rPr>
                <w:rFonts w:ascii="Arial" w:hAnsi="Arial" w:cs="Arial"/>
                <w:b/>
                <w:sz w:val="22"/>
                <w:szCs w:val="22"/>
              </w:rPr>
              <w:t>Cleaning Work Areas</w:t>
            </w:r>
            <w:r w:rsidRPr="00CE0DBC">
              <w:rPr>
                <w:rFonts w:ascii="Arial" w:hAnsi="Arial" w:cs="Arial"/>
                <w:sz w:val="22"/>
                <w:szCs w:val="22"/>
              </w:rPr>
              <w:t>.</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For proper handling of chemicals and reagents, see the Chemical Hygiene Plan.</w:t>
            </w:r>
          </w:p>
          <w:p w:rsidR="009451A0" w:rsidRPr="00CE0DBC" w:rsidRDefault="00086A2C" w:rsidP="00086A2C">
            <w:pPr>
              <w:rPr>
                <w:rFonts w:ascii="Arial" w:hAnsi="Arial" w:cs="Arial"/>
                <w:sz w:val="22"/>
                <w:szCs w:val="22"/>
              </w:rPr>
            </w:pPr>
            <w:r w:rsidRPr="00CE0DBC">
              <w:rPr>
                <w:rFonts w:ascii="Arial" w:hAnsi="Arial" w:cs="Arial"/>
                <w:sz w:val="22"/>
                <w:szCs w:val="22"/>
              </w:rPr>
              <w:t xml:space="preserve">For proper storage and disposal of chemical hazardous waste, see </w:t>
            </w:r>
            <w:r w:rsidRPr="00CE0DBC">
              <w:rPr>
                <w:rFonts w:ascii="Arial" w:hAnsi="Arial" w:cs="Arial"/>
                <w:b/>
                <w:sz w:val="22"/>
                <w:szCs w:val="22"/>
              </w:rPr>
              <w:t>Storage &amp; Disposal of Chemical Hazardous Waste</w:t>
            </w:r>
            <w:r w:rsidRPr="00CE0DBC">
              <w:rPr>
                <w:rFonts w:ascii="Arial" w:hAnsi="Arial" w:cs="Arial"/>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CE0DBC" w:rsidRDefault="009451A0" w:rsidP="00803536">
            <w:pPr>
              <w:rPr>
                <w:rFonts w:ascii="Arial" w:hAnsi="Arial" w:cs="Arial"/>
                <w:sz w:val="22"/>
                <w:szCs w:val="22"/>
              </w:rPr>
            </w:pPr>
          </w:p>
        </w:tc>
      </w:tr>
    </w:tbl>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r w:rsidRPr="00CE0DBC">
        <w:rPr>
          <w:rFonts w:ascii="Arial" w:hAnsi="Arial" w:cs="Arial"/>
          <w:b/>
          <w:sz w:val="22"/>
          <w:szCs w:val="22"/>
        </w:rPr>
        <w:t>PROCEDURE</w:t>
      </w:r>
    </w:p>
    <w:p w:rsidR="00CE0DBC" w:rsidRPr="00CE0DBC" w:rsidRDefault="00CE0DBC" w:rsidP="00C01CCA">
      <w:pPr>
        <w:rPr>
          <w:rFonts w:ascii="Arial" w:hAnsi="Arial" w:cs="Arial"/>
          <w:sz w:val="22"/>
          <w:szCs w:val="22"/>
        </w:rPr>
      </w:pPr>
    </w:p>
    <w:p w:rsidR="00CE0DBC" w:rsidRPr="00CE0DBC" w:rsidRDefault="00CE0DBC" w:rsidP="00C01CCA">
      <w:pPr>
        <w:rPr>
          <w:rFonts w:ascii="Arial" w:hAnsi="Arial" w:cs="Arial"/>
          <w:sz w:val="22"/>
          <w:szCs w:val="22"/>
        </w:rPr>
      </w:pPr>
    </w:p>
    <w:tbl>
      <w:tblPr>
        <w:tblW w:w="9468" w:type="dxa"/>
        <w:tblLayout w:type="fixed"/>
        <w:tblLook w:val="0000" w:firstRow="0" w:lastRow="0" w:firstColumn="0" w:lastColumn="0" w:noHBand="0" w:noVBand="0"/>
      </w:tblPr>
      <w:tblGrid>
        <w:gridCol w:w="1728"/>
        <w:gridCol w:w="7740"/>
      </w:tblGrid>
      <w:tr w:rsidR="00CE0DBC" w:rsidRPr="00CE0DBC" w:rsidTr="00872194">
        <w:trPr>
          <w:cantSplit/>
        </w:trPr>
        <w:tc>
          <w:tcPr>
            <w:tcW w:w="1728" w:type="dxa"/>
          </w:tcPr>
          <w:p w:rsidR="00CE0DBC" w:rsidRPr="00CE0DBC" w:rsidRDefault="00CE0DBC" w:rsidP="00872194">
            <w:pPr>
              <w:outlineLvl w:val="4"/>
              <w:rPr>
                <w:rFonts w:ascii="Arial" w:hAnsi="Arial" w:cs="Arial"/>
                <w:b/>
                <w:sz w:val="22"/>
                <w:szCs w:val="22"/>
              </w:rPr>
            </w:pPr>
            <w:r w:rsidRPr="00CE0DBC">
              <w:rPr>
                <w:rFonts w:ascii="Arial" w:hAnsi="Arial" w:cs="Arial"/>
                <w:b/>
                <w:sz w:val="22"/>
                <w:szCs w:val="22"/>
              </w:rPr>
              <w:t>WHEN TO CHANGE REAGENTS</w:t>
            </w:r>
          </w:p>
        </w:tc>
        <w:tc>
          <w:tcPr>
            <w:tcW w:w="7740" w:type="dxa"/>
          </w:tcPr>
          <w:p w:rsidR="00CE0DBC" w:rsidRPr="00CE0DBC" w:rsidRDefault="00CE0DBC" w:rsidP="00872194">
            <w:pPr>
              <w:jc w:val="both"/>
              <w:rPr>
                <w:rFonts w:ascii="Arial" w:hAnsi="Arial" w:cs="Arial"/>
                <w:sz w:val="22"/>
                <w:szCs w:val="22"/>
              </w:rPr>
            </w:pPr>
            <w:r w:rsidRPr="00CE0DBC">
              <w:rPr>
                <w:rFonts w:ascii="Arial" w:hAnsi="Arial" w:cs="Arial"/>
                <w:sz w:val="22"/>
                <w:szCs w:val="22"/>
              </w:rPr>
              <w:t>The system monitors the supplies status and provides a visual indication of their states through the Supplies alert indicator icon. While there is a valid reagent usage remaining for all the supplies, the Supplies icon background is beige or neutral. A yellow background indicates a warning condition and a red background indicates an error condition. You can return the color to neutral by replacing the supplies that are low, depleted or expired.</w:t>
            </w:r>
          </w:p>
          <w:p w:rsidR="00CE0DBC" w:rsidRPr="00CE0DBC" w:rsidRDefault="00CE0DBC" w:rsidP="00872194">
            <w:pPr>
              <w:jc w:val="both"/>
              <w:rPr>
                <w:rFonts w:ascii="Arial" w:hAnsi="Arial" w:cs="Arial"/>
                <w:sz w:val="22"/>
                <w:szCs w:val="22"/>
              </w:rPr>
            </w:pPr>
          </w:p>
          <w:p w:rsidR="00CE0DBC" w:rsidRPr="00CE0DBC" w:rsidRDefault="00CE0DBC" w:rsidP="00872194">
            <w:pPr>
              <w:jc w:val="both"/>
              <w:rPr>
                <w:rFonts w:ascii="Arial" w:hAnsi="Arial" w:cs="Arial"/>
                <w:sz w:val="22"/>
                <w:szCs w:val="22"/>
              </w:rPr>
            </w:pPr>
            <w:r w:rsidRPr="00CE0DBC">
              <w:rPr>
                <w:rFonts w:ascii="Arial" w:hAnsi="Arial" w:cs="Arial"/>
                <w:sz w:val="22"/>
                <w:szCs w:val="22"/>
              </w:rPr>
              <w:t xml:space="preserve">NOTE:  Except for the Diluent, Diluent must be replaced ONLY on red color background.  There are two (2) containers of Diluent loaded in the instrument.  Wait until the current diluent in use switches to the other diluent before proceeding with replacement. </w:t>
            </w:r>
          </w:p>
        </w:tc>
      </w:tr>
    </w:tbl>
    <w:p w:rsidR="00CE0DBC" w:rsidRPr="00CE0DBC" w:rsidRDefault="00CE0DBC" w:rsidP="00C01CCA">
      <w:pPr>
        <w:rPr>
          <w:rFonts w:ascii="Arial" w:hAnsi="Arial" w:cs="Arial"/>
          <w:sz w:val="22"/>
          <w:szCs w:val="22"/>
        </w:rPr>
      </w:pPr>
    </w:p>
    <w:p w:rsidR="004140EB" w:rsidRPr="00CE0DBC" w:rsidRDefault="004140EB" w:rsidP="00C01CCA">
      <w:pPr>
        <w:rPr>
          <w:rFonts w:ascii="Arial" w:hAnsi="Arial" w:cs="Arial"/>
          <w:sz w:val="22"/>
          <w:szCs w:val="22"/>
        </w:rPr>
      </w:pPr>
    </w:p>
    <w:p w:rsidR="00CE0DBC" w:rsidRPr="00CE0DBC" w:rsidRDefault="00CE0DBC" w:rsidP="00CE0DBC">
      <w:pPr>
        <w:rPr>
          <w:rFonts w:ascii="Arial" w:hAnsi="Arial" w:cs="Arial"/>
          <w:b/>
          <w:sz w:val="22"/>
          <w:szCs w:val="22"/>
        </w:rPr>
      </w:pPr>
      <w:r w:rsidRPr="00CE0DBC">
        <w:rPr>
          <w:rFonts w:ascii="Arial" w:hAnsi="Arial" w:cs="Arial"/>
          <w:b/>
          <w:sz w:val="22"/>
          <w:szCs w:val="22"/>
        </w:rPr>
        <w:t>REAGENT LIST</w:t>
      </w:r>
    </w:p>
    <w:p w:rsidR="00CE0DBC" w:rsidRPr="00CE0DBC" w:rsidRDefault="00CE0DBC" w:rsidP="00C01CCA">
      <w:pPr>
        <w:rPr>
          <w:rFonts w:ascii="Arial" w:hAnsi="Arial" w:cs="Arial"/>
          <w:sz w:val="22"/>
          <w:szCs w:val="22"/>
        </w:rPr>
      </w:pPr>
    </w:p>
    <w:p w:rsidR="00CE0DBC" w:rsidRPr="00CE0DBC" w:rsidRDefault="00CE0DBC" w:rsidP="00CE0DBC">
      <w:pPr>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Diluent PN 628017 (10 L)</w:t>
      </w:r>
    </w:p>
    <w:p w:rsidR="00CE0DBC" w:rsidRPr="00CE0DBC" w:rsidRDefault="00CE0DBC" w:rsidP="00CE0DBC">
      <w:pPr>
        <w:ind w:left="1440"/>
        <w:rPr>
          <w:rFonts w:ascii="Arial" w:hAnsi="Arial" w:cs="Arial"/>
          <w:sz w:val="22"/>
          <w:szCs w:val="22"/>
        </w:rPr>
      </w:pPr>
    </w:p>
    <w:p w:rsidR="00CE0DBC" w:rsidRPr="00CE0DBC" w:rsidRDefault="00CE0DBC" w:rsidP="00CE0DBC">
      <w:pPr>
        <w:ind w:left="1440"/>
        <w:jc w:val="both"/>
        <w:rPr>
          <w:rFonts w:ascii="Arial" w:hAnsi="Arial" w:cs="Arial"/>
          <w:sz w:val="22"/>
          <w:szCs w:val="22"/>
        </w:rPr>
      </w:pPr>
      <w:r w:rsidRPr="00CE0DBC">
        <w:rPr>
          <w:rFonts w:ascii="Arial" w:hAnsi="Arial" w:cs="Arial"/>
          <w:sz w:val="22"/>
          <w:szCs w:val="22"/>
        </w:rPr>
        <w:t xml:space="preserve">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is a cyanide-free, isotonic buffered saline solution.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dilutes the specimen, is used for rinsing module components between </w:t>
      </w:r>
      <w:proofErr w:type="gramStart"/>
      <w:r w:rsidRPr="00CE0DBC">
        <w:rPr>
          <w:rFonts w:ascii="Arial" w:hAnsi="Arial" w:cs="Arial"/>
          <w:sz w:val="22"/>
          <w:szCs w:val="22"/>
        </w:rPr>
        <w:t>sample  analyses</w:t>
      </w:r>
      <w:proofErr w:type="gramEnd"/>
      <w:r w:rsidRPr="00CE0DBC">
        <w:rPr>
          <w:rFonts w:ascii="Arial" w:hAnsi="Arial" w:cs="Arial"/>
          <w:sz w:val="22"/>
          <w:szCs w:val="22"/>
        </w:rPr>
        <w:t>, and provides a sheath stream  to transport the sample through the flow cell.</w:t>
      </w:r>
    </w:p>
    <w:p w:rsidR="00CE0DBC" w:rsidRPr="00CE0DBC" w:rsidRDefault="00CE0DBC" w:rsidP="00CE0DBC">
      <w:pPr>
        <w:ind w:left="1440"/>
        <w:jc w:val="both"/>
        <w:rPr>
          <w:rFonts w:ascii="Arial" w:hAnsi="Arial" w:cs="Arial"/>
          <w:sz w:val="22"/>
          <w:szCs w:val="22"/>
        </w:rPr>
      </w:pPr>
    </w:p>
    <w:p w:rsidR="00CE0DBC" w:rsidRPr="00CE0DBC" w:rsidRDefault="00CE0DBC" w:rsidP="00CE0DBC">
      <w:pPr>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Cell Lyse PN 628019 (5L)</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r w:rsidRPr="00CE0DBC">
        <w:rPr>
          <w:rFonts w:ascii="Arial" w:hAnsi="Arial" w:cs="Arial"/>
          <w:sz w:val="22"/>
          <w:szCs w:val="22"/>
        </w:rPr>
        <w:t xml:space="preserve">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Cell Lyse is a cyanide-free CBC lytic reagent that lyses red blood cells for the white blood cell and total nucleated cell counts, and works in conjunction with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to generate a stable hemoglobin measurement.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Cell Lyse is also used to lyse the red blood cells and discriminates nucleated red blood cells from white blood cells.</w:t>
      </w:r>
    </w:p>
    <w:p w:rsidR="00CE0DBC" w:rsidRPr="00CE0DBC" w:rsidRDefault="00CE0DBC" w:rsidP="00CE0DBC">
      <w:pPr>
        <w:rPr>
          <w:rFonts w:ascii="Arial" w:hAnsi="Arial" w:cs="Arial"/>
          <w:sz w:val="22"/>
          <w:szCs w:val="22"/>
        </w:rPr>
      </w:pPr>
    </w:p>
    <w:p w:rsidR="00CE0DBC" w:rsidRPr="00CE0DBC" w:rsidRDefault="00CE0DBC" w:rsidP="00CE0DBC">
      <w:pPr>
        <w:ind w:left="1440"/>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Cleaner PN 628023 (10 L)</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proofErr w:type="spellStart"/>
      <w:r w:rsidRPr="00CE0DBC">
        <w:rPr>
          <w:rFonts w:ascii="Arial" w:hAnsi="Arial" w:cs="Arial"/>
          <w:sz w:val="22"/>
          <w:szCs w:val="22"/>
        </w:rPr>
        <w:t>DxH</w:t>
      </w:r>
      <w:proofErr w:type="spellEnd"/>
      <w:r w:rsidRPr="00CE0DBC">
        <w:rPr>
          <w:rFonts w:ascii="Arial" w:hAnsi="Arial" w:cs="Arial"/>
          <w:sz w:val="22"/>
          <w:szCs w:val="22"/>
        </w:rPr>
        <w:t xml:space="preserve"> Cleaner is a cyanide-free, aldehyde-free cleaning agent that degrades residual materials so that they may be flushed from the system with the diluent.</w:t>
      </w:r>
    </w:p>
    <w:p w:rsidR="00CE0DBC" w:rsidRPr="00CE0DBC" w:rsidRDefault="00CE0DBC" w:rsidP="00CE0DBC">
      <w:pPr>
        <w:ind w:left="1440"/>
        <w:rPr>
          <w:rFonts w:ascii="Arial" w:hAnsi="Arial" w:cs="Arial"/>
          <w:sz w:val="22"/>
          <w:szCs w:val="22"/>
        </w:rPr>
      </w:pPr>
    </w:p>
    <w:p w:rsidR="00CE0DBC" w:rsidRP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Pr="00CE0DBC" w:rsidRDefault="00CE0DBC" w:rsidP="00C01CCA">
      <w:pPr>
        <w:rPr>
          <w:rFonts w:ascii="Arial" w:hAnsi="Arial" w:cs="Arial"/>
          <w:sz w:val="22"/>
          <w:szCs w:val="22"/>
        </w:rPr>
      </w:pPr>
    </w:p>
    <w:p w:rsidR="00CE0DBC" w:rsidRPr="00CE0DBC" w:rsidRDefault="00CE0DBC" w:rsidP="00CE0DBC">
      <w:pPr>
        <w:ind w:left="720"/>
        <w:rPr>
          <w:rFonts w:ascii="Arial" w:hAnsi="Arial" w:cs="Arial"/>
          <w:b/>
          <w:i/>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Diff Pack PN 628020 </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r w:rsidRPr="00CE0DBC">
        <w:rPr>
          <w:rFonts w:ascii="Arial" w:hAnsi="Arial" w:cs="Arial"/>
          <w:sz w:val="22"/>
          <w:szCs w:val="22"/>
        </w:rPr>
        <w:t xml:space="preserve">The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Diff Pack consists of the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Lytic Reagent and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Preservative Reagent. The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Lytic Reagent is a cyanide-free lytic reagent that dilutes the blood sample, and lyses red blood cells in preparation for white blood cell measurement in the flow cell. The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Preservative Reagent neutralizes the Diff lytic reagent and preserves the white blood cells for measurement in the flow cell. Together,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and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provide a dilution for the five-part differential.</w:t>
      </w:r>
    </w:p>
    <w:p w:rsidR="00CE0DBC" w:rsidRPr="00CE0DBC" w:rsidRDefault="00CE0DBC" w:rsidP="00CE0DBC">
      <w:pPr>
        <w:ind w:left="1440"/>
        <w:rPr>
          <w:rFonts w:ascii="Arial" w:hAnsi="Arial" w:cs="Arial"/>
          <w:sz w:val="22"/>
          <w:szCs w:val="22"/>
        </w:rPr>
      </w:pPr>
    </w:p>
    <w:p w:rsidR="00CE0DBC" w:rsidRPr="00CE0DBC" w:rsidRDefault="00CE0DBC" w:rsidP="00CE0DBC">
      <w:pPr>
        <w:rPr>
          <w:rFonts w:ascii="Arial" w:hAnsi="Arial" w:cs="Arial"/>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w:t>
      </w:r>
      <w:proofErr w:type="spellStart"/>
      <w:r w:rsidRPr="00CE0DBC">
        <w:rPr>
          <w:rFonts w:ascii="Arial" w:hAnsi="Arial" w:cs="Arial"/>
          <w:b/>
          <w:i/>
          <w:sz w:val="22"/>
          <w:szCs w:val="22"/>
        </w:rPr>
        <w:t>Retic</w:t>
      </w:r>
      <w:proofErr w:type="spellEnd"/>
      <w:r w:rsidRPr="00CE0DBC">
        <w:rPr>
          <w:rFonts w:ascii="Arial" w:hAnsi="Arial" w:cs="Arial"/>
          <w:b/>
          <w:i/>
          <w:sz w:val="22"/>
          <w:szCs w:val="22"/>
        </w:rPr>
        <w:t xml:space="preserve"> Pack PN 628021 </w:t>
      </w:r>
    </w:p>
    <w:p w:rsidR="00CE0DBC" w:rsidRPr="00CE0DBC" w:rsidRDefault="00CE0DBC" w:rsidP="00CE0DBC">
      <w:pPr>
        <w:ind w:left="720"/>
        <w:rPr>
          <w:rFonts w:ascii="Arial" w:hAnsi="Arial" w:cs="Arial"/>
          <w:b/>
          <w:i/>
          <w:sz w:val="22"/>
          <w:szCs w:val="22"/>
        </w:rPr>
      </w:pPr>
    </w:p>
    <w:p w:rsidR="00CE0DBC" w:rsidRPr="00CE0DBC" w:rsidRDefault="00CE0DBC" w:rsidP="00CE0DBC">
      <w:pPr>
        <w:autoSpaceDE w:val="0"/>
        <w:autoSpaceDN w:val="0"/>
        <w:adjustRightInd w:val="0"/>
        <w:ind w:left="1440"/>
        <w:rPr>
          <w:rFonts w:ascii="Arial" w:hAnsi="Arial" w:cs="Arial"/>
          <w:sz w:val="22"/>
          <w:szCs w:val="22"/>
        </w:rPr>
      </w:pPr>
      <w:r w:rsidRPr="00CE0DBC">
        <w:rPr>
          <w:rFonts w:ascii="Arial" w:hAnsi="Arial" w:cs="Arial"/>
          <w:sz w:val="22"/>
          <w:szCs w:val="22"/>
        </w:rPr>
        <w:t xml:space="preserve">The </w:t>
      </w:r>
      <w:proofErr w:type="spellStart"/>
      <w:r w:rsidRPr="00CE0DBC">
        <w:rPr>
          <w:rFonts w:ascii="Arial" w:hAnsi="Arial" w:cs="Arial"/>
          <w:sz w:val="22"/>
          <w:szCs w:val="22"/>
        </w:rPr>
        <w:t>DxH</w:t>
      </w:r>
      <w:proofErr w:type="spellEnd"/>
      <w:r w:rsidRPr="00CE0DBC">
        <w:rPr>
          <w:rFonts w:ascii="Arial" w:hAnsi="Arial" w:cs="Arial"/>
          <w:sz w:val="22"/>
          <w:szCs w:val="22"/>
        </w:rPr>
        <w:t xml:space="preserve"> </w:t>
      </w:r>
      <w:proofErr w:type="spellStart"/>
      <w:r w:rsidRPr="00CE0DBC">
        <w:rPr>
          <w:rFonts w:ascii="Arial" w:hAnsi="Arial" w:cs="Arial"/>
          <w:sz w:val="22"/>
          <w:szCs w:val="22"/>
        </w:rPr>
        <w:t>Retic</w:t>
      </w:r>
      <w:proofErr w:type="spellEnd"/>
      <w:r w:rsidRPr="00CE0DBC">
        <w:rPr>
          <w:rFonts w:ascii="Arial" w:hAnsi="Arial" w:cs="Arial"/>
          <w:sz w:val="22"/>
          <w:szCs w:val="22"/>
        </w:rPr>
        <w:t xml:space="preserve"> Pack consists of a reticulocyte stain reagent and a reticulocyte-clearing reagent. The reticulocyte stain reagent is a cyanide-free reagent that uses a dye to stain reticulocytes. The reticulocyte-clearing reagent is a cyanide-free reagent that stabilizes the dye-reticulum complex to enhance discrimination of reticulocytes from mature red blood cells utilizing the </w:t>
      </w:r>
      <w:proofErr w:type="spellStart"/>
      <w:r w:rsidRPr="00CE0DBC">
        <w:rPr>
          <w:rFonts w:ascii="Arial" w:hAnsi="Arial" w:cs="Arial"/>
          <w:sz w:val="22"/>
          <w:szCs w:val="22"/>
        </w:rPr>
        <w:t>VCSn</w:t>
      </w:r>
      <w:proofErr w:type="spellEnd"/>
      <w:r w:rsidRPr="00CE0DBC">
        <w:rPr>
          <w:rFonts w:ascii="Arial" w:hAnsi="Arial" w:cs="Arial"/>
          <w:sz w:val="22"/>
          <w:szCs w:val="22"/>
        </w:rPr>
        <w:t xml:space="preserve"> technology.</w:t>
      </w:r>
    </w:p>
    <w:p w:rsidR="00CE0DBC" w:rsidRPr="00CE0DBC" w:rsidRDefault="00CE0DBC" w:rsidP="00CE0DBC">
      <w:pPr>
        <w:ind w:left="1440"/>
        <w:rPr>
          <w:rFonts w:ascii="Arial" w:hAnsi="Arial" w:cs="Arial"/>
          <w:sz w:val="22"/>
          <w:szCs w:val="22"/>
        </w:rPr>
      </w:pPr>
    </w:p>
    <w:p w:rsidR="00CE0DBC" w:rsidRPr="00CE0DBC" w:rsidRDefault="00CE0DBC" w:rsidP="00CE0DBC">
      <w:pPr>
        <w:ind w:left="1440"/>
        <w:rPr>
          <w:rStyle w:val="Hyperlink"/>
          <w:rFonts w:ascii="Arial" w:hAnsi="Arial" w:cs="Arial"/>
          <w:sz w:val="22"/>
          <w:szCs w:val="22"/>
        </w:rPr>
      </w:pPr>
      <w:r w:rsidRPr="00CE0DBC">
        <w:rPr>
          <w:rFonts w:ascii="Arial" w:hAnsi="Arial" w:cs="Arial"/>
          <w:sz w:val="22"/>
          <w:szCs w:val="22"/>
        </w:rPr>
        <w:t xml:space="preserve">For additional information, refer to the package inserts available at: </w:t>
      </w:r>
      <w:hyperlink r:id="rId7" w:history="1">
        <w:r w:rsidRPr="00CE0DBC">
          <w:rPr>
            <w:rStyle w:val="Hyperlink"/>
            <w:rFonts w:ascii="Arial" w:hAnsi="Arial" w:cs="Arial"/>
            <w:sz w:val="22"/>
            <w:szCs w:val="22"/>
          </w:rPr>
          <w:t>https://www.beckmancoulter.com/wsrportat/page/techdocs</w:t>
        </w:r>
      </w:hyperlink>
    </w:p>
    <w:p w:rsidR="00CE0DBC" w:rsidRPr="00CE0DBC" w:rsidRDefault="00CE0DBC" w:rsidP="00CE0DBC">
      <w:pPr>
        <w:ind w:left="1440"/>
        <w:rPr>
          <w:rStyle w:val="Hyperlink"/>
          <w:rFonts w:ascii="Arial" w:hAnsi="Arial" w:cs="Arial"/>
          <w:sz w:val="22"/>
          <w:szCs w:val="22"/>
        </w:rPr>
      </w:pPr>
    </w:p>
    <w:p w:rsidR="00CE0DBC" w:rsidRPr="00CE0DBC" w:rsidRDefault="00CE0DBC" w:rsidP="00CE0DBC">
      <w:pPr>
        <w:rPr>
          <w:rFonts w:ascii="Arial" w:hAnsi="Arial" w:cs="Arial"/>
          <w:sz w:val="22"/>
          <w:szCs w:val="22"/>
        </w:rPr>
      </w:pPr>
    </w:p>
    <w:p w:rsidR="00CE0DBC" w:rsidRPr="00CE0DBC" w:rsidRDefault="00CE0DBC" w:rsidP="00CE0DBC">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CE0DBC" w:rsidRPr="00CE0DBC" w:rsidTr="00872194">
        <w:trPr>
          <w:cantSplit/>
        </w:trPr>
        <w:tc>
          <w:tcPr>
            <w:tcW w:w="1728" w:type="dxa"/>
          </w:tcPr>
          <w:p w:rsidR="00CE0DBC" w:rsidRPr="00CE0DBC" w:rsidRDefault="00CE0DBC" w:rsidP="00872194">
            <w:pPr>
              <w:outlineLvl w:val="4"/>
              <w:rPr>
                <w:rFonts w:ascii="Arial" w:hAnsi="Arial" w:cs="Arial"/>
                <w:b/>
                <w:sz w:val="22"/>
                <w:szCs w:val="22"/>
              </w:rPr>
            </w:pPr>
            <w:r w:rsidRPr="00CE0DBC">
              <w:rPr>
                <w:rFonts w:ascii="Arial" w:hAnsi="Arial" w:cs="Arial"/>
                <w:b/>
                <w:sz w:val="22"/>
                <w:szCs w:val="22"/>
              </w:rPr>
              <w:t>CHANGING REAGENTS</w:t>
            </w:r>
          </w:p>
        </w:tc>
        <w:tc>
          <w:tcPr>
            <w:tcW w:w="7740" w:type="dxa"/>
          </w:tcPr>
          <w:p w:rsidR="00CE0DBC" w:rsidRPr="00CE0DBC" w:rsidRDefault="00CE0DBC" w:rsidP="00872194">
            <w:pPr>
              <w:rPr>
                <w:rFonts w:ascii="Arial" w:hAnsi="Arial" w:cs="Arial"/>
                <w:sz w:val="22"/>
                <w:szCs w:val="22"/>
              </w:rPr>
            </w:pPr>
            <w:r w:rsidRPr="00CE0DBC">
              <w:rPr>
                <w:rFonts w:ascii="Arial" w:hAnsi="Arial" w:cs="Arial"/>
                <w:sz w:val="22"/>
                <w:szCs w:val="22"/>
              </w:rPr>
              <w:t xml:space="preserve">Follow the steps below to replace reagents on the Beckman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w:t>
            </w:r>
          </w:p>
        </w:tc>
      </w:tr>
    </w:tbl>
    <w:p w:rsidR="00CE0DBC" w:rsidRPr="00CE0DBC" w:rsidRDefault="00CE0DBC" w:rsidP="00CE0DBC">
      <w:pPr>
        <w:rPr>
          <w:rFonts w:ascii="Arial" w:hAnsi="Arial" w:cs="Arial"/>
          <w:sz w:val="22"/>
          <w:szCs w:val="22"/>
        </w:rPr>
      </w:pPr>
    </w:p>
    <w:tbl>
      <w:tblPr>
        <w:tblW w:w="0" w:type="auto"/>
        <w:tblInd w:w="1829" w:type="dxa"/>
        <w:tblLayout w:type="fixed"/>
        <w:tblLook w:val="0000" w:firstRow="0" w:lastRow="0" w:firstColumn="0" w:lastColumn="0" w:noHBand="0" w:noVBand="0"/>
      </w:tblPr>
      <w:tblGrid>
        <w:gridCol w:w="878"/>
        <w:gridCol w:w="6670"/>
      </w:tblGrid>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872194">
            <w:pPr>
              <w:jc w:val="center"/>
              <w:rPr>
                <w:rFonts w:ascii="Arial" w:hAnsi="Arial" w:cs="Arial"/>
                <w:b/>
                <w:sz w:val="22"/>
                <w:szCs w:val="22"/>
              </w:rPr>
            </w:pPr>
            <w:r w:rsidRPr="00FA5F01">
              <w:rPr>
                <w:rFonts w:ascii="Arial" w:hAnsi="Arial" w:cs="Arial"/>
                <w:b/>
                <w:sz w:val="22"/>
                <w:szCs w:val="22"/>
              </w:rPr>
              <w:t>Step</w:t>
            </w:r>
          </w:p>
        </w:tc>
        <w:tc>
          <w:tcPr>
            <w:tcW w:w="6670" w:type="dxa"/>
            <w:tcBorders>
              <w:top w:val="single" w:sz="6" w:space="0" w:color="auto"/>
              <w:bottom w:val="single" w:sz="6" w:space="0" w:color="auto"/>
              <w:right w:val="single" w:sz="6" w:space="0" w:color="auto"/>
            </w:tcBorders>
          </w:tcPr>
          <w:p w:rsidR="00CE0DBC" w:rsidRPr="00FA5F01" w:rsidRDefault="00CE0DBC" w:rsidP="00872194">
            <w:pPr>
              <w:jc w:val="center"/>
              <w:rPr>
                <w:rFonts w:ascii="Arial" w:hAnsi="Arial" w:cs="Arial"/>
                <w:b/>
                <w:sz w:val="22"/>
                <w:szCs w:val="22"/>
              </w:rPr>
            </w:pPr>
            <w:r w:rsidRPr="00FA5F01">
              <w:rPr>
                <w:rFonts w:ascii="Arial" w:hAnsi="Arial" w:cs="Arial"/>
                <w:b/>
                <w:sz w:val="22"/>
                <w:szCs w:val="22"/>
              </w:rPr>
              <w:t>Action</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Locate the old Reagent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Place the new reagent box near the old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any cardboard cutouts from the new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the cap and seal from the new reagent container. Be sure to completely remove the foil seal and lift the neck of the container.</w:t>
            </w:r>
          </w:p>
        </w:tc>
      </w:tr>
      <w:tr w:rsidR="00CE0DBC" w:rsidRPr="00CE0DBC" w:rsidTr="00FA6A88">
        <w:trPr>
          <w:cantSplit/>
          <w:trHeight w:val="696"/>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the plastic collar that secures the pickup tube assembly from the old reagent container.</w:t>
            </w:r>
          </w:p>
        </w:tc>
      </w:tr>
      <w:tr w:rsidR="00CE0DBC" w:rsidRPr="00CE0DBC" w:rsidTr="00FA6A88">
        <w:trPr>
          <w:cantSplit/>
          <w:trHeight w:val="714"/>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Unscrew the pickup tube assembly of the old container and lift it straight up and out.</w:t>
            </w:r>
          </w:p>
        </w:tc>
      </w:tr>
      <w:tr w:rsidR="00CE0DBC" w:rsidRPr="00CE0DBC" w:rsidTr="00FA6A88">
        <w:trPr>
          <w:cantSplit/>
          <w:trHeight w:val="462"/>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Inspect the pickup tube for damage, and replace if necessary.</w:t>
            </w:r>
          </w:p>
        </w:tc>
      </w:tr>
      <w:tr w:rsidR="00CE0DBC" w:rsidRPr="00CE0DBC" w:rsidTr="00FA6A88">
        <w:trPr>
          <w:cantSplit/>
          <w:trHeight w:val="714"/>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Carefully insert the pickup tube assembly straight into the new container and tighten cap.</w:t>
            </w:r>
          </w:p>
        </w:tc>
      </w:tr>
      <w:tr w:rsidR="00CE0DBC" w:rsidRPr="00CE0DBC" w:rsidTr="00FA6A88">
        <w:trPr>
          <w:cantSplit/>
          <w:trHeight w:val="498"/>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Insert the plastic collar that secures the pickup tubes.</w:t>
            </w:r>
          </w:p>
        </w:tc>
      </w:tr>
      <w:tr w:rsidR="00CE0DBC" w:rsidRPr="00CE0DBC" w:rsidTr="00FA6A88">
        <w:trPr>
          <w:cantSplit/>
          <w:trHeight w:val="876"/>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 xml:space="preserve">Scan the new container’s information on the Setup </w:t>
            </w:r>
            <w:proofErr w:type="spellStart"/>
            <w:r w:rsidRPr="00CE0DBC">
              <w:rPr>
                <w:rFonts w:ascii="Arial" w:hAnsi="Arial" w:cs="Arial"/>
                <w:sz w:val="22"/>
                <w:szCs w:val="22"/>
              </w:rPr>
              <w:t>DxH</w:t>
            </w:r>
            <w:proofErr w:type="spellEnd"/>
            <w:r w:rsidRPr="00CE0DBC">
              <w:rPr>
                <w:rFonts w:ascii="Arial" w:hAnsi="Arial" w:cs="Arial"/>
                <w:sz w:val="22"/>
                <w:szCs w:val="22"/>
              </w:rPr>
              <w:t xml:space="preserve"> Supplies dialog box or manually enter information on the Setup Other Supply dialog box.   </w:t>
            </w:r>
          </w:p>
        </w:tc>
      </w:tr>
      <w:tr w:rsidR="00CE0DBC" w:rsidRPr="00CE0DBC" w:rsidTr="00FA6A88">
        <w:trPr>
          <w:cantSplit/>
          <w:trHeight w:val="318"/>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Opened reagent must be dated and with CLS</w:t>
            </w:r>
            <w:r w:rsidR="001E3B4C">
              <w:rPr>
                <w:rFonts w:ascii="Arial" w:hAnsi="Arial" w:cs="Arial"/>
                <w:sz w:val="22"/>
                <w:szCs w:val="22"/>
              </w:rPr>
              <w:t>/MLT</w:t>
            </w:r>
            <w:r w:rsidRPr="00CE0DBC">
              <w:rPr>
                <w:rFonts w:ascii="Arial" w:hAnsi="Arial" w:cs="Arial"/>
                <w:sz w:val="22"/>
                <w:szCs w:val="22"/>
              </w:rPr>
              <w:t xml:space="preserve"> initial.</w:t>
            </w:r>
          </w:p>
        </w:tc>
      </w:tr>
      <w:tr w:rsidR="00CE0DBC" w:rsidRPr="00CE0DBC" w:rsidTr="00FA6A88">
        <w:trPr>
          <w:cantSplit/>
          <w:trHeight w:val="318"/>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Press Daily Checks to prime reagent.</w:t>
            </w:r>
            <w:r w:rsidR="0034466D">
              <w:rPr>
                <w:rFonts w:ascii="Arial" w:hAnsi="Arial" w:cs="Arial"/>
                <w:sz w:val="22"/>
                <w:szCs w:val="22"/>
              </w:rPr>
              <w:t xml:space="preserve"> Review results if all results passed.</w:t>
            </w:r>
          </w:p>
        </w:tc>
      </w:tr>
      <w:tr w:rsidR="00FA6A88" w:rsidRPr="00CE0DBC" w:rsidTr="00FA6A88">
        <w:trPr>
          <w:cantSplit/>
          <w:trHeight w:val="318"/>
        </w:trPr>
        <w:tc>
          <w:tcPr>
            <w:tcW w:w="878" w:type="dxa"/>
            <w:tcBorders>
              <w:top w:val="single" w:sz="6" w:space="0" w:color="auto"/>
              <w:left w:val="single" w:sz="6" w:space="0" w:color="auto"/>
              <w:bottom w:val="single" w:sz="6" w:space="0" w:color="auto"/>
              <w:right w:val="single" w:sz="6" w:space="0" w:color="auto"/>
            </w:tcBorders>
          </w:tcPr>
          <w:p w:rsidR="00FA6A88" w:rsidRPr="00FA5F01" w:rsidRDefault="00FA6A88"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FA6A88" w:rsidRPr="00CE0DBC" w:rsidRDefault="00FA6A88" w:rsidP="00872194">
            <w:pPr>
              <w:rPr>
                <w:rFonts w:ascii="Arial" w:hAnsi="Arial" w:cs="Arial"/>
                <w:sz w:val="22"/>
                <w:szCs w:val="22"/>
              </w:rPr>
            </w:pPr>
            <w:r w:rsidRPr="00CE0DBC">
              <w:rPr>
                <w:rFonts w:ascii="Arial" w:hAnsi="Arial" w:cs="Arial"/>
                <w:sz w:val="22"/>
                <w:szCs w:val="22"/>
              </w:rPr>
              <w:t>If any of the Daily check results fails (with red background color).  Perform daily check again.  If problem persist, call technical support and inform Manager.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34466D" w:rsidRDefault="0034466D" w:rsidP="0087219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745490</wp:posOffset>
                      </wp:positionH>
                      <wp:positionV relativeFrom="paragraph">
                        <wp:posOffset>187325</wp:posOffset>
                      </wp:positionV>
                      <wp:extent cx="70485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7048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66D" w:rsidRDefault="0034466D" w:rsidP="0034466D">
                                  <w:pPr>
                                    <w:jc w:val="center"/>
                                  </w:pPr>
                                  <w:proofErr w:type="spellStart"/>
                                  <w:r>
                                    <w:t>PrintSc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58.7pt;margin-top:14.75pt;width:5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" fillcolor="#5b9bd5 [3204]" strokecolor="#1f4d78 [1604]" strokeweight="1pt">
                      <v:stroke joinstyle="miter"/>
                      <v:textbox>
                        <w:txbxContent>
                          <w:p w:rsidR="0034466D" w:rsidRDefault="0034466D" w:rsidP="0034466D">
                            <w:pPr>
                              <w:jc w:val="center"/>
                            </w:pPr>
                            <w:proofErr w:type="spellStart"/>
                            <w:r>
                              <w:t>PrintSc</w:t>
                            </w:r>
                            <w:proofErr w:type="spellEnd"/>
                          </w:p>
                        </w:txbxContent>
                      </v:textbox>
                    </v:roundrect>
                  </w:pict>
                </mc:Fallback>
              </mc:AlternateContent>
            </w:r>
            <w:r>
              <w:rPr>
                <w:rFonts w:ascii="Arial" w:hAnsi="Arial" w:cs="Arial"/>
                <w:sz w:val="22"/>
                <w:szCs w:val="22"/>
              </w:rPr>
              <w:t xml:space="preserve">Go to instrument SUPPLIES window and print reagent inventory by pressing    </w:t>
            </w:r>
            <w:r>
              <w:rPr>
                <w:rFonts w:ascii="Arial" w:hAnsi="Arial" w:cs="Arial"/>
                <w:b/>
                <w:sz w:val="22"/>
                <w:szCs w:val="22"/>
              </w:rPr>
              <w:t xml:space="preserve">                 </w:t>
            </w:r>
            <w:r>
              <w:rPr>
                <w:rFonts w:ascii="Arial" w:hAnsi="Arial" w:cs="Arial"/>
                <w:sz w:val="22"/>
                <w:szCs w:val="22"/>
              </w:rPr>
              <w:t>(print screen) from the instrument keyboard.</w:t>
            </w:r>
            <w:r w:rsidR="00CE0DBC" w:rsidRPr="00CE0DBC">
              <w:rPr>
                <w:rFonts w:ascii="Arial" w:hAnsi="Arial" w:cs="Arial"/>
                <w:sz w:val="22"/>
                <w:szCs w:val="22"/>
              </w:rPr>
              <w:t xml:space="preserve">  </w:t>
            </w:r>
          </w:p>
          <w:p w:rsidR="00CE0DBC" w:rsidRDefault="00CE0DBC" w:rsidP="00872194">
            <w:pPr>
              <w:rPr>
                <w:rFonts w:ascii="Arial" w:hAnsi="Arial" w:cs="Arial"/>
                <w:sz w:val="22"/>
                <w:szCs w:val="22"/>
              </w:rPr>
            </w:pPr>
          </w:p>
          <w:p w:rsidR="00216538" w:rsidRDefault="0034466D" w:rsidP="00216538">
            <w:pPr>
              <w:pStyle w:val="ListParagraph"/>
              <w:numPr>
                <w:ilvl w:val="0"/>
                <w:numId w:val="4"/>
              </w:numPr>
              <w:rPr>
                <w:rFonts w:ascii="Arial" w:hAnsi="Arial" w:cs="Arial"/>
                <w:sz w:val="22"/>
                <w:szCs w:val="22"/>
              </w:rPr>
            </w:pPr>
            <w:r w:rsidRPr="00216538">
              <w:rPr>
                <w:rFonts w:ascii="Arial" w:hAnsi="Arial" w:cs="Arial"/>
                <w:sz w:val="22"/>
                <w:szCs w:val="22"/>
              </w:rPr>
              <w:t xml:space="preserve">Review new </w:t>
            </w:r>
            <w:proofErr w:type="spellStart"/>
            <w:r w:rsidR="00FA5F01" w:rsidRPr="00216538">
              <w:rPr>
                <w:rFonts w:ascii="Arial" w:hAnsi="Arial" w:cs="Arial"/>
                <w:b/>
                <w:sz w:val="22"/>
                <w:szCs w:val="22"/>
              </w:rPr>
              <w:t>DxH</w:t>
            </w:r>
            <w:proofErr w:type="spellEnd"/>
            <w:r w:rsidR="00FA5F01" w:rsidRPr="00216538">
              <w:rPr>
                <w:rFonts w:ascii="Arial" w:hAnsi="Arial" w:cs="Arial"/>
                <w:b/>
                <w:sz w:val="22"/>
                <w:szCs w:val="22"/>
              </w:rPr>
              <w:t xml:space="preserve"> Inventory supplies printout</w:t>
            </w:r>
            <w:r w:rsidR="00FA5F01" w:rsidRPr="00216538">
              <w:rPr>
                <w:rFonts w:ascii="Arial" w:hAnsi="Arial" w:cs="Arial"/>
                <w:sz w:val="22"/>
                <w:szCs w:val="22"/>
              </w:rPr>
              <w:t xml:space="preserve"> </w:t>
            </w:r>
            <w:r w:rsidRPr="00216538">
              <w:rPr>
                <w:rFonts w:ascii="Arial" w:hAnsi="Arial" w:cs="Arial"/>
                <w:sz w:val="22"/>
                <w:szCs w:val="22"/>
              </w:rPr>
              <w:t xml:space="preserve">and check if new </w:t>
            </w:r>
            <w:r w:rsidR="002725A4" w:rsidRPr="00216538">
              <w:rPr>
                <w:rFonts w:ascii="Arial" w:hAnsi="Arial" w:cs="Arial"/>
                <w:sz w:val="22"/>
                <w:szCs w:val="22"/>
              </w:rPr>
              <w:t xml:space="preserve">reagent </w:t>
            </w:r>
            <w:r w:rsidRPr="00216538">
              <w:rPr>
                <w:rFonts w:ascii="Arial" w:hAnsi="Arial" w:cs="Arial"/>
                <w:sz w:val="22"/>
                <w:szCs w:val="22"/>
              </w:rPr>
              <w:t xml:space="preserve">supplies </w:t>
            </w:r>
            <w:r w:rsidR="002725A4" w:rsidRPr="00216538">
              <w:rPr>
                <w:rFonts w:ascii="Arial" w:hAnsi="Arial" w:cs="Arial"/>
                <w:sz w:val="22"/>
                <w:szCs w:val="22"/>
              </w:rPr>
              <w:t xml:space="preserve">loaded </w:t>
            </w:r>
            <w:r w:rsidRPr="00216538">
              <w:rPr>
                <w:rFonts w:ascii="Arial" w:hAnsi="Arial" w:cs="Arial"/>
                <w:sz w:val="22"/>
                <w:szCs w:val="22"/>
              </w:rPr>
              <w:t xml:space="preserve">has a new lot compared to the previous </w:t>
            </w:r>
            <w:proofErr w:type="spellStart"/>
            <w:r w:rsidR="00FA5F01" w:rsidRPr="00216538">
              <w:rPr>
                <w:rFonts w:ascii="Arial" w:hAnsi="Arial" w:cs="Arial"/>
                <w:b/>
                <w:sz w:val="22"/>
                <w:szCs w:val="22"/>
              </w:rPr>
              <w:t>DxH</w:t>
            </w:r>
            <w:proofErr w:type="spellEnd"/>
            <w:r w:rsidR="00FA5F01" w:rsidRPr="00216538">
              <w:rPr>
                <w:rFonts w:ascii="Arial" w:hAnsi="Arial" w:cs="Arial"/>
                <w:b/>
                <w:sz w:val="22"/>
                <w:szCs w:val="22"/>
              </w:rPr>
              <w:t xml:space="preserve"> Inventory supplies printout</w:t>
            </w:r>
            <w:r w:rsidR="002725A4" w:rsidRPr="00216538">
              <w:rPr>
                <w:rFonts w:ascii="Arial" w:hAnsi="Arial" w:cs="Arial"/>
                <w:sz w:val="22"/>
                <w:szCs w:val="22"/>
              </w:rPr>
              <w:t>.</w:t>
            </w:r>
            <w:r w:rsidR="00216538" w:rsidRPr="00216538">
              <w:rPr>
                <w:rFonts w:ascii="Arial" w:hAnsi="Arial" w:cs="Arial"/>
                <w:sz w:val="22"/>
                <w:szCs w:val="22"/>
              </w:rPr>
              <w:t xml:space="preserve"> </w:t>
            </w:r>
          </w:p>
          <w:p w:rsidR="00216538" w:rsidRDefault="00216538" w:rsidP="00216538">
            <w:pPr>
              <w:pStyle w:val="ListParagraph"/>
              <w:numPr>
                <w:ilvl w:val="0"/>
                <w:numId w:val="4"/>
              </w:numPr>
              <w:rPr>
                <w:rFonts w:ascii="Arial" w:hAnsi="Arial" w:cs="Arial"/>
                <w:sz w:val="22"/>
                <w:szCs w:val="22"/>
              </w:rPr>
            </w:pPr>
            <w:r w:rsidRPr="00216538">
              <w:rPr>
                <w:rFonts w:ascii="Arial" w:hAnsi="Arial" w:cs="Arial"/>
                <w:sz w:val="22"/>
                <w:szCs w:val="22"/>
              </w:rPr>
              <w:t xml:space="preserve">Review if reagent is a new shipment, container will have a sticker </w:t>
            </w:r>
            <w:r w:rsidRPr="00216538">
              <w:rPr>
                <w:rFonts w:ascii="Arial" w:hAnsi="Arial" w:cs="Arial"/>
                <w:b/>
                <w:sz w:val="22"/>
                <w:szCs w:val="22"/>
              </w:rPr>
              <w:t>“New shipment QC prior to use”</w:t>
            </w:r>
            <w:r>
              <w:rPr>
                <w:rFonts w:ascii="Arial" w:hAnsi="Arial" w:cs="Arial"/>
                <w:sz w:val="22"/>
                <w:szCs w:val="22"/>
              </w:rPr>
              <w:t xml:space="preserve"> which will be monitored by Hematology and Laboratory Unit Managers.</w:t>
            </w:r>
            <w:r w:rsidR="0055498E" w:rsidRPr="00216538">
              <w:rPr>
                <w:rFonts w:ascii="Arial" w:hAnsi="Arial" w:cs="Arial"/>
                <w:sz w:val="22"/>
                <w:szCs w:val="22"/>
              </w:rPr>
              <w:t xml:space="preserve"> </w:t>
            </w:r>
          </w:p>
          <w:p w:rsidR="0034466D" w:rsidRPr="00216538" w:rsidRDefault="0055498E" w:rsidP="00216538">
            <w:pPr>
              <w:ind w:left="360"/>
              <w:rPr>
                <w:rFonts w:ascii="Arial" w:hAnsi="Arial" w:cs="Arial"/>
                <w:sz w:val="22"/>
                <w:szCs w:val="22"/>
              </w:rPr>
            </w:pPr>
            <w:r w:rsidRPr="00216538">
              <w:rPr>
                <w:rFonts w:ascii="Arial" w:hAnsi="Arial" w:cs="Arial"/>
                <w:sz w:val="22"/>
                <w:szCs w:val="22"/>
              </w:rPr>
              <w:t xml:space="preserve">See </w:t>
            </w:r>
            <w:r w:rsidRPr="00216538">
              <w:rPr>
                <w:rFonts w:ascii="Arial" w:hAnsi="Arial" w:cs="Arial"/>
                <w:b/>
                <w:sz w:val="22"/>
                <w:szCs w:val="22"/>
              </w:rPr>
              <w:t>Attachment R1 and R2</w:t>
            </w:r>
          </w:p>
          <w:tbl>
            <w:tblPr>
              <w:tblStyle w:val="TableGrid"/>
              <w:tblW w:w="0" w:type="auto"/>
              <w:tblLayout w:type="fixed"/>
              <w:tblLook w:val="04A0" w:firstRow="1" w:lastRow="0" w:firstColumn="1" w:lastColumn="0" w:noHBand="0" w:noVBand="1"/>
            </w:tblPr>
            <w:tblGrid>
              <w:gridCol w:w="3222"/>
              <w:gridCol w:w="3222"/>
            </w:tblGrid>
            <w:tr w:rsidR="002725A4" w:rsidTr="002725A4">
              <w:tc>
                <w:tcPr>
                  <w:tcW w:w="3222" w:type="dxa"/>
                </w:tcPr>
                <w:p w:rsidR="002725A4" w:rsidRDefault="002725A4" w:rsidP="002725A4">
                  <w:pPr>
                    <w:rPr>
                      <w:rFonts w:ascii="Arial" w:hAnsi="Arial" w:cs="Arial"/>
                      <w:sz w:val="22"/>
                      <w:szCs w:val="22"/>
                    </w:rPr>
                  </w:pPr>
                  <w:r>
                    <w:rPr>
                      <w:rFonts w:ascii="Arial" w:hAnsi="Arial" w:cs="Arial"/>
                      <w:sz w:val="22"/>
                      <w:szCs w:val="22"/>
                    </w:rPr>
                    <w:t xml:space="preserve">If lot number of reagent loaded is the </w:t>
                  </w:r>
                  <w:r w:rsidRPr="00100640">
                    <w:rPr>
                      <w:rFonts w:ascii="Arial" w:hAnsi="Arial" w:cs="Arial"/>
                      <w:b/>
                      <w:sz w:val="22"/>
                      <w:szCs w:val="22"/>
                    </w:rPr>
                    <w:t>same lot</w:t>
                  </w:r>
                  <w:r>
                    <w:rPr>
                      <w:rFonts w:ascii="Arial" w:hAnsi="Arial" w:cs="Arial"/>
                      <w:sz w:val="22"/>
                      <w:szCs w:val="22"/>
                    </w:rPr>
                    <w:t>…</w:t>
                  </w:r>
                </w:p>
              </w:tc>
              <w:tc>
                <w:tcPr>
                  <w:tcW w:w="3222" w:type="dxa"/>
                </w:tcPr>
                <w:p w:rsidR="002725A4" w:rsidRDefault="002725A4" w:rsidP="002725A4">
                  <w:pPr>
                    <w:rPr>
                      <w:rFonts w:ascii="Arial" w:hAnsi="Arial" w:cs="Arial"/>
                      <w:sz w:val="22"/>
                      <w:szCs w:val="22"/>
                    </w:rPr>
                  </w:pPr>
                  <w:r>
                    <w:rPr>
                      <w:rFonts w:ascii="Arial" w:hAnsi="Arial" w:cs="Arial"/>
                      <w:sz w:val="22"/>
                      <w:szCs w:val="22"/>
                    </w:rPr>
                    <w:t xml:space="preserve">If lot number of reagent loaded is a </w:t>
                  </w:r>
                  <w:r w:rsidRPr="00100640">
                    <w:rPr>
                      <w:rFonts w:ascii="Arial" w:hAnsi="Arial" w:cs="Arial"/>
                      <w:b/>
                      <w:sz w:val="22"/>
                      <w:szCs w:val="22"/>
                    </w:rPr>
                    <w:t>new lot</w:t>
                  </w:r>
                  <w:r w:rsidR="00216538">
                    <w:rPr>
                      <w:rFonts w:ascii="Arial" w:hAnsi="Arial" w:cs="Arial"/>
                      <w:b/>
                      <w:sz w:val="22"/>
                      <w:szCs w:val="22"/>
                    </w:rPr>
                    <w:t xml:space="preserve"> </w:t>
                  </w:r>
                  <w:r w:rsidR="00216538">
                    <w:rPr>
                      <w:rFonts w:ascii="Arial" w:hAnsi="Arial" w:cs="Arial"/>
                      <w:sz w:val="22"/>
                      <w:szCs w:val="22"/>
                    </w:rPr>
                    <w:t>or</w:t>
                  </w:r>
                  <w:r w:rsidR="0047049B">
                    <w:rPr>
                      <w:rFonts w:ascii="Arial" w:hAnsi="Arial" w:cs="Arial"/>
                      <w:b/>
                      <w:sz w:val="22"/>
                      <w:szCs w:val="22"/>
                    </w:rPr>
                    <w:t xml:space="preserve"> new shipment</w:t>
                  </w:r>
                  <w:r>
                    <w:rPr>
                      <w:rFonts w:ascii="Arial" w:hAnsi="Arial" w:cs="Arial"/>
                      <w:sz w:val="22"/>
                      <w:szCs w:val="22"/>
                    </w:rPr>
                    <w:t>…</w:t>
                  </w:r>
                </w:p>
              </w:tc>
            </w:tr>
            <w:tr w:rsidR="002725A4" w:rsidTr="002725A4">
              <w:tc>
                <w:tcPr>
                  <w:tcW w:w="3222" w:type="dxa"/>
                </w:tcPr>
                <w:p w:rsidR="002725A4" w:rsidRPr="002725A4" w:rsidRDefault="002725A4" w:rsidP="00A34FE7">
                  <w:pPr>
                    <w:pStyle w:val="ListParagraph"/>
                    <w:numPr>
                      <w:ilvl w:val="0"/>
                      <w:numId w:val="6"/>
                    </w:numPr>
                    <w:ind w:left="304"/>
                    <w:rPr>
                      <w:rFonts w:ascii="Arial" w:hAnsi="Arial" w:cs="Arial"/>
                      <w:b/>
                      <w:sz w:val="22"/>
                      <w:szCs w:val="22"/>
                    </w:rPr>
                  </w:pPr>
                  <w:r w:rsidRPr="002725A4">
                    <w:rPr>
                      <w:rFonts w:ascii="Arial" w:hAnsi="Arial" w:cs="Arial"/>
                      <w:sz w:val="22"/>
                      <w:szCs w:val="22"/>
                    </w:rPr>
                    <w:t xml:space="preserve">Note in the new </w:t>
                  </w:r>
                  <w:proofErr w:type="spellStart"/>
                  <w:r w:rsidR="00FA5F01" w:rsidRPr="002725A4">
                    <w:rPr>
                      <w:rFonts w:ascii="Arial" w:hAnsi="Arial" w:cs="Arial"/>
                      <w:b/>
                      <w:sz w:val="22"/>
                      <w:szCs w:val="22"/>
                    </w:rPr>
                    <w:t>DxH</w:t>
                  </w:r>
                  <w:proofErr w:type="spellEnd"/>
                  <w:r w:rsidR="00FA5F01" w:rsidRPr="002725A4">
                    <w:rPr>
                      <w:rFonts w:ascii="Arial" w:hAnsi="Arial" w:cs="Arial"/>
                      <w:b/>
                      <w:sz w:val="22"/>
                      <w:szCs w:val="22"/>
                    </w:rPr>
                    <w:t xml:space="preserve"> </w:t>
                  </w:r>
                  <w:r w:rsidRPr="002725A4">
                    <w:rPr>
                      <w:rFonts w:ascii="Arial" w:hAnsi="Arial" w:cs="Arial"/>
                      <w:b/>
                      <w:sz w:val="22"/>
                      <w:szCs w:val="22"/>
                    </w:rPr>
                    <w:t>Inventory supplies printout</w:t>
                  </w:r>
                  <w:r>
                    <w:rPr>
                      <w:rFonts w:ascii="Arial" w:hAnsi="Arial" w:cs="Arial"/>
                      <w:b/>
                      <w:sz w:val="22"/>
                      <w:szCs w:val="22"/>
                    </w:rPr>
                    <w:t xml:space="preserve"> </w:t>
                  </w:r>
                  <w:r w:rsidRPr="002725A4">
                    <w:rPr>
                      <w:rFonts w:ascii="Arial" w:hAnsi="Arial" w:cs="Arial"/>
                      <w:b/>
                      <w:sz w:val="22"/>
                      <w:szCs w:val="22"/>
                    </w:rPr>
                    <w:t>“Same lot</w:t>
                  </w:r>
                  <w:r w:rsidR="00F31DB3">
                    <w:rPr>
                      <w:rFonts w:ascii="Arial" w:hAnsi="Arial" w:cs="Arial"/>
                      <w:b/>
                      <w:sz w:val="22"/>
                      <w:szCs w:val="22"/>
                    </w:rPr>
                    <w:t xml:space="preserve"> number</w:t>
                  </w:r>
                  <w:r w:rsidRPr="002725A4">
                    <w:rPr>
                      <w:rFonts w:ascii="Arial" w:hAnsi="Arial" w:cs="Arial"/>
                      <w:b/>
                      <w:sz w:val="22"/>
                      <w:szCs w:val="22"/>
                    </w:rPr>
                    <w:t xml:space="preserve">” </w:t>
                  </w:r>
                  <w:r w:rsidRPr="002725A4">
                    <w:rPr>
                      <w:rFonts w:ascii="Arial" w:hAnsi="Arial" w:cs="Arial"/>
                      <w:sz w:val="22"/>
                      <w:szCs w:val="22"/>
                    </w:rPr>
                    <w:t>with initial &amp; date</w:t>
                  </w:r>
                  <w:r>
                    <w:rPr>
                      <w:rFonts w:ascii="Arial" w:hAnsi="Arial" w:cs="Arial"/>
                      <w:sz w:val="22"/>
                      <w:szCs w:val="22"/>
                    </w:rPr>
                    <w:t>.</w:t>
                  </w:r>
                </w:p>
                <w:p w:rsidR="002725A4" w:rsidRPr="002725A4" w:rsidRDefault="002725A4" w:rsidP="00AB3B64">
                  <w:pPr>
                    <w:pStyle w:val="ListParagraph"/>
                    <w:numPr>
                      <w:ilvl w:val="0"/>
                      <w:numId w:val="6"/>
                    </w:numPr>
                    <w:ind w:left="304"/>
                    <w:rPr>
                      <w:rFonts w:ascii="Arial" w:hAnsi="Arial" w:cs="Arial"/>
                      <w:b/>
                      <w:sz w:val="22"/>
                      <w:szCs w:val="22"/>
                    </w:rPr>
                  </w:pPr>
                  <w:r>
                    <w:rPr>
                      <w:rFonts w:ascii="Arial" w:hAnsi="Arial" w:cs="Arial"/>
                      <w:sz w:val="22"/>
                      <w:szCs w:val="22"/>
                    </w:rPr>
                    <w:t xml:space="preserve">File new printout in the </w:t>
                  </w:r>
                  <w:proofErr w:type="spellStart"/>
                  <w:r w:rsidR="00AB3B64">
                    <w:rPr>
                      <w:rFonts w:ascii="Arial" w:hAnsi="Arial" w:cs="Arial"/>
                      <w:b/>
                      <w:sz w:val="22"/>
                      <w:szCs w:val="22"/>
                    </w:rPr>
                    <w:t>DxH</w:t>
                  </w:r>
                  <w:proofErr w:type="spellEnd"/>
                  <w:r w:rsidR="00AB3B64">
                    <w:rPr>
                      <w:rFonts w:ascii="Arial" w:hAnsi="Arial" w:cs="Arial"/>
                      <w:b/>
                      <w:sz w:val="22"/>
                      <w:szCs w:val="22"/>
                    </w:rPr>
                    <w:t xml:space="preserve"> Instrument</w:t>
                  </w:r>
                  <w:r w:rsidR="00FA5F01" w:rsidRPr="00FA5F01">
                    <w:rPr>
                      <w:rFonts w:ascii="Arial" w:hAnsi="Arial" w:cs="Arial"/>
                      <w:b/>
                      <w:sz w:val="22"/>
                      <w:szCs w:val="22"/>
                    </w:rPr>
                    <w:t xml:space="preserve"> </w:t>
                  </w:r>
                  <w:r w:rsidRPr="00FA5F01">
                    <w:rPr>
                      <w:rFonts w:ascii="Arial" w:hAnsi="Arial" w:cs="Arial"/>
                      <w:b/>
                      <w:sz w:val="22"/>
                      <w:szCs w:val="22"/>
                    </w:rPr>
                    <w:t>Supplies binder</w:t>
                  </w:r>
                  <w:r>
                    <w:rPr>
                      <w:rFonts w:ascii="Arial" w:hAnsi="Arial" w:cs="Arial"/>
                      <w:sz w:val="22"/>
                      <w:szCs w:val="22"/>
                    </w:rPr>
                    <w:t>.</w:t>
                  </w:r>
                </w:p>
              </w:tc>
              <w:tc>
                <w:tcPr>
                  <w:tcW w:w="3222" w:type="dxa"/>
                </w:tcPr>
                <w:p w:rsidR="007B1AA1" w:rsidRPr="00100640" w:rsidRDefault="007B1AA1" w:rsidP="00A34FE7">
                  <w:pPr>
                    <w:pStyle w:val="ListParagraph"/>
                    <w:numPr>
                      <w:ilvl w:val="0"/>
                      <w:numId w:val="7"/>
                    </w:numPr>
                    <w:ind w:left="322"/>
                    <w:rPr>
                      <w:rFonts w:ascii="Arial" w:hAnsi="Arial" w:cs="Arial"/>
                      <w:b/>
                      <w:sz w:val="22"/>
                      <w:szCs w:val="22"/>
                    </w:rPr>
                  </w:pPr>
                  <w:r w:rsidRPr="00100640">
                    <w:rPr>
                      <w:rFonts w:ascii="Arial" w:hAnsi="Arial" w:cs="Arial"/>
                      <w:b/>
                      <w:sz w:val="22"/>
                      <w:szCs w:val="22"/>
                    </w:rPr>
                    <w:t xml:space="preserve">Perform </w:t>
                  </w:r>
                  <w:r w:rsidR="00FA6A88">
                    <w:rPr>
                      <w:rFonts w:ascii="Arial" w:hAnsi="Arial" w:cs="Arial"/>
                      <w:b/>
                      <w:sz w:val="22"/>
                      <w:szCs w:val="22"/>
                    </w:rPr>
                    <w:t>Level 1</w:t>
                  </w:r>
                  <w:r w:rsidRPr="00100640">
                    <w:rPr>
                      <w:rFonts w:ascii="Arial" w:hAnsi="Arial" w:cs="Arial"/>
                      <w:b/>
                      <w:sz w:val="22"/>
                      <w:szCs w:val="22"/>
                    </w:rPr>
                    <w:t xml:space="preserve"> QC </w:t>
                  </w:r>
                </w:p>
                <w:p w:rsidR="002725A4" w:rsidRPr="007B1AA1" w:rsidRDefault="007B1AA1" w:rsidP="007B1AA1">
                  <w:pPr>
                    <w:ind w:left="-38"/>
                    <w:rPr>
                      <w:rFonts w:ascii="Arial" w:hAnsi="Arial" w:cs="Arial"/>
                      <w:sz w:val="22"/>
                      <w:szCs w:val="22"/>
                    </w:rPr>
                  </w:pPr>
                  <w:r>
                    <w:rPr>
                      <w:rFonts w:ascii="Arial" w:hAnsi="Arial" w:cs="Arial"/>
                      <w:sz w:val="22"/>
                      <w:szCs w:val="22"/>
                    </w:rPr>
                    <w:t xml:space="preserve">  a. </w:t>
                  </w:r>
                  <w:r w:rsidRPr="007B1AA1">
                    <w:rPr>
                      <w:rFonts w:ascii="Arial" w:hAnsi="Arial" w:cs="Arial"/>
                      <w:sz w:val="22"/>
                      <w:szCs w:val="22"/>
                    </w:rPr>
                    <w:t>6C QC</w:t>
                  </w:r>
                  <w:r>
                    <w:rPr>
                      <w:rFonts w:ascii="Arial" w:hAnsi="Arial" w:cs="Arial"/>
                      <w:sz w:val="22"/>
                      <w:szCs w:val="22"/>
                    </w:rPr>
                    <w:t xml:space="preserve"> for all reagents </w:t>
                  </w:r>
                  <w:r w:rsidRPr="007B1AA1">
                    <w:rPr>
                      <w:rFonts w:ascii="Arial" w:hAnsi="Arial" w:cs="Arial"/>
                      <w:sz w:val="22"/>
                      <w:szCs w:val="22"/>
                    </w:rPr>
                    <w:t xml:space="preserve">except </w:t>
                  </w:r>
                  <w:proofErr w:type="spellStart"/>
                  <w:r w:rsidRPr="007B1AA1">
                    <w:rPr>
                      <w:rFonts w:ascii="Arial" w:hAnsi="Arial" w:cs="Arial"/>
                      <w:sz w:val="22"/>
                      <w:szCs w:val="22"/>
                    </w:rPr>
                    <w:t>Retic</w:t>
                  </w:r>
                  <w:proofErr w:type="spellEnd"/>
                  <w:r w:rsidRPr="007B1AA1">
                    <w:rPr>
                      <w:rFonts w:ascii="Arial" w:hAnsi="Arial" w:cs="Arial"/>
                      <w:sz w:val="22"/>
                      <w:szCs w:val="22"/>
                    </w:rPr>
                    <w:t xml:space="preserve"> Pack</w:t>
                  </w:r>
                  <w:r>
                    <w:rPr>
                      <w:rFonts w:ascii="Arial" w:hAnsi="Arial" w:cs="Arial"/>
                      <w:sz w:val="22"/>
                      <w:szCs w:val="22"/>
                    </w:rPr>
                    <w:t>.</w:t>
                  </w:r>
                </w:p>
                <w:p w:rsidR="007B1AA1" w:rsidRDefault="007B1AA1" w:rsidP="007B1AA1">
                  <w:pPr>
                    <w:rPr>
                      <w:rFonts w:ascii="Arial" w:hAnsi="Arial" w:cs="Arial"/>
                      <w:sz w:val="22"/>
                      <w:szCs w:val="22"/>
                    </w:rPr>
                  </w:pPr>
                  <w:r>
                    <w:rPr>
                      <w:rFonts w:ascii="Arial" w:hAnsi="Arial" w:cs="Arial"/>
                      <w:sz w:val="22"/>
                      <w:szCs w:val="22"/>
                    </w:rPr>
                    <w:t xml:space="preserve">  b. </w:t>
                  </w:r>
                  <w:proofErr w:type="spellStart"/>
                  <w:r>
                    <w:rPr>
                      <w:rFonts w:ascii="Arial" w:hAnsi="Arial" w:cs="Arial"/>
                      <w:sz w:val="22"/>
                      <w:szCs w:val="22"/>
                    </w:rPr>
                    <w:t>Retic</w:t>
                  </w:r>
                  <w:proofErr w:type="spellEnd"/>
                  <w:r>
                    <w:rPr>
                      <w:rFonts w:ascii="Arial" w:hAnsi="Arial" w:cs="Arial"/>
                      <w:sz w:val="22"/>
                      <w:szCs w:val="22"/>
                    </w:rPr>
                    <w:t xml:space="preserve">-X QC for </w:t>
                  </w:r>
                  <w:proofErr w:type="spellStart"/>
                  <w:r>
                    <w:rPr>
                      <w:rFonts w:ascii="Arial" w:hAnsi="Arial" w:cs="Arial"/>
                      <w:sz w:val="22"/>
                      <w:szCs w:val="22"/>
                    </w:rPr>
                    <w:t>Retic</w:t>
                  </w:r>
                  <w:proofErr w:type="spellEnd"/>
                  <w:r>
                    <w:rPr>
                      <w:rFonts w:ascii="Arial" w:hAnsi="Arial" w:cs="Arial"/>
                      <w:sz w:val="22"/>
                      <w:szCs w:val="22"/>
                    </w:rPr>
                    <w:t xml:space="preserve"> Pack.</w:t>
                  </w:r>
                </w:p>
                <w:p w:rsidR="00FA5F01" w:rsidRDefault="007B1AA1" w:rsidP="00A34FE7">
                  <w:pPr>
                    <w:pStyle w:val="ListParagraph"/>
                    <w:numPr>
                      <w:ilvl w:val="0"/>
                      <w:numId w:val="7"/>
                    </w:numPr>
                    <w:ind w:left="322"/>
                    <w:rPr>
                      <w:rFonts w:ascii="Arial" w:hAnsi="Arial" w:cs="Arial"/>
                      <w:sz w:val="22"/>
                      <w:szCs w:val="22"/>
                    </w:rPr>
                  </w:pPr>
                  <w:r>
                    <w:rPr>
                      <w:rFonts w:ascii="Arial" w:hAnsi="Arial" w:cs="Arial"/>
                      <w:sz w:val="22"/>
                      <w:szCs w:val="22"/>
                    </w:rPr>
                    <w:t xml:space="preserve">If QC passes, note in the </w:t>
                  </w:r>
                  <w:r w:rsidRPr="002725A4">
                    <w:rPr>
                      <w:rFonts w:ascii="Arial" w:hAnsi="Arial" w:cs="Arial"/>
                      <w:sz w:val="22"/>
                      <w:szCs w:val="22"/>
                    </w:rPr>
                    <w:t xml:space="preserve">new </w:t>
                  </w:r>
                  <w:proofErr w:type="spellStart"/>
                  <w:r w:rsidR="00FA5F01" w:rsidRPr="002725A4">
                    <w:rPr>
                      <w:rFonts w:ascii="Arial" w:hAnsi="Arial" w:cs="Arial"/>
                      <w:b/>
                      <w:sz w:val="22"/>
                      <w:szCs w:val="22"/>
                    </w:rPr>
                    <w:t>DxH</w:t>
                  </w:r>
                  <w:proofErr w:type="spellEnd"/>
                  <w:r w:rsidR="00FA5F01" w:rsidRPr="002725A4">
                    <w:rPr>
                      <w:rFonts w:ascii="Arial" w:hAnsi="Arial" w:cs="Arial"/>
                      <w:b/>
                      <w:sz w:val="22"/>
                      <w:szCs w:val="22"/>
                    </w:rPr>
                    <w:t xml:space="preserve"> </w:t>
                  </w:r>
                  <w:r w:rsidR="00AB3B64">
                    <w:rPr>
                      <w:rFonts w:ascii="Arial" w:hAnsi="Arial" w:cs="Arial"/>
                      <w:b/>
                      <w:sz w:val="22"/>
                      <w:szCs w:val="22"/>
                    </w:rPr>
                    <w:t xml:space="preserve">Instrument </w:t>
                  </w:r>
                  <w:bookmarkStart w:id="0" w:name="_GoBack"/>
                  <w:bookmarkEnd w:id="0"/>
                  <w:r w:rsidR="00FA5F01" w:rsidRPr="002725A4">
                    <w:rPr>
                      <w:rFonts w:ascii="Arial" w:hAnsi="Arial" w:cs="Arial"/>
                      <w:b/>
                      <w:sz w:val="22"/>
                      <w:szCs w:val="22"/>
                    </w:rPr>
                    <w:t>supplies printout</w:t>
                  </w:r>
                  <w:r w:rsidR="00FA5F01">
                    <w:rPr>
                      <w:rFonts w:ascii="Arial" w:hAnsi="Arial" w:cs="Arial"/>
                      <w:b/>
                      <w:sz w:val="22"/>
                      <w:szCs w:val="22"/>
                    </w:rPr>
                    <w:t xml:space="preserve"> </w:t>
                  </w:r>
                  <w:r>
                    <w:rPr>
                      <w:rFonts w:ascii="Arial" w:hAnsi="Arial" w:cs="Arial"/>
                      <w:b/>
                      <w:sz w:val="22"/>
                      <w:szCs w:val="22"/>
                    </w:rPr>
                    <w:t xml:space="preserve">“New lot </w:t>
                  </w:r>
                  <w:r w:rsidR="00F31DB3">
                    <w:rPr>
                      <w:rFonts w:ascii="Arial" w:hAnsi="Arial" w:cs="Arial"/>
                      <w:b/>
                      <w:sz w:val="22"/>
                      <w:szCs w:val="22"/>
                    </w:rPr>
                    <w:t>number</w:t>
                  </w:r>
                  <w:r w:rsidR="00B11923">
                    <w:rPr>
                      <w:rFonts w:ascii="Arial" w:hAnsi="Arial" w:cs="Arial"/>
                      <w:b/>
                      <w:sz w:val="22"/>
                      <w:szCs w:val="22"/>
                    </w:rPr>
                    <w:t xml:space="preserve"> </w:t>
                  </w:r>
                  <w:r w:rsidR="00B11923" w:rsidRPr="00B11923">
                    <w:rPr>
                      <w:rFonts w:ascii="Arial" w:hAnsi="Arial" w:cs="Arial"/>
                      <w:sz w:val="22"/>
                      <w:szCs w:val="22"/>
                    </w:rPr>
                    <w:t>or</w:t>
                  </w:r>
                  <w:r w:rsidR="00B11923" w:rsidRPr="00B11923">
                    <w:rPr>
                      <w:rFonts w:ascii="Arial" w:hAnsi="Arial" w:cs="Arial"/>
                      <w:b/>
                      <w:sz w:val="22"/>
                      <w:szCs w:val="22"/>
                    </w:rPr>
                    <w:t xml:space="preserve"> New shipment</w:t>
                  </w:r>
                  <w:r w:rsidR="00F31DB3">
                    <w:rPr>
                      <w:rFonts w:ascii="Arial" w:hAnsi="Arial" w:cs="Arial"/>
                      <w:b/>
                      <w:sz w:val="22"/>
                      <w:szCs w:val="22"/>
                    </w:rPr>
                    <w:t xml:space="preserve"> </w:t>
                  </w:r>
                  <w:r>
                    <w:rPr>
                      <w:rFonts w:ascii="Arial" w:hAnsi="Arial" w:cs="Arial"/>
                      <w:b/>
                      <w:sz w:val="22"/>
                      <w:szCs w:val="22"/>
                    </w:rPr>
                    <w:t xml:space="preserve">for </w:t>
                  </w:r>
                  <w:r w:rsidR="00B11923">
                    <w:rPr>
                      <w:rFonts w:ascii="Arial" w:hAnsi="Arial" w:cs="Arial"/>
                      <w:b/>
                      <w:sz w:val="22"/>
                      <w:szCs w:val="22"/>
                      <w:u w:val="single"/>
                    </w:rPr>
                    <w:t>(reagent</w:t>
                  </w:r>
                  <w:r>
                    <w:rPr>
                      <w:rFonts w:ascii="Arial" w:hAnsi="Arial" w:cs="Arial"/>
                      <w:b/>
                      <w:sz w:val="22"/>
                      <w:szCs w:val="22"/>
                      <w:u w:val="single"/>
                    </w:rPr>
                    <w:t xml:space="preserve"> name),</w:t>
                  </w:r>
                  <w:r>
                    <w:rPr>
                      <w:rFonts w:ascii="Arial" w:hAnsi="Arial" w:cs="Arial"/>
                      <w:b/>
                      <w:sz w:val="22"/>
                      <w:szCs w:val="22"/>
                    </w:rPr>
                    <w:t xml:space="preserve"> QC</w:t>
                  </w:r>
                  <w:r w:rsidR="00100640">
                    <w:rPr>
                      <w:rFonts w:ascii="Arial" w:hAnsi="Arial" w:cs="Arial"/>
                      <w:b/>
                      <w:sz w:val="22"/>
                      <w:szCs w:val="22"/>
                    </w:rPr>
                    <w:t xml:space="preserve"> performed and</w:t>
                  </w:r>
                  <w:r>
                    <w:rPr>
                      <w:rFonts w:ascii="Arial" w:hAnsi="Arial" w:cs="Arial"/>
                      <w:b/>
                      <w:sz w:val="22"/>
                      <w:szCs w:val="22"/>
                    </w:rPr>
                    <w:t xml:space="preserve"> acceptable” </w:t>
                  </w:r>
                  <w:r>
                    <w:rPr>
                      <w:rFonts w:ascii="Arial" w:hAnsi="Arial" w:cs="Arial"/>
                      <w:sz w:val="22"/>
                      <w:szCs w:val="22"/>
                    </w:rPr>
                    <w:t>with initial &amp; date.</w:t>
                  </w:r>
                </w:p>
                <w:p w:rsidR="00FA6A88" w:rsidRDefault="00FA6A88" w:rsidP="00A34FE7">
                  <w:pPr>
                    <w:pStyle w:val="ListParagraph"/>
                    <w:numPr>
                      <w:ilvl w:val="0"/>
                      <w:numId w:val="7"/>
                    </w:numPr>
                    <w:ind w:left="322"/>
                    <w:rPr>
                      <w:rFonts w:ascii="Arial" w:hAnsi="Arial" w:cs="Arial"/>
                      <w:sz w:val="22"/>
                      <w:szCs w:val="22"/>
                    </w:rPr>
                  </w:pPr>
                  <w:r>
                    <w:rPr>
                      <w:rFonts w:ascii="Arial" w:hAnsi="Arial" w:cs="Arial"/>
                      <w:sz w:val="22"/>
                      <w:szCs w:val="22"/>
                    </w:rPr>
                    <w:t xml:space="preserve">If </w:t>
                  </w:r>
                  <w:r w:rsidRPr="00FA6A88">
                    <w:rPr>
                      <w:rFonts w:ascii="Arial" w:hAnsi="Arial" w:cs="Arial"/>
                      <w:sz w:val="22"/>
                      <w:szCs w:val="22"/>
                    </w:rPr>
                    <w:t>QC fails, follow QC protocol on procedure LAMC-PPP-0277 for troubleshooting.</w:t>
                  </w:r>
                </w:p>
                <w:p w:rsidR="00FA5F01" w:rsidRPr="00FA6A88" w:rsidRDefault="007B1AA1" w:rsidP="00AB3B64">
                  <w:pPr>
                    <w:pStyle w:val="ListParagraph"/>
                    <w:numPr>
                      <w:ilvl w:val="0"/>
                      <w:numId w:val="7"/>
                    </w:numPr>
                    <w:ind w:left="322"/>
                    <w:rPr>
                      <w:rFonts w:ascii="Arial" w:hAnsi="Arial" w:cs="Arial"/>
                      <w:sz w:val="22"/>
                      <w:szCs w:val="22"/>
                    </w:rPr>
                  </w:pPr>
                  <w:r>
                    <w:rPr>
                      <w:rFonts w:ascii="Arial" w:hAnsi="Arial" w:cs="Arial"/>
                      <w:sz w:val="22"/>
                      <w:szCs w:val="22"/>
                    </w:rPr>
                    <w:t xml:space="preserve"> </w:t>
                  </w:r>
                  <w:r w:rsidR="00FA5F01">
                    <w:rPr>
                      <w:rFonts w:ascii="Arial" w:hAnsi="Arial" w:cs="Arial"/>
                      <w:sz w:val="22"/>
                      <w:szCs w:val="22"/>
                    </w:rPr>
                    <w:t xml:space="preserve">File new printout in the </w:t>
                  </w:r>
                  <w:proofErr w:type="spellStart"/>
                  <w:r w:rsidR="00AB3B64">
                    <w:rPr>
                      <w:rFonts w:ascii="Arial" w:hAnsi="Arial" w:cs="Arial"/>
                      <w:b/>
                      <w:sz w:val="22"/>
                      <w:szCs w:val="22"/>
                    </w:rPr>
                    <w:t>DxH</w:t>
                  </w:r>
                  <w:proofErr w:type="spellEnd"/>
                  <w:r w:rsidR="00AB3B64">
                    <w:rPr>
                      <w:rFonts w:ascii="Arial" w:hAnsi="Arial" w:cs="Arial"/>
                      <w:b/>
                      <w:sz w:val="22"/>
                      <w:szCs w:val="22"/>
                    </w:rPr>
                    <w:t xml:space="preserve"> </w:t>
                  </w:r>
                  <w:proofErr w:type="spellStart"/>
                  <w:r w:rsidR="00AB3B64">
                    <w:rPr>
                      <w:rFonts w:ascii="Arial" w:hAnsi="Arial" w:cs="Arial"/>
                      <w:b/>
                      <w:sz w:val="22"/>
                      <w:szCs w:val="22"/>
                    </w:rPr>
                    <w:t>Instrument</w:t>
                  </w:r>
                  <w:r w:rsidR="00FA5F01" w:rsidRPr="00FA5F01">
                    <w:rPr>
                      <w:rFonts w:ascii="Arial" w:hAnsi="Arial" w:cs="Arial"/>
                      <w:b/>
                      <w:sz w:val="22"/>
                      <w:szCs w:val="22"/>
                    </w:rPr>
                    <w:t>Supplies</w:t>
                  </w:r>
                  <w:proofErr w:type="spellEnd"/>
                  <w:r w:rsidR="00FA5F01" w:rsidRPr="00FA5F01">
                    <w:rPr>
                      <w:rFonts w:ascii="Arial" w:hAnsi="Arial" w:cs="Arial"/>
                      <w:b/>
                      <w:sz w:val="22"/>
                      <w:szCs w:val="22"/>
                    </w:rPr>
                    <w:t xml:space="preserve"> binder</w:t>
                  </w:r>
                  <w:r w:rsidR="00FA5F01">
                    <w:rPr>
                      <w:rFonts w:ascii="Arial" w:hAnsi="Arial" w:cs="Arial"/>
                      <w:sz w:val="22"/>
                      <w:szCs w:val="22"/>
                    </w:rPr>
                    <w:t>.</w:t>
                  </w:r>
                </w:p>
              </w:tc>
            </w:tr>
          </w:tbl>
          <w:p w:rsidR="002725A4" w:rsidRPr="00CE0DBC" w:rsidRDefault="002725A4" w:rsidP="002725A4">
            <w:pPr>
              <w:rPr>
                <w:rFonts w:ascii="Arial" w:hAnsi="Arial" w:cs="Arial"/>
                <w:sz w:val="22"/>
                <w:szCs w:val="22"/>
              </w:rPr>
            </w:pPr>
          </w:p>
        </w:tc>
      </w:tr>
      <w:tr w:rsidR="00FA6A88"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FA6A88" w:rsidRPr="00FA5F01" w:rsidRDefault="00FA6A88" w:rsidP="00FA6A88">
            <w:pPr>
              <w:pStyle w:val="ListParagraph"/>
              <w:numPr>
                <w:ilvl w:val="0"/>
                <w:numId w:val="9"/>
              </w:numPr>
              <w:rPr>
                <w:rFonts w:ascii="Arial" w:hAnsi="Arial" w:cs="Arial"/>
                <w:sz w:val="22"/>
                <w:szCs w:val="22"/>
              </w:rPr>
            </w:pPr>
          </w:p>
        </w:tc>
        <w:tc>
          <w:tcPr>
            <w:tcW w:w="6670" w:type="dxa"/>
            <w:tcBorders>
              <w:top w:val="single" w:sz="6" w:space="0" w:color="auto"/>
              <w:bottom w:val="single" w:sz="6" w:space="0" w:color="auto"/>
              <w:right w:val="single" w:sz="6" w:space="0" w:color="auto"/>
            </w:tcBorders>
          </w:tcPr>
          <w:p w:rsidR="00FA6A88" w:rsidRPr="00CE0DBC" w:rsidRDefault="00FA6A88" w:rsidP="00872194">
            <w:pPr>
              <w:rPr>
                <w:rFonts w:ascii="Arial" w:hAnsi="Arial" w:cs="Arial"/>
                <w:sz w:val="22"/>
                <w:szCs w:val="22"/>
              </w:rPr>
            </w:pPr>
            <w:r>
              <w:rPr>
                <w:rFonts w:ascii="Arial" w:hAnsi="Arial" w:cs="Arial"/>
                <w:sz w:val="22"/>
                <w:szCs w:val="22"/>
              </w:rPr>
              <w:t>P</w:t>
            </w:r>
            <w:r w:rsidRPr="00CE0DBC">
              <w:rPr>
                <w:rFonts w:ascii="Arial" w:hAnsi="Arial" w:cs="Arial"/>
                <w:sz w:val="22"/>
                <w:szCs w:val="22"/>
              </w:rPr>
              <w:t>roceed with running patient specimens.</w:t>
            </w:r>
          </w:p>
        </w:tc>
      </w:tr>
    </w:tbl>
    <w:p w:rsidR="00CE0DBC" w:rsidRDefault="00CE0DBC" w:rsidP="00CE0DBC">
      <w:pPr>
        <w:rPr>
          <w:rFonts w:ascii="Arial" w:hAnsi="Arial" w:cs="Arial"/>
          <w:sz w:val="22"/>
          <w:szCs w:val="22"/>
        </w:rPr>
      </w:pPr>
    </w:p>
    <w:p w:rsidR="00100640" w:rsidRDefault="00100640" w:rsidP="00CE0DBC">
      <w:pPr>
        <w:rPr>
          <w:rFonts w:ascii="Arial" w:hAnsi="Arial" w:cs="Arial"/>
          <w:sz w:val="22"/>
          <w:szCs w:val="22"/>
        </w:rPr>
      </w:pPr>
    </w:p>
    <w:p w:rsidR="00100640" w:rsidRDefault="00100640" w:rsidP="00CE0DBC">
      <w:pPr>
        <w:rPr>
          <w:rFonts w:ascii="Arial" w:hAnsi="Arial" w:cs="Arial"/>
          <w:sz w:val="22"/>
          <w:szCs w:val="22"/>
        </w:rPr>
      </w:pPr>
    </w:p>
    <w:p w:rsidR="00100640" w:rsidRDefault="00100640" w:rsidP="00CE0DBC">
      <w:pPr>
        <w:rPr>
          <w:rFonts w:ascii="Arial" w:hAnsi="Arial" w:cs="Arial"/>
          <w:sz w:val="22"/>
          <w:szCs w:val="22"/>
        </w:rPr>
      </w:pPr>
    </w:p>
    <w:p w:rsidR="00100640" w:rsidRPr="00CE0DBC" w:rsidRDefault="00100640" w:rsidP="00CE0DBC">
      <w:pPr>
        <w:rPr>
          <w:rFonts w:ascii="Arial" w:hAnsi="Arial" w:cs="Arial"/>
          <w:sz w:val="22"/>
          <w:szCs w:val="22"/>
        </w:rPr>
      </w:pPr>
    </w:p>
    <w:tbl>
      <w:tblPr>
        <w:tblStyle w:val="TableGrid"/>
        <w:tblW w:w="0" w:type="auto"/>
        <w:tblLook w:val="04A0" w:firstRow="1" w:lastRow="0" w:firstColumn="1" w:lastColumn="0" w:noHBand="0" w:noVBand="1"/>
      </w:tblPr>
      <w:tblGrid>
        <w:gridCol w:w="9638"/>
      </w:tblGrid>
      <w:tr w:rsidR="00FA5F01" w:rsidTr="00FA5F01">
        <w:tc>
          <w:tcPr>
            <w:tcW w:w="9638" w:type="dxa"/>
          </w:tcPr>
          <w:p w:rsidR="00FA5F01" w:rsidRPr="00100640" w:rsidRDefault="00FA5F01" w:rsidP="00C01CCA">
            <w:pPr>
              <w:rPr>
                <w:rFonts w:ascii="Arial" w:hAnsi="Arial" w:cs="Arial"/>
                <w:b/>
                <w:sz w:val="22"/>
                <w:szCs w:val="22"/>
              </w:rPr>
            </w:pPr>
            <w:r w:rsidRPr="00100640">
              <w:rPr>
                <w:rFonts w:ascii="Arial" w:hAnsi="Arial" w:cs="Arial"/>
                <w:b/>
                <w:sz w:val="22"/>
                <w:szCs w:val="22"/>
              </w:rPr>
              <w:t>NOTE: DILUENT SUPPLIES</w:t>
            </w:r>
            <w:r w:rsidR="00100640">
              <w:rPr>
                <w:rFonts w:ascii="Arial" w:hAnsi="Arial" w:cs="Arial"/>
                <w:b/>
                <w:sz w:val="22"/>
                <w:szCs w:val="22"/>
              </w:rPr>
              <w:t xml:space="preserve"> REAGENT CHECK FOR NEW</w:t>
            </w:r>
            <w:r w:rsidRPr="00100640">
              <w:rPr>
                <w:rFonts w:ascii="Arial" w:hAnsi="Arial" w:cs="Arial"/>
                <w:b/>
                <w:sz w:val="22"/>
                <w:szCs w:val="22"/>
              </w:rPr>
              <w:t xml:space="preserve"> LOT NUMBER</w:t>
            </w:r>
          </w:p>
        </w:tc>
      </w:tr>
      <w:tr w:rsidR="00FA5F01" w:rsidTr="00FA5F01">
        <w:tc>
          <w:tcPr>
            <w:tcW w:w="9638" w:type="dxa"/>
          </w:tcPr>
          <w:p w:rsidR="00100640" w:rsidRPr="00100640" w:rsidRDefault="00FA5F01" w:rsidP="00C01CCA">
            <w:pPr>
              <w:rPr>
                <w:rFonts w:ascii="Arial" w:hAnsi="Arial" w:cs="Arial"/>
                <w:b/>
                <w:sz w:val="22"/>
                <w:szCs w:val="22"/>
              </w:rPr>
            </w:pPr>
            <w:r w:rsidRPr="00100640">
              <w:rPr>
                <w:rFonts w:ascii="Arial" w:hAnsi="Arial" w:cs="Arial"/>
                <w:b/>
                <w:sz w:val="22"/>
                <w:szCs w:val="22"/>
              </w:rPr>
              <w:t xml:space="preserve">Since DXH800 has a dual Diluent Supply system, reagent check happens when instrument switches </w:t>
            </w:r>
            <w:r w:rsidR="00100640" w:rsidRPr="00100640">
              <w:rPr>
                <w:rFonts w:ascii="Arial" w:hAnsi="Arial" w:cs="Arial"/>
                <w:b/>
                <w:sz w:val="22"/>
                <w:szCs w:val="22"/>
              </w:rPr>
              <w:t xml:space="preserve">from Diluent 1 to Diluent 2 or vice versa. </w:t>
            </w:r>
          </w:p>
          <w:p w:rsidR="00FA5F01" w:rsidRDefault="00100640" w:rsidP="00A34FE7">
            <w:pPr>
              <w:pStyle w:val="ListParagraph"/>
              <w:numPr>
                <w:ilvl w:val="0"/>
                <w:numId w:val="4"/>
              </w:numPr>
              <w:rPr>
                <w:rFonts w:ascii="Arial" w:hAnsi="Arial" w:cs="Arial"/>
                <w:b/>
                <w:sz w:val="22"/>
                <w:szCs w:val="22"/>
              </w:rPr>
            </w:pPr>
            <w:r w:rsidRPr="00100640">
              <w:rPr>
                <w:rFonts w:ascii="Arial" w:hAnsi="Arial" w:cs="Arial"/>
                <w:b/>
                <w:sz w:val="22"/>
                <w:szCs w:val="22"/>
              </w:rPr>
              <w:t xml:space="preserve">Proceed to step 12 of table above (section Change Reagent) if switch of supplies happens. </w:t>
            </w:r>
          </w:p>
          <w:p w:rsidR="00100640" w:rsidRPr="00100640" w:rsidRDefault="00100640" w:rsidP="00A34FE7">
            <w:pPr>
              <w:pStyle w:val="ListParagraph"/>
              <w:numPr>
                <w:ilvl w:val="0"/>
                <w:numId w:val="4"/>
              </w:numPr>
              <w:rPr>
                <w:rFonts w:ascii="Arial" w:hAnsi="Arial" w:cs="Arial"/>
                <w:b/>
                <w:sz w:val="22"/>
                <w:szCs w:val="22"/>
              </w:rPr>
            </w:pPr>
            <w:r w:rsidRPr="00100640">
              <w:rPr>
                <w:rFonts w:ascii="Arial" w:hAnsi="Arial" w:cs="Arial"/>
                <w:b/>
                <w:sz w:val="22"/>
                <w:szCs w:val="22"/>
              </w:rPr>
              <w:t>Lot number to be checked will be the newly activated Diluent supply and not necessarily the new Diluent loaded</w:t>
            </w:r>
          </w:p>
        </w:tc>
      </w:tr>
    </w:tbl>
    <w:p w:rsidR="00CE0DBC" w:rsidRDefault="00CE0DBC" w:rsidP="00C01CCA">
      <w:pPr>
        <w:rPr>
          <w:rFonts w:ascii="Arial" w:hAnsi="Arial" w:cs="Arial"/>
          <w:sz w:val="22"/>
          <w:szCs w:val="22"/>
        </w:rPr>
      </w:pPr>
    </w:p>
    <w:p w:rsidR="00FA5F01" w:rsidRDefault="00FA5F01" w:rsidP="00C01CCA">
      <w:pPr>
        <w:rPr>
          <w:rFonts w:ascii="Arial" w:hAnsi="Arial" w:cs="Arial"/>
          <w:sz w:val="22"/>
          <w:szCs w:val="22"/>
        </w:rPr>
      </w:pPr>
    </w:p>
    <w:p w:rsidR="00FA5F01" w:rsidRDefault="00FA5F01" w:rsidP="00C01CCA">
      <w:pPr>
        <w:rPr>
          <w:rFonts w:ascii="Arial" w:hAnsi="Arial" w:cs="Arial"/>
          <w:sz w:val="22"/>
          <w:szCs w:val="22"/>
        </w:rPr>
      </w:pPr>
    </w:p>
    <w:p w:rsidR="00FA5F01" w:rsidRDefault="00FA5F01" w:rsidP="00C01CCA">
      <w:pPr>
        <w:rPr>
          <w:rFonts w:ascii="Arial" w:hAnsi="Arial" w:cs="Arial"/>
          <w:sz w:val="22"/>
          <w:szCs w:val="22"/>
        </w:rPr>
      </w:pPr>
    </w:p>
    <w:p w:rsidR="00FA5F01" w:rsidRPr="00CE0DBC" w:rsidRDefault="00FA5F01" w:rsidP="00C01CCA">
      <w:pPr>
        <w:rPr>
          <w:rFonts w:ascii="Arial" w:hAnsi="Arial" w:cs="Arial"/>
          <w:sz w:val="22"/>
          <w:szCs w:val="22"/>
        </w:rPr>
      </w:pPr>
    </w:p>
    <w:p w:rsidR="004140EB" w:rsidRPr="00CE0DBC" w:rsidRDefault="004140EB" w:rsidP="00C01CCA">
      <w:pPr>
        <w:rPr>
          <w:rFonts w:ascii="Arial" w:hAnsi="Arial" w:cs="Arial"/>
          <w:sz w:val="22"/>
          <w:szCs w:val="22"/>
        </w:rPr>
      </w:pPr>
    </w:p>
    <w:tbl>
      <w:tblPr>
        <w:tblW w:w="9360" w:type="dxa"/>
        <w:tblInd w:w="108" w:type="dxa"/>
        <w:tblLayout w:type="fixed"/>
        <w:tblLook w:val="0000" w:firstRow="0" w:lastRow="0" w:firstColumn="0" w:lastColumn="0" w:noHBand="0" w:noVBand="0"/>
      </w:tblPr>
      <w:tblGrid>
        <w:gridCol w:w="1620"/>
        <w:gridCol w:w="7740"/>
      </w:tblGrid>
      <w:tr w:rsidR="004140EB" w:rsidRPr="00CE0DBC" w:rsidTr="00B76038">
        <w:tc>
          <w:tcPr>
            <w:tcW w:w="1620" w:type="dxa"/>
          </w:tcPr>
          <w:p w:rsidR="004140EB" w:rsidRPr="00CE0DBC" w:rsidRDefault="004140EB" w:rsidP="00B76038">
            <w:pPr>
              <w:pStyle w:val="TableText"/>
              <w:rPr>
                <w:rFonts w:ascii="Arial" w:hAnsi="Arial" w:cs="Arial"/>
                <w:sz w:val="22"/>
                <w:szCs w:val="22"/>
              </w:rPr>
            </w:pPr>
            <w:r w:rsidRPr="00CE0DBC">
              <w:rPr>
                <w:rFonts w:ascii="Arial" w:hAnsi="Arial" w:cs="Arial"/>
                <w:b/>
                <w:sz w:val="22"/>
                <w:szCs w:val="22"/>
              </w:rPr>
              <w:t>Uncontrolled Document</w:t>
            </w:r>
          </w:p>
        </w:tc>
        <w:tc>
          <w:tcPr>
            <w:tcW w:w="7740" w:type="dxa"/>
          </w:tcPr>
          <w:p w:rsidR="00CE0DBC" w:rsidRPr="00CE0DBC" w:rsidRDefault="00CE0DBC" w:rsidP="00CE0DBC">
            <w:pPr>
              <w:rPr>
                <w:rFonts w:ascii="Arial" w:hAnsi="Arial" w:cs="Arial"/>
                <w:sz w:val="22"/>
                <w:szCs w:val="22"/>
              </w:rPr>
            </w:pPr>
            <w:r w:rsidRPr="00CE0DBC">
              <w:rPr>
                <w:rFonts w:ascii="Arial" w:hAnsi="Arial" w:cs="Arial"/>
                <w:sz w:val="22"/>
                <w:szCs w:val="22"/>
              </w:rPr>
              <w:t>The following uncontrolled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tblGrid>
            <w:tr w:rsidR="00CE0DBC" w:rsidRPr="00CE0DBC" w:rsidTr="00872194">
              <w:tc>
                <w:tcPr>
                  <w:tcW w:w="5102" w:type="dxa"/>
                  <w:shd w:val="clear" w:color="auto" w:fill="auto"/>
                </w:tcPr>
                <w:p w:rsidR="00CE0DBC" w:rsidRPr="00CE0DBC" w:rsidRDefault="00CE0DBC" w:rsidP="00CE0DBC">
                  <w:pPr>
                    <w:pStyle w:val="BlockText"/>
                    <w:rPr>
                      <w:rFonts w:ascii="Arial" w:hAnsi="Arial" w:cs="Arial"/>
                      <w:b/>
                      <w:sz w:val="22"/>
                      <w:szCs w:val="22"/>
                    </w:rPr>
                  </w:pPr>
                  <w:r w:rsidRPr="00CE0DBC">
                    <w:rPr>
                      <w:rFonts w:ascii="Arial" w:hAnsi="Arial" w:cs="Arial"/>
                      <w:b/>
                      <w:sz w:val="22"/>
                      <w:szCs w:val="22"/>
                    </w:rPr>
                    <w:t>Document Name</w:t>
                  </w:r>
                </w:p>
              </w:tc>
            </w:tr>
            <w:tr w:rsidR="00CE0DBC" w:rsidRPr="00CE0DBC" w:rsidTr="00872194">
              <w:tc>
                <w:tcPr>
                  <w:tcW w:w="5102" w:type="dxa"/>
                  <w:shd w:val="clear" w:color="auto" w:fill="auto"/>
                </w:tcPr>
                <w:p w:rsidR="00CE0DBC" w:rsidRPr="00CE0DBC" w:rsidRDefault="00CE0DBC" w:rsidP="00CE0DBC">
                  <w:pPr>
                    <w:pStyle w:val="BlockText"/>
                    <w:rPr>
                      <w:rFonts w:ascii="Arial" w:hAnsi="Arial" w:cs="Arial"/>
                      <w:sz w:val="22"/>
                      <w:szCs w:val="22"/>
                    </w:rPr>
                  </w:pPr>
                  <w:r w:rsidRPr="00CE0DBC">
                    <w:rPr>
                      <w:rFonts w:ascii="Arial" w:hAnsi="Arial" w:cs="Arial"/>
                      <w:sz w:val="22"/>
                      <w:szCs w:val="22"/>
                    </w:rPr>
                    <w:t xml:space="preserve">Instructions for Use </w:t>
                  </w:r>
                  <w:proofErr w:type="spellStart"/>
                  <w:r w:rsidRPr="00CE0DBC">
                    <w:rPr>
                      <w:rFonts w:ascii="Arial" w:hAnsi="Arial" w:cs="Arial"/>
                      <w:sz w:val="22"/>
                      <w:szCs w:val="22"/>
                    </w:rPr>
                    <w:t>UniCel</w:t>
                  </w:r>
                  <w:proofErr w:type="spellEnd"/>
                  <w:r w:rsidRPr="00CE0DBC">
                    <w:rPr>
                      <w:rFonts w:ascii="Arial" w:hAnsi="Arial" w:cs="Arial"/>
                      <w:sz w:val="22"/>
                      <w:szCs w:val="22"/>
                    </w:rPr>
                    <w:t xml:space="preserve">®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 Coulter® Cellular Analysis System</w:t>
                  </w:r>
                </w:p>
              </w:tc>
            </w:tr>
          </w:tbl>
          <w:p w:rsidR="00CE0DBC" w:rsidRPr="00CE0DBC" w:rsidRDefault="00CE0DBC" w:rsidP="00CE0DBC">
            <w:pPr>
              <w:rPr>
                <w:rFonts w:ascii="Arial" w:hAnsi="Arial" w:cs="Arial"/>
                <w:sz w:val="22"/>
                <w:szCs w:val="22"/>
              </w:rPr>
            </w:pPr>
          </w:p>
          <w:p w:rsidR="004140EB" w:rsidRPr="00CE0DBC" w:rsidRDefault="004140EB" w:rsidP="00B76038">
            <w:pPr>
              <w:pStyle w:val="TableText"/>
              <w:rPr>
                <w:rFonts w:ascii="Arial" w:hAnsi="Arial" w:cs="Arial"/>
                <w:sz w:val="22"/>
                <w:szCs w:val="22"/>
              </w:rPr>
            </w:pPr>
          </w:p>
        </w:tc>
      </w:tr>
    </w:tbl>
    <w:p w:rsidR="004140EB" w:rsidRPr="00CE0DBC" w:rsidRDefault="004140EB" w:rsidP="00C01CCA">
      <w:pPr>
        <w:rPr>
          <w:rFonts w:ascii="Arial" w:hAnsi="Arial" w:cs="Arial"/>
          <w:sz w:val="22"/>
          <w:szCs w:val="22"/>
        </w:rPr>
      </w:pPr>
    </w:p>
    <w:p w:rsidR="00847E7F" w:rsidRPr="00CE0DBC" w:rsidRDefault="00847E7F" w:rsidP="00C01CCA">
      <w:pPr>
        <w:rPr>
          <w:rFonts w:ascii="Arial" w:hAnsi="Arial" w:cs="Arial"/>
          <w:sz w:val="22"/>
          <w:szCs w:val="22"/>
        </w:rPr>
      </w:pPr>
    </w:p>
    <w:p w:rsidR="00847E7F" w:rsidRPr="00CE0DBC" w:rsidRDefault="00847E7F" w:rsidP="00C01CCA">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A41190" w:rsidRPr="00CE0DBC" w:rsidTr="00A41190">
        <w:trPr>
          <w:cantSplit/>
        </w:trPr>
        <w:tc>
          <w:tcPr>
            <w:tcW w:w="1728" w:type="dxa"/>
          </w:tcPr>
          <w:p w:rsidR="00A41190" w:rsidRPr="00CE0DBC" w:rsidRDefault="00A41190" w:rsidP="00C01CCA">
            <w:pPr>
              <w:pStyle w:val="Heading5"/>
              <w:rPr>
                <w:rFonts w:ascii="Arial" w:hAnsi="Arial" w:cs="Arial"/>
                <w:szCs w:val="22"/>
              </w:rPr>
            </w:pPr>
            <w:r w:rsidRPr="00CE0DBC">
              <w:rPr>
                <w:rFonts w:ascii="Arial" w:hAnsi="Arial" w:cs="Arial"/>
                <w:szCs w:val="22"/>
              </w:rPr>
              <w:t>Controlled Documents</w:t>
            </w:r>
          </w:p>
        </w:tc>
        <w:tc>
          <w:tcPr>
            <w:tcW w:w="8010" w:type="dxa"/>
          </w:tcPr>
          <w:p w:rsidR="00A41190" w:rsidRPr="00CE0DBC" w:rsidRDefault="00A41190" w:rsidP="00A41190">
            <w:pPr>
              <w:rPr>
                <w:rFonts w:ascii="Arial" w:hAnsi="Arial" w:cs="Arial"/>
                <w:sz w:val="22"/>
                <w:szCs w:val="22"/>
              </w:rPr>
            </w:pPr>
            <w:r w:rsidRPr="00CE0DBC">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CE0DBC" w:rsidTr="00C01CCA">
              <w:tc>
                <w:tcPr>
                  <w:tcW w:w="2407" w:type="dxa"/>
                  <w:shd w:val="clear" w:color="auto" w:fill="auto"/>
                </w:tcPr>
                <w:p w:rsidR="00A41190" w:rsidRPr="00CE0DBC" w:rsidRDefault="00A41190" w:rsidP="00C01CCA">
                  <w:pPr>
                    <w:pStyle w:val="BlockText"/>
                    <w:rPr>
                      <w:rFonts w:ascii="Arial" w:hAnsi="Arial" w:cs="Arial"/>
                      <w:b/>
                      <w:sz w:val="22"/>
                      <w:szCs w:val="22"/>
                    </w:rPr>
                  </w:pPr>
                  <w:r w:rsidRPr="00CE0DBC">
                    <w:rPr>
                      <w:rFonts w:ascii="Arial" w:hAnsi="Arial" w:cs="Arial"/>
                      <w:b/>
                      <w:sz w:val="22"/>
                      <w:szCs w:val="22"/>
                    </w:rPr>
                    <w:t>Document Number</w:t>
                  </w:r>
                </w:p>
              </w:tc>
              <w:tc>
                <w:tcPr>
                  <w:tcW w:w="5102" w:type="dxa"/>
                  <w:shd w:val="clear" w:color="auto" w:fill="auto"/>
                </w:tcPr>
                <w:p w:rsidR="00A41190" w:rsidRPr="00CE0DBC" w:rsidRDefault="00A41190" w:rsidP="00C01CCA">
                  <w:pPr>
                    <w:pStyle w:val="BlockText"/>
                    <w:rPr>
                      <w:rFonts w:ascii="Arial" w:hAnsi="Arial" w:cs="Arial"/>
                      <w:b/>
                      <w:sz w:val="22"/>
                      <w:szCs w:val="22"/>
                    </w:rPr>
                  </w:pPr>
                  <w:r w:rsidRPr="00CE0DBC">
                    <w:rPr>
                      <w:rFonts w:ascii="Arial" w:hAnsi="Arial" w:cs="Arial"/>
                      <w:b/>
                      <w:sz w:val="22"/>
                      <w:szCs w:val="22"/>
                    </w:rPr>
                    <w:t>Document Name</w:t>
                  </w:r>
                </w:p>
              </w:tc>
            </w:tr>
            <w:tr w:rsidR="00A41190" w:rsidRPr="00CE0DBC" w:rsidTr="00C01CCA">
              <w:tc>
                <w:tcPr>
                  <w:tcW w:w="2407" w:type="dxa"/>
                  <w:shd w:val="clear" w:color="auto" w:fill="auto"/>
                </w:tcPr>
                <w:p w:rsidR="00A41190" w:rsidRPr="00CE0DBC" w:rsidRDefault="00A41190" w:rsidP="00C01CCA">
                  <w:pPr>
                    <w:pStyle w:val="BlockText"/>
                    <w:rPr>
                      <w:rFonts w:ascii="Arial" w:hAnsi="Arial" w:cs="Arial"/>
                      <w:sz w:val="22"/>
                      <w:szCs w:val="22"/>
                    </w:rPr>
                  </w:pPr>
                  <w:r w:rsidRPr="00CE0DBC">
                    <w:rPr>
                      <w:rFonts w:ascii="Arial" w:hAnsi="Arial" w:cs="Arial"/>
                      <w:sz w:val="22"/>
                      <w:szCs w:val="22"/>
                    </w:rPr>
                    <w:t>LAMC-PPP-0123</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Safety Practices</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LAMC-PPP-0127</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Infection Control</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LAMC-PPP-0128</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Universal Body Substance Precaution</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LAMC-PPP-0129</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Handling of Regular and Infectious Waste</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LAMC-PPP-0130</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Cleaning Work Areas</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LAMC-PPP-0132</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Hand-washing Policy</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LAMC-PPP-0134</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Storage and Disposal of Chemical Hazardous Waste</w:t>
                  </w:r>
                </w:p>
              </w:tc>
            </w:tr>
            <w:tr w:rsidR="00AF08B3" w:rsidRPr="00CE0DBC" w:rsidTr="00C01CCA">
              <w:tc>
                <w:tcPr>
                  <w:tcW w:w="2407" w:type="dxa"/>
                  <w:shd w:val="clear" w:color="auto" w:fill="auto"/>
                </w:tcPr>
                <w:p w:rsidR="00AF08B3" w:rsidRPr="00AF08B3" w:rsidRDefault="00AF08B3" w:rsidP="00C01CCA">
                  <w:pPr>
                    <w:jc w:val="center"/>
                    <w:rPr>
                      <w:rFonts w:ascii="Arial" w:hAnsi="Arial" w:cs="Arial"/>
                      <w:sz w:val="22"/>
                      <w:szCs w:val="22"/>
                    </w:rPr>
                  </w:pPr>
                  <w:r w:rsidRPr="00AF08B3">
                    <w:rPr>
                      <w:rFonts w:ascii="Arial" w:hAnsi="Arial" w:cs="Arial"/>
                      <w:sz w:val="22"/>
                      <w:szCs w:val="22"/>
                    </w:rPr>
                    <w:t>LAMC-PPP-0277</w:t>
                  </w:r>
                </w:p>
              </w:tc>
              <w:tc>
                <w:tcPr>
                  <w:tcW w:w="5102" w:type="dxa"/>
                  <w:shd w:val="clear" w:color="auto" w:fill="auto"/>
                </w:tcPr>
                <w:p w:rsidR="00AF08B3" w:rsidRPr="00CE0DBC" w:rsidRDefault="00AF08B3" w:rsidP="00C01CCA">
                  <w:pPr>
                    <w:pStyle w:val="BlockText"/>
                    <w:jc w:val="left"/>
                    <w:rPr>
                      <w:rFonts w:ascii="Arial" w:hAnsi="Arial" w:cs="Arial"/>
                      <w:sz w:val="22"/>
                      <w:szCs w:val="22"/>
                    </w:rPr>
                  </w:pPr>
                  <w:r w:rsidRPr="00AF08B3">
                    <w:rPr>
                      <w:rFonts w:ascii="Arial" w:hAnsi="Arial" w:cs="Arial"/>
                      <w:sz w:val="22"/>
                      <w:szCs w:val="22"/>
                    </w:rPr>
                    <w:t xml:space="preserve">Beckman Coulter </w:t>
                  </w:r>
                  <w:proofErr w:type="spellStart"/>
                  <w:r w:rsidRPr="00AF08B3">
                    <w:rPr>
                      <w:rFonts w:ascii="Arial" w:hAnsi="Arial" w:cs="Arial"/>
                      <w:sz w:val="22"/>
                      <w:szCs w:val="22"/>
                    </w:rPr>
                    <w:t>Unicel</w:t>
                  </w:r>
                  <w:proofErr w:type="spellEnd"/>
                  <w:r w:rsidRPr="00AF08B3">
                    <w:rPr>
                      <w:rFonts w:ascii="Arial" w:hAnsi="Arial" w:cs="Arial"/>
                      <w:sz w:val="22"/>
                      <w:szCs w:val="22"/>
                    </w:rPr>
                    <w:t xml:space="preserve"> </w:t>
                  </w:r>
                  <w:proofErr w:type="spellStart"/>
                  <w:r w:rsidRPr="00AF08B3">
                    <w:rPr>
                      <w:rFonts w:ascii="Arial" w:hAnsi="Arial" w:cs="Arial"/>
                      <w:sz w:val="22"/>
                      <w:szCs w:val="22"/>
                    </w:rPr>
                    <w:t>DxH</w:t>
                  </w:r>
                  <w:proofErr w:type="spellEnd"/>
                  <w:r w:rsidRPr="00AF08B3">
                    <w:rPr>
                      <w:rFonts w:ascii="Arial" w:hAnsi="Arial" w:cs="Arial"/>
                      <w:sz w:val="22"/>
                      <w:szCs w:val="22"/>
                    </w:rPr>
                    <w:t xml:space="preserve"> 800 Quality Control</w:t>
                  </w:r>
                </w:p>
              </w:tc>
            </w:tr>
            <w:tr w:rsidR="0055498E" w:rsidRPr="00CE0DBC" w:rsidTr="00C01CCA">
              <w:tc>
                <w:tcPr>
                  <w:tcW w:w="2407" w:type="dxa"/>
                  <w:shd w:val="clear" w:color="auto" w:fill="auto"/>
                </w:tcPr>
                <w:p w:rsidR="0055498E" w:rsidRPr="00AF08B3" w:rsidRDefault="0055498E" w:rsidP="00C01CCA">
                  <w:pPr>
                    <w:jc w:val="center"/>
                    <w:rPr>
                      <w:rFonts w:ascii="Arial" w:hAnsi="Arial" w:cs="Arial"/>
                      <w:sz w:val="22"/>
                      <w:szCs w:val="22"/>
                    </w:rPr>
                  </w:pPr>
                </w:p>
              </w:tc>
              <w:tc>
                <w:tcPr>
                  <w:tcW w:w="5102" w:type="dxa"/>
                  <w:shd w:val="clear" w:color="auto" w:fill="auto"/>
                </w:tcPr>
                <w:p w:rsidR="0055498E" w:rsidRPr="00AF08B3" w:rsidRDefault="0055498E" w:rsidP="00C01CCA">
                  <w:pPr>
                    <w:pStyle w:val="BlockText"/>
                    <w:jc w:val="left"/>
                    <w:rPr>
                      <w:rFonts w:ascii="Arial" w:hAnsi="Arial" w:cs="Arial"/>
                      <w:sz w:val="22"/>
                      <w:szCs w:val="22"/>
                    </w:rPr>
                  </w:pPr>
                  <w:r>
                    <w:rPr>
                      <w:rFonts w:ascii="Arial" w:hAnsi="Arial" w:cs="Arial"/>
                      <w:sz w:val="22"/>
                      <w:szCs w:val="22"/>
                    </w:rPr>
                    <w:t>Attachment R1 and R2</w:t>
                  </w:r>
                </w:p>
              </w:tc>
            </w:tr>
          </w:tbl>
          <w:p w:rsidR="00A41190" w:rsidRPr="00CE0DBC" w:rsidRDefault="00A41190" w:rsidP="00A41190">
            <w:pPr>
              <w:rPr>
                <w:rFonts w:ascii="Arial" w:hAnsi="Arial" w:cs="Arial"/>
                <w:sz w:val="22"/>
                <w:szCs w:val="22"/>
              </w:rPr>
            </w:pPr>
          </w:p>
        </w:tc>
      </w:tr>
    </w:tbl>
    <w:p w:rsidR="00A13F18" w:rsidRPr="00CE0DBC" w:rsidRDefault="00A13F18">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F06DB2" w:rsidRPr="00CE0DBC" w:rsidTr="00A41190">
        <w:trPr>
          <w:cantSplit/>
        </w:trPr>
        <w:tc>
          <w:tcPr>
            <w:tcW w:w="1728" w:type="dxa"/>
          </w:tcPr>
          <w:p w:rsidR="00F06DB2" w:rsidRPr="00CE0DBC" w:rsidRDefault="00F06DB2" w:rsidP="00F06DB2">
            <w:pPr>
              <w:pStyle w:val="Heading5"/>
              <w:rPr>
                <w:rFonts w:ascii="Arial" w:hAnsi="Arial" w:cs="Arial"/>
                <w:szCs w:val="22"/>
              </w:rPr>
            </w:pPr>
            <w:r w:rsidRPr="00CE0DBC">
              <w:rPr>
                <w:rFonts w:ascii="Arial" w:hAnsi="Arial" w:cs="Arial"/>
                <w:szCs w:val="22"/>
              </w:rPr>
              <w:t>Author</w:t>
            </w:r>
            <w:r w:rsidR="00D32C36" w:rsidRPr="00CE0DBC">
              <w:rPr>
                <w:rFonts w:ascii="Arial" w:hAnsi="Arial" w:cs="Arial"/>
                <w:szCs w:val="22"/>
              </w:rPr>
              <w:t>(s)</w:t>
            </w:r>
          </w:p>
        </w:tc>
        <w:tc>
          <w:tcPr>
            <w:tcW w:w="8010" w:type="dxa"/>
          </w:tcPr>
          <w:p w:rsidR="00D05042" w:rsidRPr="00CE0DBC" w:rsidRDefault="008E6C15" w:rsidP="00F06DB2">
            <w:pPr>
              <w:rPr>
                <w:rFonts w:ascii="Arial" w:hAnsi="Arial" w:cs="Arial"/>
                <w:sz w:val="22"/>
                <w:szCs w:val="22"/>
              </w:rPr>
            </w:pPr>
            <w:r w:rsidRPr="00CE0DBC">
              <w:rPr>
                <w:rFonts w:ascii="Arial" w:hAnsi="Arial" w:cs="Arial"/>
                <w:sz w:val="22"/>
                <w:szCs w:val="22"/>
              </w:rPr>
              <w:t>Alvin Castillo</w:t>
            </w:r>
            <w:r w:rsidR="004140EB" w:rsidRPr="00CE0DBC">
              <w:rPr>
                <w:rFonts w:ascii="Arial" w:hAnsi="Arial" w:cs="Arial"/>
                <w:sz w:val="22"/>
                <w:szCs w:val="22"/>
              </w:rPr>
              <w:t xml:space="preserve"> </w:t>
            </w:r>
          </w:p>
        </w:tc>
      </w:tr>
    </w:tbl>
    <w:p w:rsidR="00F06DB2" w:rsidRDefault="00F06DB2" w:rsidP="00D26AE2">
      <w:pPr>
        <w:rPr>
          <w:rFonts w:ascii="Arial" w:hAnsi="Arial" w:cs="Arial"/>
          <w:sz w:val="22"/>
          <w:szCs w:val="22"/>
        </w:rPr>
      </w:pPr>
    </w:p>
    <w:p w:rsidR="00F31DB3" w:rsidRDefault="00F31DB3" w:rsidP="00D26AE2">
      <w:pPr>
        <w:rPr>
          <w:rFonts w:ascii="Arial" w:hAnsi="Arial" w:cs="Arial"/>
          <w:sz w:val="22"/>
          <w:szCs w:val="22"/>
        </w:rPr>
      </w:pPr>
    </w:p>
    <w:p w:rsidR="00F31DB3" w:rsidRDefault="00F31DB3" w:rsidP="00D26AE2">
      <w:pPr>
        <w:rPr>
          <w:rFonts w:ascii="Arial" w:hAnsi="Arial" w:cs="Arial"/>
          <w:sz w:val="22"/>
          <w:szCs w:val="22"/>
        </w:rPr>
      </w:pPr>
    </w:p>
    <w:p w:rsidR="00F31DB3" w:rsidRDefault="00F31DB3" w:rsidP="00D26AE2">
      <w:pPr>
        <w:rPr>
          <w:rFonts w:ascii="Arial" w:hAnsi="Arial" w:cs="Arial"/>
          <w:sz w:val="22"/>
          <w:szCs w:val="22"/>
        </w:rPr>
      </w:pPr>
    </w:p>
    <w:p w:rsidR="00F31DB3" w:rsidRDefault="00F31DB3" w:rsidP="00F31DB3">
      <w:pPr>
        <w:jc w:val="center"/>
        <w:rPr>
          <w:rFonts w:ascii="Arial" w:hAnsi="Arial" w:cs="Arial"/>
          <w:sz w:val="22"/>
          <w:szCs w:val="22"/>
        </w:rPr>
      </w:pPr>
    </w:p>
    <w:p w:rsidR="00F31DB3" w:rsidRPr="0055498E" w:rsidRDefault="00F31DB3" w:rsidP="00F31DB3">
      <w:pPr>
        <w:jc w:val="center"/>
        <w:rPr>
          <w:rFonts w:ascii="Arial" w:hAnsi="Arial" w:cs="Arial"/>
          <w:b/>
          <w:sz w:val="22"/>
          <w:szCs w:val="22"/>
        </w:rPr>
      </w:pPr>
      <w:r w:rsidRPr="0055498E">
        <w:rPr>
          <w:rFonts w:ascii="Arial" w:hAnsi="Arial" w:cs="Arial"/>
          <w:b/>
          <w:sz w:val="22"/>
          <w:szCs w:val="22"/>
        </w:rPr>
        <w:lastRenderedPageBreak/>
        <w:t xml:space="preserve">Attachment </w:t>
      </w:r>
      <w:r w:rsidR="0055498E" w:rsidRPr="0055498E">
        <w:rPr>
          <w:rFonts w:ascii="Arial" w:hAnsi="Arial" w:cs="Arial"/>
          <w:b/>
          <w:sz w:val="22"/>
          <w:szCs w:val="22"/>
        </w:rPr>
        <w:t>R1</w:t>
      </w:r>
    </w:p>
    <w:p w:rsidR="00F31DB3" w:rsidRDefault="00F31DB3" w:rsidP="00D26AE2">
      <w:pPr>
        <w:rPr>
          <w:rFonts w:ascii="Arial" w:hAnsi="Arial" w:cs="Arial"/>
          <w:sz w:val="22"/>
          <w:szCs w:val="22"/>
        </w:rPr>
      </w:pPr>
    </w:p>
    <w:p w:rsidR="00F31DB3" w:rsidRDefault="00F31DB3" w:rsidP="00DD7B1C">
      <w:pPr>
        <w:jc w:val="center"/>
        <w:rPr>
          <w:rFonts w:ascii="Arial" w:hAnsi="Arial" w:cs="Arial"/>
          <w:sz w:val="22"/>
          <w:szCs w:val="22"/>
        </w:rPr>
      </w:pPr>
      <w:r>
        <w:rPr>
          <w:rFonts w:ascii="Arial" w:hAnsi="Arial" w:cs="Arial"/>
          <w:noProof/>
          <w:sz w:val="22"/>
          <w:szCs w:val="22"/>
        </w:rPr>
        <w:drawing>
          <wp:inline distT="0" distB="0" distL="0" distR="0">
            <wp:extent cx="5430984" cy="714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835" cy="7158023"/>
                    </a:xfrm>
                    <a:prstGeom prst="rect">
                      <a:avLst/>
                    </a:prstGeom>
                    <a:noFill/>
                    <a:ln>
                      <a:noFill/>
                    </a:ln>
                  </pic:spPr>
                </pic:pic>
              </a:graphicData>
            </a:graphic>
          </wp:inline>
        </w:drawing>
      </w:r>
    </w:p>
    <w:p w:rsidR="00DD7B1C" w:rsidRDefault="00DD7B1C" w:rsidP="00DD7B1C">
      <w:pPr>
        <w:jc w:val="center"/>
        <w:rPr>
          <w:rFonts w:ascii="Arial" w:hAnsi="Arial" w:cs="Arial"/>
          <w:b/>
          <w:sz w:val="22"/>
          <w:szCs w:val="22"/>
        </w:rPr>
      </w:pPr>
      <w:r>
        <w:rPr>
          <w:rFonts w:ascii="Arial" w:hAnsi="Arial" w:cs="Arial"/>
          <w:b/>
          <w:sz w:val="22"/>
          <w:szCs w:val="22"/>
        </w:rPr>
        <w:lastRenderedPageBreak/>
        <w:t>Attachment R2</w:t>
      </w:r>
    </w:p>
    <w:p w:rsidR="00DD7B1C" w:rsidRPr="00DD7B1C" w:rsidRDefault="00724A8F" w:rsidP="00724A8F">
      <w:pPr>
        <w:jc w:val="center"/>
        <w:rPr>
          <w:rFonts w:ascii="Arial" w:hAnsi="Arial" w:cs="Arial"/>
          <w:b/>
          <w:sz w:val="22"/>
          <w:szCs w:val="22"/>
        </w:rPr>
      </w:pPr>
      <w:r>
        <w:rPr>
          <w:rFonts w:ascii="Arial" w:hAnsi="Arial" w:cs="Arial"/>
          <w:b/>
          <w:noProof/>
          <w:sz w:val="22"/>
          <w:szCs w:val="22"/>
        </w:rPr>
        <w:drawing>
          <wp:inline distT="0" distB="0" distL="0" distR="0">
            <wp:extent cx="5666238" cy="719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847" cy="7203571"/>
                    </a:xfrm>
                    <a:prstGeom prst="rect">
                      <a:avLst/>
                    </a:prstGeom>
                    <a:noFill/>
                    <a:ln>
                      <a:noFill/>
                    </a:ln>
                  </pic:spPr>
                </pic:pic>
              </a:graphicData>
            </a:graphic>
          </wp:inline>
        </w:drawing>
      </w:r>
    </w:p>
    <w:sectPr w:rsidR="00DD7B1C" w:rsidRPr="00DD7B1C" w:rsidSect="00D4361C">
      <w:headerReference w:type="even" r:id="rId10"/>
      <w:headerReference w:type="default" r:id="rId11"/>
      <w:footerReference w:type="even" r:id="rId12"/>
      <w:footerReference w:type="default" r:id="rId13"/>
      <w:headerReference w:type="first" r:id="rId14"/>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94" w:rsidRDefault="00380194">
      <w:r>
        <w:separator/>
      </w:r>
    </w:p>
  </w:endnote>
  <w:endnote w:type="continuationSeparator" w:id="0">
    <w:p w:rsidR="00380194" w:rsidRDefault="0038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AB3B64">
      <w:rPr>
        <w:i/>
        <w:noProof/>
        <w:snapToGrid w:val="0"/>
        <w:sz w:val="20"/>
      </w:rPr>
      <w:instrText>7</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AB3B64">
      <w:rPr>
        <w:i/>
        <w:noProof/>
        <w:snapToGrid w:val="0"/>
        <w:sz w:val="20"/>
      </w:rPr>
      <w:instrText>7</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AB3B64">
      <w:rPr>
        <w:rStyle w:val="PageNumber"/>
        <w:rFonts w:ascii="Arial" w:hAnsi="Arial" w:cs="Arial"/>
        <w:noProof/>
        <w:sz w:val="20"/>
      </w:rPr>
      <w:t>7</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AB3B64">
      <w:rPr>
        <w:rStyle w:val="PageNumber"/>
        <w:rFonts w:ascii="Arial" w:hAnsi="Arial" w:cs="Arial"/>
        <w:noProof/>
        <w:sz w:val="20"/>
      </w:rPr>
      <w:t>7</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94" w:rsidRDefault="00380194">
      <w:r>
        <w:separator/>
      </w:r>
    </w:p>
  </w:footnote>
  <w:footnote w:type="continuationSeparator" w:id="0">
    <w:p w:rsidR="00380194" w:rsidRDefault="0038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C01CCA">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8E6C15" w:rsidRPr="00B6427C" w:rsidRDefault="008E6C15" w:rsidP="008E6C15">
    <w:pPr>
      <w:pStyle w:val="Heading4"/>
      <w:spacing w:after="0"/>
      <w:rPr>
        <w:rFonts w:ascii="Times New Roman" w:hAnsi="Times New Roman"/>
        <w:szCs w:val="32"/>
      </w:rPr>
    </w:pPr>
    <w:r w:rsidRPr="00B6427C">
      <w:rPr>
        <w:rFonts w:ascii="Times New Roman" w:hAnsi="Times New Roman"/>
        <w:szCs w:val="32"/>
      </w:rPr>
      <w:t>B</w:t>
    </w:r>
    <w:r>
      <w:rPr>
        <w:rFonts w:ascii="Times New Roman" w:hAnsi="Times New Roman"/>
        <w:szCs w:val="32"/>
      </w:rPr>
      <w:t>eckman</w:t>
    </w:r>
    <w:r w:rsidRPr="00B6427C">
      <w:rPr>
        <w:rFonts w:ascii="Times New Roman" w:hAnsi="Times New Roman"/>
        <w:szCs w:val="32"/>
      </w:rPr>
      <w:t xml:space="preserve"> </w:t>
    </w:r>
    <w:r>
      <w:rPr>
        <w:rFonts w:ascii="Times New Roman" w:hAnsi="Times New Roman"/>
        <w:szCs w:val="32"/>
      </w:rPr>
      <w:t xml:space="preserve">Coulter </w:t>
    </w:r>
    <w:proofErr w:type="spellStart"/>
    <w:r w:rsidRPr="00B6427C">
      <w:rPr>
        <w:rFonts w:ascii="Times New Roman" w:hAnsi="Times New Roman"/>
        <w:szCs w:val="32"/>
      </w:rPr>
      <w:t>UniCel</w:t>
    </w:r>
    <w:proofErr w:type="spellEnd"/>
    <w:r w:rsidRPr="00B6427C">
      <w:rPr>
        <w:rFonts w:ascii="Times New Roman" w:hAnsi="Times New Roman"/>
        <w:szCs w:val="32"/>
      </w:rPr>
      <w:t xml:space="preserve">® </w:t>
    </w:r>
    <w:proofErr w:type="spellStart"/>
    <w:r w:rsidRPr="00B6427C">
      <w:rPr>
        <w:rFonts w:ascii="Times New Roman" w:hAnsi="Times New Roman"/>
        <w:szCs w:val="32"/>
      </w:rPr>
      <w:t>DxH</w:t>
    </w:r>
    <w:proofErr w:type="spellEnd"/>
    <w:r w:rsidRPr="00B6427C">
      <w:rPr>
        <w:rFonts w:ascii="Times New Roman" w:hAnsi="Times New Roman"/>
        <w:szCs w:val="32"/>
      </w:rPr>
      <w:t xml:space="preserve"> 800 </w:t>
    </w:r>
    <w:r>
      <w:rPr>
        <w:rFonts w:ascii="Times New Roman" w:hAnsi="Times New Roman"/>
        <w:szCs w:val="32"/>
      </w:rPr>
      <w:t>System</w:t>
    </w:r>
  </w:p>
  <w:p w:rsidR="008E6C15" w:rsidRPr="00554BED" w:rsidRDefault="008E6C15" w:rsidP="008E6C15">
    <w:pPr>
      <w:pStyle w:val="Heading4"/>
      <w:spacing w:after="0"/>
    </w:pPr>
    <w:r>
      <w:rPr>
        <w:rFonts w:ascii="Times New Roman" w:hAnsi="Times New Roman"/>
        <w:szCs w:val="32"/>
      </w:rPr>
      <w:t>Reagent Replacement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C01CCA">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1" w15:restartNumberingAfterBreak="0">
    <w:nsid w:val="26DC0A25"/>
    <w:multiLevelType w:val="hybridMultilevel"/>
    <w:tmpl w:val="2CE8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52A46"/>
    <w:multiLevelType w:val="hybridMultilevel"/>
    <w:tmpl w:val="779C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C0E53"/>
    <w:multiLevelType w:val="hybridMultilevel"/>
    <w:tmpl w:val="A6381EFE"/>
    <w:lvl w:ilvl="0" w:tplc="5052BF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91735"/>
    <w:multiLevelType w:val="hybridMultilevel"/>
    <w:tmpl w:val="289EB0CC"/>
    <w:lvl w:ilvl="0" w:tplc="F1D28BE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438E3"/>
    <w:multiLevelType w:val="hybridMultilevel"/>
    <w:tmpl w:val="4EC40FCC"/>
    <w:lvl w:ilvl="0" w:tplc="995259C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7"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201EE3"/>
    <w:multiLevelType w:val="hybridMultilevel"/>
    <w:tmpl w:val="B69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2"/>
  </w:num>
  <w:num w:numId="6">
    <w:abstractNumId w:val="1"/>
  </w:num>
  <w:num w:numId="7">
    <w:abstractNumId w:val="3"/>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5705"/>
    <w:rsid w:val="00036CF5"/>
    <w:rsid w:val="00042DAA"/>
    <w:rsid w:val="00046878"/>
    <w:rsid w:val="00047EF7"/>
    <w:rsid w:val="00056877"/>
    <w:rsid w:val="000728C4"/>
    <w:rsid w:val="00086A2C"/>
    <w:rsid w:val="0009129B"/>
    <w:rsid w:val="000953A5"/>
    <w:rsid w:val="000C3FDD"/>
    <w:rsid w:val="000D0F87"/>
    <w:rsid w:val="000E3F47"/>
    <w:rsid w:val="000F3098"/>
    <w:rsid w:val="00100640"/>
    <w:rsid w:val="00101B9E"/>
    <w:rsid w:val="00103AE5"/>
    <w:rsid w:val="0010773B"/>
    <w:rsid w:val="0010795C"/>
    <w:rsid w:val="00121AA5"/>
    <w:rsid w:val="00130C26"/>
    <w:rsid w:val="00130D9F"/>
    <w:rsid w:val="00133FA5"/>
    <w:rsid w:val="00134C53"/>
    <w:rsid w:val="00137FEF"/>
    <w:rsid w:val="001406A5"/>
    <w:rsid w:val="00144E3A"/>
    <w:rsid w:val="0018670E"/>
    <w:rsid w:val="00190783"/>
    <w:rsid w:val="00192DE5"/>
    <w:rsid w:val="001A14EE"/>
    <w:rsid w:val="001D639B"/>
    <w:rsid w:val="001E3B4C"/>
    <w:rsid w:val="00207CFE"/>
    <w:rsid w:val="00211546"/>
    <w:rsid w:val="00216538"/>
    <w:rsid w:val="00222FE8"/>
    <w:rsid w:val="00232612"/>
    <w:rsid w:val="00232E81"/>
    <w:rsid w:val="002363E4"/>
    <w:rsid w:val="0025757B"/>
    <w:rsid w:val="00270793"/>
    <w:rsid w:val="002725A4"/>
    <w:rsid w:val="00273CCB"/>
    <w:rsid w:val="002A0EA3"/>
    <w:rsid w:val="002A79D0"/>
    <w:rsid w:val="002A7C43"/>
    <w:rsid w:val="002C1AC8"/>
    <w:rsid w:val="002C3C99"/>
    <w:rsid w:val="002C46A4"/>
    <w:rsid w:val="002D5E11"/>
    <w:rsid w:val="002E0623"/>
    <w:rsid w:val="00302013"/>
    <w:rsid w:val="003114DA"/>
    <w:rsid w:val="003166A2"/>
    <w:rsid w:val="00334141"/>
    <w:rsid w:val="00334224"/>
    <w:rsid w:val="003347F0"/>
    <w:rsid w:val="00341516"/>
    <w:rsid w:val="0034466D"/>
    <w:rsid w:val="003454E3"/>
    <w:rsid w:val="00346DB9"/>
    <w:rsid w:val="003471B5"/>
    <w:rsid w:val="00365A64"/>
    <w:rsid w:val="00373740"/>
    <w:rsid w:val="00377806"/>
    <w:rsid w:val="00380194"/>
    <w:rsid w:val="003805DB"/>
    <w:rsid w:val="003812BA"/>
    <w:rsid w:val="003837C0"/>
    <w:rsid w:val="00384A92"/>
    <w:rsid w:val="00390C1A"/>
    <w:rsid w:val="003964F5"/>
    <w:rsid w:val="00397DEF"/>
    <w:rsid w:val="003A7308"/>
    <w:rsid w:val="003C2269"/>
    <w:rsid w:val="003C508E"/>
    <w:rsid w:val="003C6786"/>
    <w:rsid w:val="003D1825"/>
    <w:rsid w:val="003E40F0"/>
    <w:rsid w:val="003F0A0D"/>
    <w:rsid w:val="00412657"/>
    <w:rsid w:val="004140EB"/>
    <w:rsid w:val="004160B3"/>
    <w:rsid w:val="004223E3"/>
    <w:rsid w:val="00433D1F"/>
    <w:rsid w:val="00440B6B"/>
    <w:rsid w:val="00452AA8"/>
    <w:rsid w:val="00454667"/>
    <w:rsid w:val="0047049B"/>
    <w:rsid w:val="00471432"/>
    <w:rsid w:val="004802BC"/>
    <w:rsid w:val="00480580"/>
    <w:rsid w:val="00482A53"/>
    <w:rsid w:val="00483D78"/>
    <w:rsid w:val="0048686C"/>
    <w:rsid w:val="004965AA"/>
    <w:rsid w:val="004B2090"/>
    <w:rsid w:val="004C1426"/>
    <w:rsid w:val="004C1667"/>
    <w:rsid w:val="004C1AD2"/>
    <w:rsid w:val="004C1B71"/>
    <w:rsid w:val="004D3965"/>
    <w:rsid w:val="00504B96"/>
    <w:rsid w:val="0050518A"/>
    <w:rsid w:val="005133FE"/>
    <w:rsid w:val="00544E86"/>
    <w:rsid w:val="0055498E"/>
    <w:rsid w:val="00562E21"/>
    <w:rsid w:val="00595006"/>
    <w:rsid w:val="005A6643"/>
    <w:rsid w:val="005A6EE9"/>
    <w:rsid w:val="005B1E7F"/>
    <w:rsid w:val="005F2ABD"/>
    <w:rsid w:val="005F3E96"/>
    <w:rsid w:val="00605DCB"/>
    <w:rsid w:val="0061079E"/>
    <w:rsid w:val="00620A2D"/>
    <w:rsid w:val="00633012"/>
    <w:rsid w:val="00637656"/>
    <w:rsid w:val="00653E84"/>
    <w:rsid w:val="006545AA"/>
    <w:rsid w:val="0067567A"/>
    <w:rsid w:val="00677481"/>
    <w:rsid w:val="006A107B"/>
    <w:rsid w:val="006A72CD"/>
    <w:rsid w:val="006C461B"/>
    <w:rsid w:val="006C4C9A"/>
    <w:rsid w:val="006D60D0"/>
    <w:rsid w:val="006E67E1"/>
    <w:rsid w:val="006E7401"/>
    <w:rsid w:val="00700D63"/>
    <w:rsid w:val="00706B6E"/>
    <w:rsid w:val="00707CAE"/>
    <w:rsid w:val="00724A8F"/>
    <w:rsid w:val="0075494B"/>
    <w:rsid w:val="00760854"/>
    <w:rsid w:val="00763747"/>
    <w:rsid w:val="00764D61"/>
    <w:rsid w:val="00774558"/>
    <w:rsid w:val="00776D07"/>
    <w:rsid w:val="00781F79"/>
    <w:rsid w:val="00783EFF"/>
    <w:rsid w:val="00787027"/>
    <w:rsid w:val="0079641D"/>
    <w:rsid w:val="00797B8C"/>
    <w:rsid w:val="007A4A1C"/>
    <w:rsid w:val="007A5962"/>
    <w:rsid w:val="007B0208"/>
    <w:rsid w:val="007B069A"/>
    <w:rsid w:val="007B1AA1"/>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47E7F"/>
    <w:rsid w:val="008660FE"/>
    <w:rsid w:val="00871559"/>
    <w:rsid w:val="00875F81"/>
    <w:rsid w:val="0088237F"/>
    <w:rsid w:val="00883D0A"/>
    <w:rsid w:val="0088433C"/>
    <w:rsid w:val="00885E0C"/>
    <w:rsid w:val="0089105A"/>
    <w:rsid w:val="00893352"/>
    <w:rsid w:val="008C29BB"/>
    <w:rsid w:val="008C45FE"/>
    <w:rsid w:val="008D4E7A"/>
    <w:rsid w:val="008E6C15"/>
    <w:rsid w:val="008F5077"/>
    <w:rsid w:val="009172FE"/>
    <w:rsid w:val="00936C1B"/>
    <w:rsid w:val="0094018B"/>
    <w:rsid w:val="009451A0"/>
    <w:rsid w:val="00947B7E"/>
    <w:rsid w:val="00966189"/>
    <w:rsid w:val="00971F62"/>
    <w:rsid w:val="00972031"/>
    <w:rsid w:val="0097329A"/>
    <w:rsid w:val="009750CC"/>
    <w:rsid w:val="00976FCA"/>
    <w:rsid w:val="00977422"/>
    <w:rsid w:val="00983B6D"/>
    <w:rsid w:val="009A491F"/>
    <w:rsid w:val="009B088D"/>
    <w:rsid w:val="009B6D76"/>
    <w:rsid w:val="009C10D5"/>
    <w:rsid w:val="009C4605"/>
    <w:rsid w:val="009E0535"/>
    <w:rsid w:val="009E0BB9"/>
    <w:rsid w:val="009E6162"/>
    <w:rsid w:val="009F732C"/>
    <w:rsid w:val="00A10B4E"/>
    <w:rsid w:val="00A13F18"/>
    <w:rsid w:val="00A14DC0"/>
    <w:rsid w:val="00A14F18"/>
    <w:rsid w:val="00A2202A"/>
    <w:rsid w:val="00A34FE7"/>
    <w:rsid w:val="00A3670D"/>
    <w:rsid w:val="00A40AEF"/>
    <w:rsid w:val="00A41190"/>
    <w:rsid w:val="00A51116"/>
    <w:rsid w:val="00A60B08"/>
    <w:rsid w:val="00A6192E"/>
    <w:rsid w:val="00A66379"/>
    <w:rsid w:val="00A8143D"/>
    <w:rsid w:val="00AA0162"/>
    <w:rsid w:val="00AA2C0B"/>
    <w:rsid w:val="00AB3B64"/>
    <w:rsid w:val="00AB4147"/>
    <w:rsid w:val="00AB4889"/>
    <w:rsid w:val="00AC231D"/>
    <w:rsid w:val="00AC7F63"/>
    <w:rsid w:val="00AD1CD4"/>
    <w:rsid w:val="00AD6204"/>
    <w:rsid w:val="00AE303D"/>
    <w:rsid w:val="00AF08B3"/>
    <w:rsid w:val="00AF10E7"/>
    <w:rsid w:val="00AF31B0"/>
    <w:rsid w:val="00B00B47"/>
    <w:rsid w:val="00B00F67"/>
    <w:rsid w:val="00B03F26"/>
    <w:rsid w:val="00B045E7"/>
    <w:rsid w:val="00B11923"/>
    <w:rsid w:val="00B14A3D"/>
    <w:rsid w:val="00B1537F"/>
    <w:rsid w:val="00B16284"/>
    <w:rsid w:val="00B50BFF"/>
    <w:rsid w:val="00B52EDA"/>
    <w:rsid w:val="00B53A05"/>
    <w:rsid w:val="00B559BC"/>
    <w:rsid w:val="00B57DAA"/>
    <w:rsid w:val="00B71F0C"/>
    <w:rsid w:val="00B768CE"/>
    <w:rsid w:val="00B83E97"/>
    <w:rsid w:val="00B9218C"/>
    <w:rsid w:val="00B965B8"/>
    <w:rsid w:val="00BA7F6C"/>
    <w:rsid w:val="00BB00E7"/>
    <w:rsid w:val="00BB0F09"/>
    <w:rsid w:val="00BE1ADD"/>
    <w:rsid w:val="00BF0DF7"/>
    <w:rsid w:val="00BF7178"/>
    <w:rsid w:val="00C01CCA"/>
    <w:rsid w:val="00C0550A"/>
    <w:rsid w:val="00C1330E"/>
    <w:rsid w:val="00C14D20"/>
    <w:rsid w:val="00C311E2"/>
    <w:rsid w:val="00C33311"/>
    <w:rsid w:val="00C45269"/>
    <w:rsid w:val="00C60114"/>
    <w:rsid w:val="00C604D8"/>
    <w:rsid w:val="00C66F6C"/>
    <w:rsid w:val="00C75F4B"/>
    <w:rsid w:val="00C80C96"/>
    <w:rsid w:val="00C84E28"/>
    <w:rsid w:val="00C87071"/>
    <w:rsid w:val="00C87487"/>
    <w:rsid w:val="00C95BA9"/>
    <w:rsid w:val="00CA0A63"/>
    <w:rsid w:val="00CA67B8"/>
    <w:rsid w:val="00CB48C3"/>
    <w:rsid w:val="00CC02CC"/>
    <w:rsid w:val="00CC0ED8"/>
    <w:rsid w:val="00CD6FE3"/>
    <w:rsid w:val="00CE0DBC"/>
    <w:rsid w:val="00CE1C69"/>
    <w:rsid w:val="00CE462F"/>
    <w:rsid w:val="00CE4A7F"/>
    <w:rsid w:val="00CF3295"/>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D7B1C"/>
    <w:rsid w:val="00DE223A"/>
    <w:rsid w:val="00DE398C"/>
    <w:rsid w:val="00E0124D"/>
    <w:rsid w:val="00E118A1"/>
    <w:rsid w:val="00E301AE"/>
    <w:rsid w:val="00E42FE4"/>
    <w:rsid w:val="00E50BBB"/>
    <w:rsid w:val="00E51458"/>
    <w:rsid w:val="00E51C25"/>
    <w:rsid w:val="00E5453D"/>
    <w:rsid w:val="00E56DC2"/>
    <w:rsid w:val="00E61CD5"/>
    <w:rsid w:val="00E733D6"/>
    <w:rsid w:val="00E75365"/>
    <w:rsid w:val="00EB027B"/>
    <w:rsid w:val="00EB50D8"/>
    <w:rsid w:val="00EC0EFC"/>
    <w:rsid w:val="00EC7C99"/>
    <w:rsid w:val="00EE0F07"/>
    <w:rsid w:val="00EE396F"/>
    <w:rsid w:val="00EE3CFA"/>
    <w:rsid w:val="00EE6D86"/>
    <w:rsid w:val="00EF2A00"/>
    <w:rsid w:val="00F06DB2"/>
    <w:rsid w:val="00F20D81"/>
    <w:rsid w:val="00F31DB3"/>
    <w:rsid w:val="00F342AB"/>
    <w:rsid w:val="00F36A3F"/>
    <w:rsid w:val="00F41AD3"/>
    <w:rsid w:val="00F46E5E"/>
    <w:rsid w:val="00F47F67"/>
    <w:rsid w:val="00F56C49"/>
    <w:rsid w:val="00F56EFF"/>
    <w:rsid w:val="00F73178"/>
    <w:rsid w:val="00F80BE8"/>
    <w:rsid w:val="00F81614"/>
    <w:rsid w:val="00F91A4D"/>
    <w:rsid w:val="00F94602"/>
    <w:rsid w:val="00FA472E"/>
    <w:rsid w:val="00FA5F01"/>
    <w:rsid w:val="00FA6A88"/>
    <w:rsid w:val="00FB1920"/>
    <w:rsid w:val="00FC47C8"/>
    <w:rsid w:val="00FE2E18"/>
    <w:rsid w:val="00FF0823"/>
    <w:rsid w:val="00FF62B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65E2A6-9AB9-4552-AB55-F531C39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 w:type="paragraph" w:customStyle="1" w:styleId="Style">
    <w:name w:val="Style"/>
    <w:rsid w:val="00847E7F"/>
    <w:pPr>
      <w:widowControl w:val="0"/>
      <w:autoSpaceDE w:val="0"/>
      <w:autoSpaceDN w:val="0"/>
      <w:adjustRightInd w:val="0"/>
    </w:pPr>
    <w:rPr>
      <w:rFonts w:ascii="Arial" w:hAnsi="Arial" w:cs="Arial"/>
      <w:sz w:val="24"/>
      <w:szCs w:val="24"/>
    </w:rPr>
  </w:style>
  <w:style w:type="character" w:styleId="Hyperlink">
    <w:name w:val="Hyperlink"/>
    <w:uiPriority w:val="99"/>
    <w:rsid w:val="00CE0D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eckmancoulter.com/wsrportat/page/techdoc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70E6C"/>
    <w:rsid w:val="000F63DB"/>
    <w:rsid w:val="00130ABF"/>
    <w:rsid w:val="00140F6A"/>
    <w:rsid w:val="00230830"/>
    <w:rsid w:val="002C3A63"/>
    <w:rsid w:val="00302917"/>
    <w:rsid w:val="00331E0D"/>
    <w:rsid w:val="00503C9E"/>
    <w:rsid w:val="005A495C"/>
    <w:rsid w:val="00684B96"/>
    <w:rsid w:val="006E2ED4"/>
    <w:rsid w:val="00851092"/>
    <w:rsid w:val="00856328"/>
    <w:rsid w:val="008972FD"/>
    <w:rsid w:val="008F2A2C"/>
    <w:rsid w:val="009E2D04"/>
    <w:rsid w:val="00A8409A"/>
    <w:rsid w:val="00AD747A"/>
    <w:rsid w:val="00BA5A27"/>
    <w:rsid w:val="00C1487A"/>
    <w:rsid w:val="00CD2384"/>
    <w:rsid w:val="00DC6B3D"/>
    <w:rsid w:val="00F16430"/>
    <w:rsid w:val="00FB77E8"/>
    <w:rsid w:val="00FC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146</TotalTime>
  <Pages>7</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20</cp:revision>
  <cp:lastPrinted>2011-03-21T23:09:00Z</cp:lastPrinted>
  <dcterms:created xsi:type="dcterms:W3CDTF">2017-07-20T16:28:00Z</dcterms:created>
  <dcterms:modified xsi:type="dcterms:W3CDTF">2017-08-17T18:18:00Z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