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0D" w:rsidRPr="009E0D45" w:rsidRDefault="00A3670D" w:rsidP="008660FE">
      <w:pPr>
        <w:pStyle w:val="BlockLine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:rsidRPr="009E0D45" w:rsidTr="00D32C36">
        <w:trPr>
          <w:cantSplit/>
        </w:trPr>
        <w:tc>
          <w:tcPr>
            <w:tcW w:w="1728" w:type="dxa"/>
          </w:tcPr>
          <w:p w:rsidR="00A3670D" w:rsidRPr="009E0D45" w:rsidRDefault="00A3670D" w:rsidP="00617850">
            <w:pPr>
              <w:pStyle w:val="Heading5"/>
              <w:rPr>
                <w:rFonts w:ascii="Arial" w:hAnsi="Arial" w:cs="Arial"/>
                <w:szCs w:val="22"/>
              </w:rPr>
            </w:pPr>
            <w:r w:rsidRPr="009E0D45">
              <w:rPr>
                <w:rFonts w:ascii="Arial" w:hAnsi="Arial" w:cs="Arial"/>
                <w:szCs w:val="22"/>
              </w:rPr>
              <w:t>P</w:t>
            </w:r>
            <w:r w:rsidR="00617850" w:rsidRPr="009E0D45">
              <w:rPr>
                <w:rFonts w:ascii="Arial" w:hAnsi="Arial" w:cs="Arial"/>
                <w:szCs w:val="22"/>
              </w:rPr>
              <w:t>urpose</w:t>
            </w:r>
          </w:p>
        </w:tc>
        <w:tc>
          <w:tcPr>
            <w:tcW w:w="8010" w:type="dxa"/>
          </w:tcPr>
          <w:p w:rsidR="00A3670D" w:rsidRPr="009E0D45" w:rsidRDefault="00F41AD3" w:rsidP="00617850">
            <w:pPr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The purpose of this procedure is to provide complete instructions for </w:t>
            </w:r>
            <w:r w:rsidR="00617850" w:rsidRPr="009E0D45">
              <w:rPr>
                <w:rFonts w:ascii="Arial" w:hAnsi="Arial" w:cs="Arial"/>
                <w:sz w:val="22"/>
                <w:szCs w:val="22"/>
              </w:rPr>
              <w:t xml:space="preserve">processing urinalysis test on a urine aliquot using a BD </w:t>
            </w:r>
            <w:proofErr w:type="spellStart"/>
            <w:r w:rsidR="00617850" w:rsidRPr="009E0D45">
              <w:rPr>
                <w:rFonts w:ascii="Arial" w:hAnsi="Arial" w:cs="Arial"/>
                <w:sz w:val="22"/>
                <w:szCs w:val="22"/>
              </w:rPr>
              <w:t>vacutainer</w:t>
            </w:r>
            <w:proofErr w:type="spellEnd"/>
            <w:r w:rsidR="00617850" w:rsidRPr="009E0D45">
              <w:rPr>
                <w:rFonts w:ascii="Arial" w:hAnsi="Arial" w:cs="Arial"/>
                <w:sz w:val="22"/>
                <w:szCs w:val="22"/>
              </w:rPr>
              <w:t xml:space="preserve"> UA preservative tube. </w:t>
            </w:r>
          </w:p>
        </w:tc>
      </w:tr>
    </w:tbl>
    <w:p w:rsidR="009451A0" w:rsidRPr="009E0D45" w:rsidRDefault="009451A0" w:rsidP="009451A0">
      <w:pPr>
        <w:pStyle w:val="BlockLine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17850" w:rsidRPr="009E0D45" w:rsidTr="007406DB">
        <w:trPr>
          <w:cantSplit/>
        </w:trPr>
        <w:tc>
          <w:tcPr>
            <w:tcW w:w="1728" w:type="dxa"/>
          </w:tcPr>
          <w:p w:rsidR="00617850" w:rsidRPr="009E0D45" w:rsidRDefault="00617850" w:rsidP="007406DB">
            <w:pPr>
              <w:pStyle w:val="Heading5"/>
              <w:rPr>
                <w:rFonts w:ascii="Arial" w:hAnsi="Arial" w:cs="Arial"/>
                <w:szCs w:val="22"/>
              </w:rPr>
            </w:pPr>
            <w:r w:rsidRPr="009E0D45">
              <w:rPr>
                <w:rFonts w:ascii="Arial" w:hAnsi="Arial" w:cs="Arial"/>
                <w:szCs w:val="22"/>
              </w:rPr>
              <w:t>Policy</w:t>
            </w:r>
          </w:p>
        </w:tc>
        <w:tc>
          <w:tcPr>
            <w:tcW w:w="8010" w:type="dxa"/>
          </w:tcPr>
          <w:p w:rsidR="00617850" w:rsidRPr="009E0D45" w:rsidRDefault="00617850" w:rsidP="005E5025">
            <w:pPr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Urinalysis samples with enough volume can be transferred to a BD </w:t>
            </w:r>
            <w:proofErr w:type="spellStart"/>
            <w:r w:rsidRPr="009E0D45">
              <w:rPr>
                <w:rFonts w:ascii="Arial" w:hAnsi="Arial" w:cs="Arial"/>
                <w:sz w:val="22"/>
                <w:szCs w:val="22"/>
              </w:rPr>
              <w:t>vacutatiner</w:t>
            </w:r>
            <w:proofErr w:type="spellEnd"/>
            <w:r w:rsidRPr="009E0D45">
              <w:rPr>
                <w:rFonts w:ascii="Arial" w:hAnsi="Arial" w:cs="Arial"/>
                <w:sz w:val="22"/>
                <w:szCs w:val="22"/>
              </w:rPr>
              <w:t xml:space="preserve"> UA preservative tube for testing. Urine sample</w:t>
            </w:r>
            <w:r w:rsidR="005E5025" w:rsidRPr="009E0D45">
              <w:rPr>
                <w:rFonts w:ascii="Arial" w:hAnsi="Arial" w:cs="Arial"/>
                <w:sz w:val="22"/>
                <w:szCs w:val="22"/>
              </w:rPr>
              <w:t>s</w:t>
            </w:r>
            <w:r w:rsidRPr="009E0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5025" w:rsidRPr="009E0D45">
              <w:rPr>
                <w:rFonts w:ascii="Arial" w:hAnsi="Arial" w:cs="Arial"/>
                <w:sz w:val="22"/>
                <w:szCs w:val="22"/>
              </w:rPr>
              <w:t>that were</w:t>
            </w:r>
            <w:r w:rsidRPr="009E0D45">
              <w:rPr>
                <w:rFonts w:ascii="Arial" w:hAnsi="Arial" w:cs="Arial"/>
                <w:sz w:val="22"/>
                <w:szCs w:val="22"/>
              </w:rPr>
              <w:t xml:space="preserve"> transferred within 2 hours from time of collection</w:t>
            </w:r>
            <w:r w:rsidR="005E5025" w:rsidRPr="009E0D45">
              <w:rPr>
                <w:rFonts w:ascii="Arial" w:hAnsi="Arial" w:cs="Arial"/>
                <w:sz w:val="22"/>
                <w:szCs w:val="22"/>
              </w:rPr>
              <w:t xml:space="preserve"> on a </w:t>
            </w:r>
            <w:r w:rsidR="005E5025" w:rsidRPr="009E0D45">
              <w:rPr>
                <w:rFonts w:ascii="Arial" w:hAnsi="Arial" w:cs="Arial"/>
                <w:sz w:val="22"/>
                <w:szCs w:val="22"/>
              </w:rPr>
              <w:t xml:space="preserve">BD </w:t>
            </w:r>
            <w:proofErr w:type="spellStart"/>
            <w:r w:rsidR="005E5025" w:rsidRPr="009E0D45">
              <w:rPr>
                <w:rFonts w:ascii="Arial" w:hAnsi="Arial" w:cs="Arial"/>
                <w:sz w:val="22"/>
                <w:szCs w:val="22"/>
              </w:rPr>
              <w:t>vacutatiner</w:t>
            </w:r>
            <w:proofErr w:type="spellEnd"/>
            <w:r w:rsidR="005E5025" w:rsidRPr="009E0D45">
              <w:rPr>
                <w:rFonts w:ascii="Arial" w:hAnsi="Arial" w:cs="Arial"/>
                <w:sz w:val="22"/>
                <w:szCs w:val="22"/>
              </w:rPr>
              <w:t xml:space="preserve"> UA preservative tube</w:t>
            </w:r>
            <w:r w:rsidR="005E5025" w:rsidRPr="009E0D45">
              <w:rPr>
                <w:rFonts w:ascii="Arial" w:hAnsi="Arial" w:cs="Arial"/>
                <w:sz w:val="22"/>
                <w:szCs w:val="22"/>
              </w:rPr>
              <w:t xml:space="preserve"> would be stable for 48 hours from time of collection.</w:t>
            </w:r>
          </w:p>
        </w:tc>
      </w:tr>
    </w:tbl>
    <w:p w:rsidR="00617850" w:rsidRPr="009E0D45" w:rsidRDefault="00617850" w:rsidP="006178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9E0D45" w:rsidTr="00D32C36">
        <w:trPr>
          <w:cantSplit/>
        </w:trPr>
        <w:tc>
          <w:tcPr>
            <w:tcW w:w="1728" w:type="dxa"/>
          </w:tcPr>
          <w:p w:rsidR="009451A0" w:rsidRPr="009E0D45" w:rsidRDefault="00086A2C" w:rsidP="00803536">
            <w:pPr>
              <w:pStyle w:val="Heading5"/>
              <w:rPr>
                <w:rFonts w:ascii="Arial" w:hAnsi="Arial" w:cs="Arial"/>
                <w:szCs w:val="22"/>
              </w:rPr>
            </w:pPr>
            <w:r w:rsidRPr="009E0D45">
              <w:rPr>
                <w:rFonts w:ascii="Arial" w:hAnsi="Arial" w:cs="Arial"/>
                <w:szCs w:val="22"/>
              </w:rPr>
              <w:t>Workplace Safety</w:t>
            </w:r>
          </w:p>
        </w:tc>
        <w:tc>
          <w:tcPr>
            <w:tcW w:w="8010" w:type="dxa"/>
          </w:tcPr>
          <w:p w:rsidR="00086A2C" w:rsidRPr="009E0D45" w:rsidRDefault="00086A2C" w:rsidP="00086A2C">
            <w:pPr>
              <w:pStyle w:val="BlockText"/>
              <w:tabs>
                <w:tab w:val="left" w:pos="1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</w:r>
          </w:p>
          <w:p w:rsidR="00086A2C" w:rsidRPr="009E0D45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For standard precautions and safety practices in the laboratory;  see </w:t>
            </w:r>
            <w:r w:rsidRPr="009E0D45">
              <w:rPr>
                <w:rFonts w:ascii="Arial" w:hAnsi="Arial" w:cs="Arial"/>
                <w:b/>
                <w:sz w:val="22"/>
                <w:szCs w:val="22"/>
              </w:rPr>
              <w:t>Safety Practices</w:t>
            </w:r>
            <w:r w:rsidRPr="009E0D45">
              <w:rPr>
                <w:rFonts w:ascii="Arial" w:hAnsi="Arial" w:cs="Arial"/>
                <w:sz w:val="22"/>
                <w:szCs w:val="22"/>
              </w:rPr>
              <w:t>, specifically, but not limited to, equipment safety, proper body mechanics, sharps exposure and proper use of personal protective equipment (PPE).</w:t>
            </w:r>
          </w:p>
          <w:p w:rsidR="00086A2C" w:rsidRPr="009E0D45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For Universal Body Substance precautions, see </w:t>
            </w:r>
            <w:r w:rsidRPr="009E0D45">
              <w:rPr>
                <w:rFonts w:ascii="Arial" w:hAnsi="Arial" w:cs="Arial"/>
                <w:b/>
                <w:sz w:val="22"/>
                <w:szCs w:val="22"/>
              </w:rPr>
              <w:t>Universal Body Substance Precautions</w:t>
            </w:r>
            <w:r w:rsidRPr="009E0D45">
              <w:rPr>
                <w:rFonts w:ascii="Arial" w:hAnsi="Arial" w:cs="Arial"/>
                <w:sz w:val="22"/>
                <w:szCs w:val="22"/>
              </w:rPr>
              <w:t>, specifically, but not limited to, exposure to body fluids.</w:t>
            </w:r>
          </w:p>
          <w:p w:rsidR="00086A2C" w:rsidRPr="009E0D45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For proper hand-washing, see </w:t>
            </w:r>
            <w:r w:rsidRPr="009E0D45">
              <w:rPr>
                <w:rFonts w:ascii="Arial" w:hAnsi="Arial" w:cs="Arial"/>
                <w:b/>
                <w:sz w:val="22"/>
                <w:szCs w:val="22"/>
              </w:rPr>
              <w:t>Hand washing Policy</w:t>
            </w:r>
            <w:r w:rsidRPr="009E0D45">
              <w:rPr>
                <w:rFonts w:ascii="Arial" w:hAnsi="Arial" w:cs="Arial"/>
                <w:sz w:val="22"/>
                <w:szCs w:val="22"/>
              </w:rPr>
              <w:t>, specifically, not limited to, proper hand-washing.</w:t>
            </w:r>
          </w:p>
          <w:p w:rsidR="00086A2C" w:rsidRPr="009E0D45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For proper infection control, see </w:t>
            </w:r>
            <w:r w:rsidRPr="009E0D45">
              <w:rPr>
                <w:rFonts w:ascii="Arial" w:hAnsi="Arial" w:cs="Arial"/>
                <w:b/>
                <w:sz w:val="22"/>
                <w:szCs w:val="22"/>
              </w:rPr>
              <w:t>Infection Control</w:t>
            </w:r>
            <w:r w:rsidRPr="009E0D45">
              <w:rPr>
                <w:rFonts w:ascii="Arial" w:hAnsi="Arial" w:cs="Arial"/>
                <w:sz w:val="22"/>
                <w:szCs w:val="22"/>
              </w:rPr>
              <w:t>, specifically, but not limited to, proper use of gloves.</w:t>
            </w:r>
          </w:p>
          <w:p w:rsidR="00086A2C" w:rsidRPr="009E0D45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For proper handling of regular and infectious waste, see </w:t>
            </w:r>
            <w:r w:rsidRPr="009E0D45">
              <w:rPr>
                <w:rFonts w:ascii="Arial" w:hAnsi="Arial" w:cs="Arial"/>
                <w:b/>
                <w:sz w:val="22"/>
                <w:szCs w:val="22"/>
              </w:rPr>
              <w:t>Handling of Regular and Infectious Waste</w:t>
            </w:r>
            <w:r w:rsidRPr="009E0D45">
              <w:rPr>
                <w:rFonts w:ascii="Arial" w:hAnsi="Arial" w:cs="Arial"/>
                <w:sz w:val="22"/>
                <w:szCs w:val="22"/>
              </w:rPr>
              <w:t xml:space="preserve">, specifically, but not limited to, proper disposal of regular and </w:t>
            </w:r>
            <w:proofErr w:type="spellStart"/>
            <w:r w:rsidRPr="009E0D45">
              <w:rPr>
                <w:rFonts w:ascii="Arial" w:hAnsi="Arial" w:cs="Arial"/>
                <w:sz w:val="22"/>
                <w:szCs w:val="22"/>
              </w:rPr>
              <w:t>biohazardous</w:t>
            </w:r>
            <w:proofErr w:type="spellEnd"/>
            <w:r w:rsidRPr="009E0D45">
              <w:rPr>
                <w:rFonts w:ascii="Arial" w:hAnsi="Arial" w:cs="Arial"/>
                <w:sz w:val="22"/>
                <w:szCs w:val="22"/>
              </w:rPr>
              <w:t xml:space="preserve"> waste.</w:t>
            </w:r>
          </w:p>
          <w:p w:rsidR="00086A2C" w:rsidRPr="009E0D45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For proper cleaning of work area, see </w:t>
            </w:r>
            <w:r w:rsidRPr="009E0D45">
              <w:rPr>
                <w:rFonts w:ascii="Arial" w:hAnsi="Arial" w:cs="Arial"/>
                <w:b/>
                <w:sz w:val="22"/>
                <w:szCs w:val="22"/>
              </w:rPr>
              <w:t>Cleaning Work Areas</w:t>
            </w:r>
            <w:r w:rsidRPr="009E0D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6A2C" w:rsidRPr="009E0D45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>For proper handling of chemicals and reagents, see the Chemical Hygiene Plan.</w:t>
            </w:r>
          </w:p>
          <w:p w:rsidR="009451A0" w:rsidRPr="009E0D45" w:rsidRDefault="00086A2C" w:rsidP="00086A2C">
            <w:pPr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For proper storage and disposal of chemical hazardous waste, see </w:t>
            </w:r>
            <w:r w:rsidRPr="009E0D45">
              <w:rPr>
                <w:rFonts w:ascii="Arial" w:hAnsi="Arial" w:cs="Arial"/>
                <w:b/>
                <w:sz w:val="22"/>
                <w:szCs w:val="22"/>
              </w:rPr>
              <w:t>Storage &amp; Disposal of Chemical Hazardous Waste</w:t>
            </w:r>
            <w:r w:rsidRPr="009E0D45">
              <w:rPr>
                <w:rFonts w:ascii="Arial" w:hAnsi="Arial" w:cs="Arial"/>
                <w:sz w:val="22"/>
                <w:szCs w:val="22"/>
              </w:rPr>
              <w:t>. 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</w:r>
          </w:p>
          <w:p w:rsidR="009451A0" w:rsidRPr="009E0D45" w:rsidRDefault="009451A0" w:rsidP="008035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6EE9" w:rsidRPr="009E0D45" w:rsidRDefault="005A6EE9" w:rsidP="008660FE">
      <w:pPr>
        <w:pStyle w:val="BlockLine"/>
        <w:ind w:left="0"/>
        <w:rPr>
          <w:rFonts w:ascii="Arial" w:hAnsi="Arial" w:cs="Arial"/>
          <w:sz w:val="22"/>
          <w:szCs w:val="22"/>
        </w:rPr>
      </w:pPr>
    </w:p>
    <w:p w:rsidR="00617850" w:rsidRPr="009E0D45" w:rsidRDefault="00617850" w:rsidP="00617850">
      <w:pPr>
        <w:rPr>
          <w:rFonts w:ascii="Arial" w:hAnsi="Arial" w:cs="Arial"/>
          <w:sz w:val="22"/>
          <w:szCs w:val="22"/>
        </w:rPr>
      </w:pPr>
    </w:p>
    <w:p w:rsidR="00617850" w:rsidRPr="009E0D45" w:rsidRDefault="00617850" w:rsidP="00617850">
      <w:pPr>
        <w:rPr>
          <w:rFonts w:ascii="Arial" w:hAnsi="Arial" w:cs="Arial"/>
          <w:sz w:val="22"/>
          <w:szCs w:val="22"/>
        </w:rPr>
      </w:pPr>
    </w:p>
    <w:p w:rsidR="00617850" w:rsidRPr="009E0D45" w:rsidRDefault="00617850" w:rsidP="00617850">
      <w:pPr>
        <w:rPr>
          <w:rFonts w:ascii="Arial" w:hAnsi="Arial" w:cs="Arial"/>
          <w:sz w:val="22"/>
          <w:szCs w:val="22"/>
        </w:rPr>
      </w:pPr>
    </w:p>
    <w:p w:rsidR="00617850" w:rsidRPr="009E0D45" w:rsidRDefault="00617850" w:rsidP="00617850">
      <w:pPr>
        <w:rPr>
          <w:rFonts w:ascii="Arial" w:hAnsi="Arial" w:cs="Arial"/>
          <w:sz w:val="22"/>
          <w:szCs w:val="22"/>
        </w:rPr>
      </w:pPr>
    </w:p>
    <w:p w:rsidR="00617850" w:rsidRPr="009E0D45" w:rsidRDefault="00617850" w:rsidP="00617850">
      <w:pPr>
        <w:rPr>
          <w:rFonts w:ascii="Arial" w:hAnsi="Arial" w:cs="Arial"/>
          <w:sz w:val="22"/>
          <w:szCs w:val="22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1440"/>
        <w:gridCol w:w="8413"/>
      </w:tblGrid>
      <w:tr w:rsidR="00617850" w:rsidRPr="009E0D45" w:rsidTr="00617850">
        <w:trPr>
          <w:cantSplit/>
          <w:trHeight w:val="2255"/>
        </w:trPr>
        <w:tc>
          <w:tcPr>
            <w:tcW w:w="1440" w:type="dxa"/>
          </w:tcPr>
          <w:p w:rsidR="00617850" w:rsidRPr="009E0D45" w:rsidRDefault="00617850" w:rsidP="007406DB">
            <w:pPr>
              <w:pStyle w:val="Heading5"/>
              <w:rPr>
                <w:rFonts w:ascii="Arial" w:hAnsi="Arial" w:cs="Arial"/>
                <w:szCs w:val="22"/>
              </w:rPr>
            </w:pPr>
            <w:r w:rsidRPr="009E0D45">
              <w:rPr>
                <w:rFonts w:ascii="Arial" w:hAnsi="Arial" w:cs="Arial"/>
                <w:szCs w:val="22"/>
              </w:rPr>
              <w:lastRenderedPageBreak/>
              <w:t>Materials and equipment</w:t>
            </w:r>
          </w:p>
        </w:tc>
        <w:tc>
          <w:tcPr>
            <w:tcW w:w="8413" w:type="dxa"/>
          </w:tcPr>
          <w:p w:rsidR="00617850" w:rsidRPr="009E0D45" w:rsidRDefault="00617850" w:rsidP="007406DB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 xml:space="preserve">BD </w:t>
            </w:r>
            <w:proofErr w:type="spellStart"/>
            <w:r w:rsidRPr="009E0D45">
              <w:rPr>
                <w:rFonts w:ascii="Arial" w:hAnsi="Arial" w:cs="Arial"/>
                <w:sz w:val="22"/>
                <w:szCs w:val="22"/>
              </w:rPr>
              <w:t>Vacutainer</w:t>
            </w:r>
            <w:proofErr w:type="spellEnd"/>
            <w:r w:rsidRPr="009E0D45">
              <w:rPr>
                <w:rFonts w:ascii="Arial" w:hAnsi="Arial" w:cs="Arial"/>
                <w:sz w:val="22"/>
                <w:szCs w:val="22"/>
              </w:rPr>
              <w:t xml:space="preserve"> UA preservative tube    REF: 364992</w:t>
            </w:r>
          </w:p>
          <w:p w:rsidR="005E5025" w:rsidRPr="009E0D45" w:rsidRDefault="005E5025" w:rsidP="007406DB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5E5025" w:rsidRPr="009E0D45" w:rsidRDefault="00E3305C" w:rsidP="007406DB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object w:dxaOrig="7215" w:dyaOrig="6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25pt;height:227.25pt" o:ole="">
                  <v:imagedata r:id="rId7" o:title=""/>
                </v:shape>
                <o:OLEObject Type="Embed" ProgID="PBrush" ShapeID="_x0000_i1025" DrawAspect="Content" ObjectID="_1570427229" r:id="rId8"/>
              </w:object>
            </w:r>
          </w:p>
        </w:tc>
      </w:tr>
    </w:tbl>
    <w:p w:rsidR="00617850" w:rsidRPr="009E0D45" w:rsidRDefault="00617850" w:rsidP="00617850">
      <w:pPr>
        <w:rPr>
          <w:rFonts w:ascii="Arial" w:hAnsi="Arial" w:cs="Arial"/>
          <w:sz w:val="22"/>
          <w:szCs w:val="22"/>
        </w:rPr>
      </w:pPr>
    </w:p>
    <w:p w:rsidR="00617850" w:rsidRPr="009E0D45" w:rsidRDefault="00617850" w:rsidP="006178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0"/>
      </w:tblGrid>
      <w:tr w:rsidR="008660FE" w:rsidRPr="009E0D45" w:rsidTr="008660FE">
        <w:trPr>
          <w:cantSplit/>
        </w:trPr>
        <w:tc>
          <w:tcPr>
            <w:tcW w:w="9630" w:type="dxa"/>
          </w:tcPr>
          <w:tbl>
            <w:tblPr>
              <w:tblW w:w="9612" w:type="dxa"/>
              <w:tblLayout w:type="fixed"/>
              <w:tblLook w:val="0000" w:firstRow="0" w:lastRow="0" w:firstColumn="0" w:lastColumn="0" w:noHBand="0" w:noVBand="0"/>
            </w:tblPr>
            <w:tblGrid>
              <w:gridCol w:w="1199"/>
              <w:gridCol w:w="8413"/>
            </w:tblGrid>
            <w:tr w:rsidR="008660FE" w:rsidRPr="009E0D45" w:rsidTr="00F41AD3">
              <w:trPr>
                <w:cantSplit/>
                <w:trHeight w:val="2255"/>
              </w:trPr>
              <w:tc>
                <w:tcPr>
                  <w:tcW w:w="1199" w:type="dxa"/>
                </w:tcPr>
                <w:p w:rsidR="008660FE" w:rsidRPr="009E0D45" w:rsidRDefault="00F41AD3" w:rsidP="008660FE">
                  <w:pPr>
                    <w:pStyle w:val="Heading5"/>
                    <w:rPr>
                      <w:rFonts w:ascii="Arial" w:hAnsi="Arial" w:cs="Arial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Cs w:val="22"/>
                    </w:rPr>
                    <w:t>Procedure</w:t>
                  </w:r>
                </w:p>
              </w:tc>
              <w:tc>
                <w:tcPr>
                  <w:tcW w:w="8413" w:type="dxa"/>
                </w:tcPr>
                <w:tbl>
                  <w:tblPr>
                    <w:tblStyle w:val="TableGrid"/>
                    <w:tblW w:w="81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0"/>
                    <w:gridCol w:w="7110"/>
                  </w:tblGrid>
                  <w:tr w:rsidR="005E5025" w:rsidRPr="009E0D45" w:rsidTr="005E5025">
                    <w:tc>
                      <w:tcPr>
                        <w:tcW w:w="8120" w:type="dxa"/>
                        <w:gridSpan w:val="2"/>
                      </w:tcPr>
                      <w:p w:rsidR="005E5025" w:rsidRPr="009E0D45" w:rsidRDefault="005E5025" w:rsidP="00F41AD3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E5025" w:rsidRPr="009E0D45" w:rsidTr="005E5025">
                    <w:tc>
                      <w:tcPr>
                        <w:tcW w:w="1010" w:type="dxa"/>
                      </w:tcPr>
                      <w:p w:rsidR="005E5025" w:rsidRPr="009E0D45" w:rsidRDefault="005E5025" w:rsidP="00F41AD3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E0D4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Steps</w:t>
                        </w:r>
                      </w:p>
                    </w:tc>
                    <w:tc>
                      <w:tcPr>
                        <w:tcW w:w="7110" w:type="dxa"/>
                      </w:tcPr>
                      <w:p w:rsidR="005E5025" w:rsidRPr="009E0D45" w:rsidRDefault="005E5025" w:rsidP="00F41AD3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E0D4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Action</w:t>
                        </w:r>
                      </w:p>
                    </w:tc>
                  </w:tr>
                  <w:tr w:rsidR="005E5025" w:rsidRPr="009E0D45" w:rsidTr="005E5025">
                    <w:tc>
                      <w:tcPr>
                        <w:tcW w:w="1010" w:type="dxa"/>
                      </w:tcPr>
                      <w:p w:rsidR="005E5025" w:rsidRPr="009E0D45" w:rsidRDefault="005E5025" w:rsidP="005E5025">
                        <w:pPr>
                          <w:pStyle w:val="BulletText1"/>
                          <w:numPr>
                            <w:ilvl w:val="0"/>
                            <w:numId w:val="39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10" w:type="dxa"/>
                      </w:tcPr>
                      <w:p w:rsidR="005E5025" w:rsidRPr="009E0D45" w:rsidRDefault="005E5025" w:rsidP="005E5025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Upon receiving the BD </w:t>
                        </w:r>
                        <w:proofErr w:type="spellStart"/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vacutainer</w:t>
                        </w:r>
                        <w:proofErr w:type="spellEnd"/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UA preservative tube with patient urine sample, check that the order attached to the tube is the UA or UA micro tests only. Specimen in aliquot </w:t>
                        </w:r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BD </w:t>
                        </w:r>
                        <w:proofErr w:type="spellStart"/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vacutainer</w:t>
                        </w:r>
                        <w:proofErr w:type="spellEnd"/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UA preservative tube </w:t>
                        </w:r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cannot be used for other urine test orders.</w:t>
                        </w:r>
                      </w:p>
                    </w:tc>
                  </w:tr>
                  <w:tr w:rsidR="005E5025" w:rsidRPr="009E0D45" w:rsidTr="005E5025">
                    <w:tc>
                      <w:tcPr>
                        <w:tcW w:w="1010" w:type="dxa"/>
                      </w:tcPr>
                      <w:p w:rsidR="005E5025" w:rsidRPr="009E0D45" w:rsidRDefault="005E5025" w:rsidP="005E5025">
                        <w:pPr>
                          <w:pStyle w:val="BulletText1"/>
                          <w:numPr>
                            <w:ilvl w:val="0"/>
                            <w:numId w:val="39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10" w:type="dxa"/>
                      </w:tcPr>
                      <w:p w:rsidR="005E5025" w:rsidRPr="009E0D45" w:rsidRDefault="00E3305C" w:rsidP="00E3305C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Check the tube for correct urine volume by using the guide marks on the sticker tube of Min</w:t>
                        </w:r>
                        <w:r w:rsidR="009E0D45"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 (</w:t>
                        </w:r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7ml) and Max</w:t>
                        </w:r>
                        <w:r w:rsidR="009E0D45"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 (</w:t>
                        </w:r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8ml). It is required that the urine volume is between these marks, anything beyond or below these marks would have to be rejected as “Improperly submitted, Test not performed”.</w:t>
                        </w:r>
                      </w:p>
                    </w:tc>
                  </w:tr>
                  <w:tr w:rsidR="005E5025" w:rsidRPr="009E0D45" w:rsidTr="005E5025">
                    <w:tc>
                      <w:tcPr>
                        <w:tcW w:w="1010" w:type="dxa"/>
                      </w:tcPr>
                      <w:p w:rsidR="005E5025" w:rsidRPr="009E0D45" w:rsidRDefault="005E5025" w:rsidP="005E5025">
                        <w:pPr>
                          <w:pStyle w:val="BulletText1"/>
                          <w:numPr>
                            <w:ilvl w:val="0"/>
                            <w:numId w:val="39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10" w:type="dxa"/>
                      </w:tcPr>
                      <w:p w:rsidR="005E5025" w:rsidRPr="009E0D45" w:rsidRDefault="00E3305C" w:rsidP="00F41AD3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After confirming that specimen is acceptable for </w:t>
                        </w:r>
                        <w:r w:rsidR="009E0D45"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analysis</w:t>
                        </w:r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, remove cap and perform urinalysis.</w:t>
                        </w:r>
                      </w:p>
                      <w:p w:rsidR="00E3305C" w:rsidRPr="009E0D45" w:rsidRDefault="009E0D45" w:rsidP="00F41AD3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9E0D45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Note: T</w:t>
                        </w:r>
                        <w:r w:rsidR="00E3305C" w:rsidRPr="009E0D45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 xml:space="preserve">ube is compatible to </w:t>
                        </w:r>
                        <w:proofErr w:type="spellStart"/>
                        <w:r w:rsidR="00E3305C" w:rsidRPr="009E0D45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Iricell</w:t>
                        </w:r>
                        <w:proofErr w:type="spellEnd"/>
                        <w:r w:rsidR="00E3305C" w:rsidRPr="009E0D45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 xml:space="preserve"> racks and can be used as a direct test tube for analysis on the instrument.</w:t>
                        </w:r>
                      </w:p>
                    </w:tc>
                  </w:tr>
                  <w:tr w:rsidR="005E5025" w:rsidRPr="009E0D45" w:rsidTr="005E5025">
                    <w:tc>
                      <w:tcPr>
                        <w:tcW w:w="1010" w:type="dxa"/>
                      </w:tcPr>
                      <w:p w:rsidR="005E5025" w:rsidRPr="009E0D45" w:rsidRDefault="005E5025" w:rsidP="005E5025">
                        <w:pPr>
                          <w:pStyle w:val="BulletText1"/>
                          <w:numPr>
                            <w:ilvl w:val="0"/>
                            <w:numId w:val="39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10" w:type="dxa"/>
                      </w:tcPr>
                      <w:p w:rsidR="005E5025" w:rsidRPr="009E0D45" w:rsidRDefault="00E3305C" w:rsidP="00E3305C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After analysis, store urine samples tested on a BD </w:t>
                        </w:r>
                        <w:proofErr w:type="spellStart"/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vacutainer</w:t>
                        </w:r>
                        <w:proofErr w:type="spellEnd"/>
                        <w:r w:rsidRPr="009E0D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UA preservative tube for 48 hours.</w:t>
                        </w:r>
                      </w:p>
                    </w:tc>
                  </w:tr>
                </w:tbl>
                <w:p w:rsidR="00F41AD3" w:rsidRPr="009E0D45" w:rsidRDefault="00F41AD3" w:rsidP="00F41AD3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660FE" w:rsidRPr="009E0D45" w:rsidRDefault="008660FE" w:rsidP="008660FE">
            <w:pPr>
              <w:rPr>
                <w:rFonts w:ascii="Arial" w:hAnsi="Arial" w:cs="Arial"/>
                <w:sz w:val="22"/>
                <w:szCs w:val="22"/>
              </w:rPr>
            </w:pPr>
          </w:p>
          <w:p w:rsidR="008660FE" w:rsidRPr="009E0D45" w:rsidRDefault="008660FE" w:rsidP="00803536">
            <w:pPr>
              <w:rPr>
                <w:rFonts w:ascii="Arial" w:hAnsi="Arial" w:cs="Arial"/>
                <w:sz w:val="22"/>
                <w:szCs w:val="22"/>
              </w:rPr>
            </w:pPr>
          </w:p>
          <w:p w:rsidR="008660FE" w:rsidRPr="009E0D45" w:rsidRDefault="008660FE" w:rsidP="00803536">
            <w:pPr>
              <w:rPr>
                <w:rFonts w:ascii="Arial" w:hAnsi="Arial" w:cs="Arial"/>
                <w:sz w:val="22"/>
                <w:szCs w:val="22"/>
              </w:rPr>
            </w:pPr>
          </w:p>
          <w:p w:rsidR="008660FE" w:rsidRPr="009E0D45" w:rsidRDefault="008660FE" w:rsidP="008035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6EE9" w:rsidRPr="009E0D45" w:rsidRDefault="005A6EE9" w:rsidP="005A6EE9">
      <w:pPr>
        <w:pStyle w:val="BlockLine"/>
        <w:rPr>
          <w:rFonts w:ascii="Arial" w:hAnsi="Arial" w:cs="Arial"/>
          <w:sz w:val="22"/>
          <w:szCs w:val="22"/>
        </w:rPr>
      </w:pPr>
    </w:p>
    <w:p w:rsidR="005A6EE9" w:rsidRPr="009E0D45" w:rsidRDefault="005A6EE9" w:rsidP="005A6EE9">
      <w:pPr>
        <w:pStyle w:val="BlockLine"/>
        <w:rPr>
          <w:rFonts w:ascii="Arial" w:hAnsi="Arial" w:cs="Arial"/>
          <w:sz w:val="22"/>
          <w:szCs w:val="22"/>
        </w:rPr>
      </w:pPr>
    </w:p>
    <w:p w:rsidR="00F41AD3" w:rsidRPr="009E0D45" w:rsidRDefault="00F41AD3" w:rsidP="00F41AD3">
      <w:pPr>
        <w:rPr>
          <w:rFonts w:ascii="Arial" w:hAnsi="Arial" w:cs="Arial"/>
          <w:sz w:val="22"/>
          <w:szCs w:val="22"/>
        </w:rPr>
      </w:pPr>
    </w:p>
    <w:p w:rsidR="00F06DB2" w:rsidRPr="009E0D45" w:rsidRDefault="00F06DB2" w:rsidP="00F06DB2">
      <w:pPr>
        <w:pStyle w:val="BlockLine"/>
        <w:rPr>
          <w:rFonts w:ascii="Arial" w:hAnsi="Arial" w:cs="Arial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41190" w:rsidRPr="009E0D45" w:rsidTr="00A41190">
        <w:trPr>
          <w:cantSplit/>
        </w:trPr>
        <w:tc>
          <w:tcPr>
            <w:tcW w:w="1728" w:type="dxa"/>
          </w:tcPr>
          <w:p w:rsidR="00A41190" w:rsidRPr="009E0D45" w:rsidRDefault="00A41190" w:rsidP="003A749C">
            <w:pPr>
              <w:pStyle w:val="Heading5"/>
              <w:rPr>
                <w:rFonts w:ascii="Arial" w:hAnsi="Arial" w:cs="Arial"/>
                <w:szCs w:val="22"/>
              </w:rPr>
            </w:pPr>
            <w:r w:rsidRPr="009E0D45">
              <w:rPr>
                <w:rFonts w:ascii="Arial" w:hAnsi="Arial" w:cs="Arial"/>
                <w:szCs w:val="22"/>
              </w:rPr>
              <w:t>Controlled Documents</w:t>
            </w:r>
          </w:p>
        </w:tc>
        <w:tc>
          <w:tcPr>
            <w:tcW w:w="8010" w:type="dxa"/>
          </w:tcPr>
          <w:p w:rsidR="00A41190" w:rsidRPr="009E0D45" w:rsidRDefault="00A41190" w:rsidP="00A41190">
            <w:pPr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>The following controlled documents support this procedure.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102"/>
            </w:tblGrid>
            <w:tr w:rsidR="00A41190" w:rsidRPr="009E0D45" w:rsidTr="003A749C">
              <w:tc>
                <w:tcPr>
                  <w:tcW w:w="2407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b/>
                      <w:sz w:val="22"/>
                      <w:szCs w:val="22"/>
                    </w:rPr>
                    <w:t>Document Number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b/>
                      <w:sz w:val="22"/>
                      <w:szCs w:val="22"/>
                    </w:rPr>
                    <w:t>Document Name</w:t>
                  </w:r>
                </w:p>
              </w:tc>
            </w:tr>
            <w:tr w:rsidR="00A41190" w:rsidRPr="009E0D45" w:rsidTr="003A749C">
              <w:tc>
                <w:tcPr>
                  <w:tcW w:w="2407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LAMC-PPP-0123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Safety Practices</w:t>
                  </w:r>
                </w:p>
              </w:tc>
            </w:tr>
            <w:tr w:rsidR="00A41190" w:rsidRPr="009E0D45" w:rsidTr="003A749C">
              <w:tc>
                <w:tcPr>
                  <w:tcW w:w="2407" w:type="dxa"/>
                  <w:shd w:val="clear" w:color="auto" w:fill="auto"/>
                </w:tcPr>
                <w:p w:rsidR="00A41190" w:rsidRPr="009E0D45" w:rsidRDefault="00A41190" w:rsidP="003A749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LAMC-PPP-0127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Infection Control</w:t>
                  </w:r>
                </w:p>
              </w:tc>
            </w:tr>
            <w:tr w:rsidR="00A41190" w:rsidRPr="009E0D45" w:rsidTr="003A749C">
              <w:tc>
                <w:tcPr>
                  <w:tcW w:w="2407" w:type="dxa"/>
                  <w:shd w:val="clear" w:color="auto" w:fill="auto"/>
                </w:tcPr>
                <w:p w:rsidR="00A41190" w:rsidRPr="009E0D45" w:rsidRDefault="00A41190" w:rsidP="003A749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LAMC-PPP-0128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Universal Body Substance Precaution</w:t>
                  </w:r>
                </w:p>
              </w:tc>
            </w:tr>
            <w:tr w:rsidR="00A41190" w:rsidRPr="009E0D45" w:rsidTr="003A749C">
              <w:tc>
                <w:tcPr>
                  <w:tcW w:w="2407" w:type="dxa"/>
                  <w:shd w:val="clear" w:color="auto" w:fill="auto"/>
                </w:tcPr>
                <w:p w:rsidR="00A41190" w:rsidRPr="009E0D45" w:rsidRDefault="00A41190" w:rsidP="003A749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LAMC-PPP-0129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Handling of Regular and Infectious Waste</w:t>
                  </w:r>
                </w:p>
              </w:tc>
            </w:tr>
            <w:tr w:rsidR="00A41190" w:rsidRPr="009E0D45" w:rsidTr="003A749C">
              <w:tc>
                <w:tcPr>
                  <w:tcW w:w="2407" w:type="dxa"/>
                  <w:shd w:val="clear" w:color="auto" w:fill="auto"/>
                </w:tcPr>
                <w:p w:rsidR="00A41190" w:rsidRPr="009E0D45" w:rsidRDefault="00A41190" w:rsidP="003A749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LAMC-PPP-0130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Cleaning Work Areas</w:t>
                  </w:r>
                </w:p>
              </w:tc>
            </w:tr>
            <w:tr w:rsidR="00A41190" w:rsidRPr="009E0D45" w:rsidTr="003A749C">
              <w:tc>
                <w:tcPr>
                  <w:tcW w:w="2407" w:type="dxa"/>
                  <w:shd w:val="clear" w:color="auto" w:fill="auto"/>
                </w:tcPr>
                <w:p w:rsidR="00A41190" w:rsidRPr="009E0D45" w:rsidRDefault="00A41190" w:rsidP="003A749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LAMC-PPP-0132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Hand-washing Policy</w:t>
                  </w:r>
                </w:p>
              </w:tc>
            </w:tr>
            <w:tr w:rsidR="00A41190" w:rsidRPr="009E0D45" w:rsidTr="003A749C">
              <w:tc>
                <w:tcPr>
                  <w:tcW w:w="2407" w:type="dxa"/>
                  <w:shd w:val="clear" w:color="auto" w:fill="auto"/>
                </w:tcPr>
                <w:p w:rsidR="00A41190" w:rsidRPr="009E0D45" w:rsidRDefault="00A41190" w:rsidP="003A749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LAMC-PPP-0134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E0D45" w:rsidRDefault="00A41190" w:rsidP="003A749C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Storage and Disposal of Chemical Hazardous Waste</w:t>
                  </w:r>
                </w:p>
              </w:tc>
            </w:tr>
            <w:tr w:rsidR="004223E3" w:rsidRPr="009E0D45" w:rsidTr="003A749C">
              <w:tc>
                <w:tcPr>
                  <w:tcW w:w="2407" w:type="dxa"/>
                  <w:shd w:val="clear" w:color="auto" w:fill="auto"/>
                </w:tcPr>
                <w:p w:rsidR="004223E3" w:rsidRPr="009E0D45" w:rsidRDefault="009E0D45" w:rsidP="004223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LAMC-PPP-0766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4223E3" w:rsidRPr="009E0D45" w:rsidRDefault="009E0D45" w:rsidP="004223E3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 xml:space="preserve">Use of BD </w:t>
                  </w:r>
                  <w:proofErr w:type="spellStart"/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>Vacutainer</w:t>
                  </w:r>
                  <w:proofErr w:type="spellEnd"/>
                  <w:r w:rsidRPr="009E0D45">
                    <w:rPr>
                      <w:rFonts w:ascii="Arial" w:hAnsi="Arial" w:cs="Arial"/>
                      <w:sz w:val="22"/>
                      <w:szCs w:val="22"/>
                    </w:rPr>
                    <w:t xml:space="preserve"> Urine Tubes for Urine Analysis - MOB Labs</w:t>
                  </w:r>
                </w:p>
              </w:tc>
            </w:tr>
          </w:tbl>
          <w:p w:rsidR="00A41190" w:rsidRPr="009E0D45" w:rsidRDefault="00A41190" w:rsidP="00A41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190" w:rsidRPr="009E0D45" w:rsidTr="00A41190">
        <w:trPr>
          <w:cantSplit/>
        </w:trPr>
        <w:tc>
          <w:tcPr>
            <w:tcW w:w="1728" w:type="dxa"/>
          </w:tcPr>
          <w:p w:rsidR="00A41190" w:rsidRPr="009E0D45" w:rsidRDefault="00A41190" w:rsidP="003A749C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A41190" w:rsidRPr="009E0D45" w:rsidRDefault="00A41190" w:rsidP="00A41190">
            <w:pPr>
              <w:rPr>
                <w:rFonts w:ascii="Arial" w:hAnsi="Arial" w:cs="Arial"/>
                <w:sz w:val="22"/>
                <w:szCs w:val="22"/>
              </w:rPr>
            </w:pPr>
          </w:p>
          <w:p w:rsidR="00A41190" w:rsidRPr="009E0D45" w:rsidRDefault="00A41190" w:rsidP="00A41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0" w:type="dxa"/>
          </w:tcPr>
          <w:p w:rsidR="00A41190" w:rsidRPr="009E0D45" w:rsidRDefault="00A41190" w:rsidP="00A41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B2" w:rsidRPr="009E0D45" w:rsidTr="00A41190">
        <w:trPr>
          <w:cantSplit/>
        </w:trPr>
        <w:tc>
          <w:tcPr>
            <w:tcW w:w="1728" w:type="dxa"/>
          </w:tcPr>
          <w:p w:rsidR="00F06DB2" w:rsidRPr="009E0D45" w:rsidRDefault="00F06DB2" w:rsidP="00F06DB2">
            <w:pPr>
              <w:pStyle w:val="Heading5"/>
              <w:rPr>
                <w:rFonts w:ascii="Arial" w:hAnsi="Arial" w:cs="Arial"/>
                <w:szCs w:val="22"/>
              </w:rPr>
            </w:pPr>
            <w:r w:rsidRPr="009E0D45">
              <w:rPr>
                <w:rFonts w:ascii="Arial" w:hAnsi="Arial" w:cs="Arial"/>
                <w:szCs w:val="22"/>
              </w:rPr>
              <w:t>Author</w:t>
            </w:r>
            <w:r w:rsidR="00D32C36" w:rsidRPr="009E0D45">
              <w:rPr>
                <w:rFonts w:ascii="Arial" w:hAnsi="Arial" w:cs="Arial"/>
                <w:szCs w:val="22"/>
              </w:rPr>
              <w:t>(s)</w:t>
            </w:r>
          </w:p>
        </w:tc>
        <w:tc>
          <w:tcPr>
            <w:tcW w:w="8010" w:type="dxa"/>
          </w:tcPr>
          <w:p w:rsidR="00F06DB2" w:rsidRPr="009E0D45" w:rsidRDefault="00871559" w:rsidP="00F06DB2">
            <w:pPr>
              <w:rPr>
                <w:rFonts w:ascii="Arial" w:hAnsi="Arial" w:cs="Arial"/>
                <w:sz w:val="22"/>
                <w:szCs w:val="22"/>
              </w:rPr>
            </w:pPr>
            <w:r w:rsidRPr="009E0D45">
              <w:rPr>
                <w:rFonts w:ascii="Arial" w:hAnsi="Arial" w:cs="Arial"/>
                <w:sz w:val="22"/>
                <w:szCs w:val="22"/>
              </w:rPr>
              <w:t>Alvin Castillo</w:t>
            </w:r>
          </w:p>
          <w:p w:rsidR="00D05042" w:rsidRPr="009E0D45" w:rsidRDefault="00D05042" w:rsidP="00F0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6AE2" w:rsidRPr="009E0D45" w:rsidRDefault="00D26AE2" w:rsidP="00D26AE2">
      <w:pPr>
        <w:pStyle w:val="BlockLine"/>
        <w:rPr>
          <w:rFonts w:ascii="Arial" w:hAnsi="Arial" w:cs="Arial"/>
          <w:sz w:val="22"/>
          <w:szCs w:val="22"/>
        </w:rPr>
      </w:pPr>
    </w:p>
    <w:p w:rsidR="00F06DB2" w:rsidRPr="009E0D45" w:rsidRDefault="00F06DB2" w:rsidP="00D26AE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06DB2" w:rsidRPr="009E0D45" w:rsidSect="00D43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FB" w:rsidRDefault="00FA2AFB">
      <w:r>
        <w:separator/>
      </w:r>
    </w:p>
  </w:endnote>
  <w:endnote w:type="continuationSeparator" w:id="0">
    <w:p w:rsidR="00FA2AFB" w:rsidRDefault="00F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6" w:rsidRDefault="00637656" w:rsidP="0037374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9E0D45">
      <w:rPr>
        <w:i/>
        <w:noProof/>
        <w:snapToGrid w:val="0"/>
        <w:sz w:val="20"/>
      </w:rPr>
      <w:instrText>3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9E0D45">
      <w:rPr>
        <w:i/>
        <w:noProof/>
        <w:snapToGrid w:val="0"/>
        <w:sz w:val="20"/>
      </w:rPr>
      <w:instrText>3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Pr="00637656">
      <w:rPr>
        <w:i/>
        <w:snapToGrid w:val="0"/>
        <w:sz w:val="20"/>
      </w:rPr>
      <w:fldChar w:fldCharType="end"/>
    </w:r>
  </w:p>
  <w:p w:rsidR="00637656" w:rsidRPr="00637656" w:rsidRDefault="00637656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</w:p>
  <w:p w:rsidR="00D0664E" w:rsidRPr="00C95BA9" w:rsidRDefault="00C60114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9E0D45">
      <w:rPr>
        <w:rStyle w:val="PageNumber"/>
        <w:rFonts w:ascii="Arial" w:hAnsi="Arial" w:cs="Arial"/>
        <w:noProof/>
        <w:sz w:val="20"/>
      </w:rPr>
      <w:t>3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9E0D45">
      <w:rPr>
        <w:rStyle w:val="PageNumber"/>
        <w:rFonts w:ascii="Arial" w:hAnsi="Arial" w:cs="Arial"/>
        <w:noProof/>
        <w:sz w:val="20"/>
      </w:rPr>
      <w:t>3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FB" w:rsidRDefault="00FA2AFB">
      <w:r>
        <w:separator/>
      </w:r>
    </w:p>
  </w:footnote>
  <w:footnote w:type="continuationSeparator" w:id="0">
    <w:p w:rsidR="00FA2AFB" w:rsidRDefault="00FA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AC7F63" w:rsidRPr="00B9218C" w:rsidTr="008D59CB">
      <w:tc>
        <w:tcPr>
          <w:tcW w:w="2605" w:type="dxa"/>
        </w:tcPr>
        <w:p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25757B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</w:t>
          </w:r>
        </w:p>
        <w:p w:rsidR="0025757B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Los Angeles</w:t>
          </w:r>
        </w:p>
        <w:p w:rsidR="00AC7F63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B9218C" w:rsidRPr="00C45269" w:rsidRDefault="00617850" w:rsidP="006E7401">
    <w:pPr>
      <w:pStyle w:val="Heading4"/>
      <w:rPr>
        <w:szCs w:val="32"/>
      </w:rPr>
    </w:pPr>
    <w:r>
      <w:t>USE OF BD VACUTAINER URINE TUBES FOR URINALYSIS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:rsidTr="00DB65BD">
      <w:tc>
        <w:tcPr>
          <w:tcW w:w="2605" w:type="dxa"/>
        </w:tcPr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CCB"/>
    <w:multiLevelType w:val="hybridMultilevel"/>
    <w:tmpl w:val="E5080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16C6542F"/>
    <w:multiLevelType w:val="hybridMultilevel"/>
    <w:tmpl w:val="B3FC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6659"/>
    <w:multiLevelType w:val="hybridMultilevel"/>
    <w:tmpl w:val="852A40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56F513B"/>
    <w:multiLevelType w:val="hybridMultilevel"/>
    <w:tmpl w:val="B36E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6E70"/>
    <w:multiLevelType w:val="hybridMultilevel"/>
    <w:tmpl w:val="5C440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731CD"/>
    <w:multiLevelType w:val="hybridMultilevel"/>
    <w:tmpl w:val="057A924E"/>
    <w:lvl w:ilvl="0" w:tplc="48BCC4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4701D"/>
    <w:multiLevelType w:val="hybridMultilevel"/>
    <w:tmpl w:val="229C3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D3BE9A1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44FE8"/>
    <w:multiLevelType w:val="hybridMultilevel"/>
    <w:tmpl w:val="81E0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21AB"/>
    <w:multiLevelType w:val="hybridMultilevel"/>
    <w:tmpl w:val="0DC47E0C"/>
    <w:lvl w:ilvl="0" w:tplc="E334D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8B24F0"/>
    <w:multiLevelType w:val="hybridMultilevel"/>
    <w:tmpl w:val="21E80394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341E6"/>
    <w:multiLevelType w:val="hybridMultilevel"/>
    <w:tmpl w:val="BA689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C3EE6"/>
    <w:multiLevelType w:val="hybridMultilevel"/>
    <w:tmpl w:val="A1445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62892"/>
    <w:multiLevelType w:val="hybridMultilevel"/>
    <w:tmpl w:val="B36E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55350"/>
    <w:multiLevelType w:val="hybridMultilevel"/>
    <w:tmpl w:val="2A58E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581272ED"/>
    <w:multiLevelType w:val="hybridMultilevel"/>
    <w:tmpl w:val="2E62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E7F9D"/>
    <w:multiLevelType w:val="hybridMultilevel"/>
    <w:tmpl w:val="2E887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B5944"/>
    <w:multiLevelType w:val="hybridMultilevel"/>
    <w:tmpl w:val="2E62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2196"/>
    <w:multiLevelType w:val="hybridMultilevel"/>
    <w:tmpl w:val="03F8A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212A"/>
    <w:multiLevelType w:val="hybridMultilevel"/>
    <w:tmpl w:val="1FC8B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640E4695"/>
    <w:multiLevelType w:val="multilevel"/>
    <w:tmpl w:val="1ED4EC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502883"/>
    <w:multiLevelType w:val="hybridMultilevel"/>
    <w:tmpl w:val="7BDC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81D4C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AA4339"/>
    <w:multiLevelType w:val="hybridMultilevel"/>
    <w:tmpl w:val="2A10F46E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9727E"/>
    <w:multiLevelType w:val="hybridMultilevel"/>
    <w:tmpl w:val="20FE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420F9"/>
    <w:multiLevelType w:val="hybridMultilevel"/>
    <w:tmpl w:val="624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05141"/>
    <w:multiLevelType w:val="multilevel"/>
    <w:tmpl w:val="10DAEB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8EB3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9451698"/>
    <w:multiLevelType w:val="hybridMultilevel"/>
    <w:tmpl w:val="E3D02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5387D"/>
    <w:multiLevelType w:val="hybridMultilevel"/>
    <w:tmpl w:val="81CE3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A1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2"/>
  </w:num>
  <w:num w:numId="3">
    <w:abstractNumId w:val="19"/>
  </w:num>
  <w:num w:numId="4">
    <w:abstractNumId w:val="6"/>
  </w:num>
  <w:num w:numId="5">
    <w:abstractNumId w:val="3"/>
  </w:num>
  <w:num w:numId="6">
    <w:abstractNumId w:val="1"/>
  </w:num>
  <w:num w:numId="7">
    <w:abstractNumId w:val="30"/>
  </w:num>
  <w:num w:numId="8">
    <w:abstractNumId w:val="10"/>
  </w:num>
  <w:num w:numId="9">
    <w:abstractNumId w:val="12"/>
  </w:num>
  <w:num w:numId="10">
    <w:abstractNumId w:val="26"/>
  </w:num>
  <w:num w:numId="11">
    <w:abstractNumId w:val="27"/>
  </w:num>
  <w:num w:numId="12">
    <w:abstractNumId w:val="0"/>
  </w:num>
  <w:num w:numId="13">
    <w:abstractNumId w:val="36"/>
  </w:num>
  <w:num w:numId="14">
    <w:abstractNumId w:val="34"/>
  </w:num>
  <w:num w:numId="15">
    <w:abstractNumId w:val="28"/>
  </w:num>
  <w:num w:numId="16">
    <w:abstractNumId w:val="14"/>
  </w:num>
  <w:num w:numId="17">
    <w:abstractNumId w:val="32"/>
  </w:num>
  <w:num w:numId="18">
    <w:abstractNumId w:val="31"/>
  </w:num>
  <w:num w:numId="19">
    <w:abstractNumId w:val="33"/>
  </w:num>
  <w:num w:numId="20">
    <w:abstractNumId w:val="18"/>
  </w:num>
  <w:num w:numId="21">
    <w:abstractNumId w:val="21"/>
  </w:num>
  <w:num w:numId="22">
    <w:abstractNumId w:val="16"/>
  </w:num>
  <w:num w:numId="23">
    <w:abstractNumId w:val="15"/>
  </w:num>
  <w:num w:numId="24">
    <w:abstractNumId w:val="4"/>
  </w:num>
  <w:num w:numId="25">
    <w:abstractNumId w:val="29"/>
  </w:num>
  <w:num w:numId="26">
    <w:abstractNumId w:val="22"/>
  </w:num>
  <w:num w:numId="27">
    <w:abstractNumId w:val="38"/>
  </w:num>
  <w:num w:numId="28">
    <w:abstractNumId w:val="20"/>
  </w:num>
  <w:num w:numId="29">
    <w:abstractNumId w:val="35"/>
  </w:num>
  <w:num w:numId="30">
    <w:abstractNumId w:val="24"/>
  </w:num>
  <w:num w:numId="31">
    <w:abstractNumId w:val="5"/>
  </w:num>
  <w:num w:numId="32">
    <w:abstractNumId w:val="8"/>
  </w:num>
  <w:num w:numId="33">
    <w:abstractNumId w:val="11"/>
  </w:num>
  <w:num w:numId="34">
    <w:abstractNumId w:val="23"/>
  </w:num>
  <w:num w:numId="35">
    <w:abstractNumId w:val="7"/>
  </w:num>
  <w:num w:numId="36">
    <w:abstractNumId w:val="9"/>
  </w:num>
  <w:num w:numId="37">
    <w:abstractNumId w:val="13"/>
  </w:num>
  <w:num w:numId="38">
    <w:abstractNumId w:val="17"/>
  </w:num>
  <w:num w:numId="39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2"/>
    <w:rsid w:val="000107C0"/>
    <w:rsid w:val="000174C7"/>
    <w:rsid w:val="00023379"/>
    <w:rsid w:val="00036CF5"/>
    <w:rsid w:val="00042DAA"/>
    <w:rsid w:val="00046878"/>
    <w:rsid w:val="00047EF7"/>
    <w:rsid w:val="00056877"/>
    <w:rsid w:val="000728C4"/>
    <w:rsid w:val="00086A2C"/>
    <w:rsid w:val="0009129B"/>
    <w:rsid w:val="000953A5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44E3A"/>
    <w:rsid w:val="0018670E"/>
    <w:rsid w:val="00192DE5"/>
    <w:rsid w:val="001A14EE"/>
    <w:rsid w:val="001B692F"/>
    <w:rsid w:val="00207CFE"/>
    <w:rsid w:val="00211546"/>
    <w:rsid w:val="00222FE8"/>
    <w:rsid w:val="00232612"/>
    <w:rsid w:val="00232E81"/>
    <w:rsid w:val="002363E4"/>
    <w:rsid w:val="0025757B"/>
    <w:rsid w:val="00270793"/>
    <w:rsid w:val="00273CCB"/>
    <w:rsid w:val="002A0EA3"/>
    <w:rsid w:val="002A79D0"/>
    <w:rsid w:val="002C1AC8"/>
    <w:rsid w:val="002C3C99"/>
    <w:rsid w:val="002C46A4"/>
    <w:rsid w:val="002D5E11"/>
    <w:rsid w:val="002E0623"/>
    <w:rsid w:val="00302013"/>
    <w:rsid w:val="003114DA"/>
    <w:rsid w:val="003166A2"/>
    <w:rsid w:val="00334141"/>
    <w:rsid w:val="00334224"/>
    <w:rsid w:val="003347F0"/>
    <w:rsid w:val="003454E3"/>
    <w:rsid w:val="00346DB9"/>
    <w:rsid w:val="003471B5"/>
    <w:rsid w:val="00365A64"/>
    <w:rsid w:val="00373740"/>
    <w:rsid w:val="00377806"/>
    <w:rsid w:val="003805DB"/>
    <w:rsid w:val="003812BA"/>
    <w:rsid w:val="00384A92"/>
    <w:rsid w:val="00390C1A"/>
    <w:rsid w:val="00397DEF"/>
    <w:rsid w:val="003A7308"/>
    <w:rsid w:val="003C2269"/>
    <w:rsid w:val="003C508E"/>
    <w:rsid w:val="003C6786"/>
    <w:rsid w:val="003E40F0"/>
    <w:rsid w:val="003F0A0D"/>
    <w:rsid w:val="004160B3"/>
    <w:rsid w:val="004223E3"/>
    <w:rsid w:val="00433D1F"/>
    <w:rsid w:val="00440B6B"/>
    <w:rsid w:val="00452AA8"/>
    <w:rsid w:val="00454667"/>
    <w:rsid w:val="00471432"/>
    <w:rsid w:val="004802BC"/>
    <w:rsid w:val="00480580"/>
    <w:rsid w:val="00482A53"/>
    <w:rsid w:val="0048686C"/>
    <w:rsid w:val="004965AA"/>
    <w:rsid w:val="004B2090"/>
    <w:rsid w:val="004C1667"/>
    <w:rsid w:val="004C1AD2"/>
    <w:rsid w:val="004C1B71"/>
    <w:rsid w:val="00504B96"/>
    <w:rsid w:val="0050518A"/>
    <w:rsid w:val="005133FE"/>
    <w:rsid w:val="00544E86"/>
    <w:rsid w:val="00595006"/>
    <w:rsid w:val="005A6643"/>
    <w:rsid w:val="005A6EE9"/>
    <w:rsid w:val="005B1E7F"/>
    <w:rsid w:val="005E5025"/>
    <w:rsid w:val="005F2ABD"/>
    <w:rsid w:val="005F3E96"/>
    <w:rsid w:val="00605DCB"/>
    <w:rsid w:val="0061079E"/>
    <w:rsid w:val="00617850"/>
    <w:rsid w:val="00620A2D"/>
    <w:rsid w:val="00633012"/>
    <w:rsid w:val="00637656"/>
    <w:rsid w:val="00677481"/>
    <w:rsid w:val="006A107B"/>
    <w:rsid w:val="006A72CD"/>
    <w:rsid w:val="006C461B"/>
    <w:rsid w:val="006C4C9A"/>
    <w:rsid w:val="006D60D0"/>
    <w:rsid w:val="006E67E1"/>
    <w:rsid w:val="006E7401"/>
    <w:rsid w:val="00700D63"/>
    <w:rsid w:val="00706B6E"/>
    <w:rsid w:val="00707CAE"/>
    <w:rsid w:val="0075494B"/>
    <w:rsid w:val="00760854"/>
    <w:rsid w:val="00763747"/>
    <w:rsid w:val="00774558"/>
    <w:rsid w:val="00781F79"/>
    <w:rsid w:val="00783EFF"/>
    <w:rsid w:val="00787027"/>
    <w:rsid w:val="00797B8C"/>
    <w:rsid w:val="007A4A1C"/>
    <w:rsid w:val="007A5962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801686"/>
    <w:rsid w:val="00803536"/>
    <w:rsid w:val="00821E6D"/>
    <w:rsid w:val="0082621B"/>
    <w:rsid w:val="008415B6"/>
    <w:rsid w:val="008432AD"/>
    <w:rsid w:val="008660FE"/>
    <w:rsid w:val="00871559"/>
    <w:rsid w:val="00875F81"/>
    <w:rsid w:val="0088237F"/>
    <w:rsid w:val="00883D0A"/>
    <w:rsid w:val="0088433C"/>
    <w:rsid w:val="00885E0C"/>
    <w:rsid w:val="0089105A"/>
    <w:rsid w:val="008C29BB"/>
    <w:rsid w:val="008C45FE"/>
    <w:rsid w:val="008D4E7A"/>
    <w:rsid w:val="008F5077"/>
    <w:rsid w:val="00936C1B"/>
    <w:rsid w:val="0094018B"/>
    <w:rsid w:val="009451A0"/>
    <w:rsid w:val="00947B7E"/>
    <w:rsid w:val="00966189"/>
    <w:rsid w:val="00971F62"/>
    <w:rsid w:val="00972031"/>
    <w:rsid w:val="0097329A"/>
    <w:rsid w:val="00976FCA"/>
    <w:rsid w:val="00977422"/>
    <w:rsid w:val="00983B6D"/>
    <w:rsid w:val="009A491F"/>
    <w:rsid w:val="009B088D"/>
    <w:rsid w:val="009C10D5"/>
    <w:rsid w:val="009C4605"/>
    <w:rsid w:val="009E0BB9"/>
    <w:rsid w:val="009E0D45"/>
    <w:rsid w:val="009E6162"/>
    <w:rsid w:val="00A10B4E"/>
    <w:rsid w:val="00A14DC0"/>
    <w:rsid w:val="00A14F18"/>
    <w:rsid w:val="00A2202A"/>
    <w:rsid w:val="00A3670D"/>
    <w:rsid w:val="00A41190"/>
    <w:rsid w:val="00A60B08"/>
    <w:rsid w:val="00A6192E"/>
    <w:rsid w:val="00A66379"/>
    <w:rsid w:val="00A8143D"/>
    <w:rsid w:val="00AA2C0B"/>
    <w:rsid w:val="00AB4147"/>
    <w:rsid w:val="00AB4889"/>
    <w:rsid w:val="00AC231D"/>
    <w:rsid w:val="00AC7F63"/>
    <w:rsid w:val="00AD1CD4"/>
    <w:rsid w:val="00AD6204"/>
    <w:rsid w:val="00AE303D"/>
    <w:rsid w:val="00AF10E7"/>
    <w:rsid w:val="00B00F67"/>
    <w:rsid w:val="00B03F26"/>
    <w:rsid w:val="00B045E7"/>
    <w:rsid w:val="00B14A3D"/>
    <w:rsid w:val="00B1537F"/>
    <w:rsid w:val="00B16284"/>
    <w:rsid w:val="00B50BFF"/>
    <w:rsid w:val="00B53A05"/>
    <w:rsid w:val="00B559BC"/>
    <w:rsid w:val="00B57DAA"/>
    <w:rsid w:val="00B71F0C"/>
    <w:rsid w:val="00B768CE"/>
    <w:rsid w:val="00B83E97"/>
    <w:rsid w:val="00B9218C"/>
    <w:rsid w:val="00B965B8"/>
    <w:rsid w:val="00BA7F6C"/>
    <w:rsid w:val="00BB0F09"/>
    <w:rsid w:val="00BE1ADD"/>
    <w:rsid w:val="00BF0DF7"/>
    <w:rsid w:val="00BF7178"/>
    <w:rsid w:val="00C0550A"/>
    <w:rsid w:val="00C1330E"/>
    <w:rsid w:val="00C14D20"/>
    <w:rsid w:val="00C311E2"/>
    <w:rsid w:val="00C33311"/>
    <w:rsid w:val="00C45269"/>
    <w:rsid w:val="00C51C3C"/>
    <w:rsid w:val="00C60114"/>
    <w:rsid w:val="00C604D8"/>
    <w:rsid w:val="00C66F6C"/>
    <w:rsid w:val="00C75F4B"/>
    <w:rsid w:val="00C80C96"/>
    <w:rsid w:val="00C84E28"/>
    <w:rsid w:val="00C87487"/>
    <w:rsid w:val="00C95BA9"/>
    <w:rsid w:val="00CA0A63"/>
    <w:rsid w:val="00CA67B8"/>
    <w:rsid w:val="00CB48C3"/>
    <w:rsid w:val="00CC02CC"/>
    <w:rsid w:val="00CC0ED8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361C"/>
    <w:rsid w:val="00D44AFA"/>
    <w:rsid w:val="00D6360E"/>
    <w:rsid w:val="00D64FEA"/>
    <w:rsid w:val="00D8329C"/>
    <w:rsid w:val="00D90CBE"/>
    <w:rsid w:val="00DA1F32"/>
    <w:rsid w:val="00DC3744"/>
    <w:rsid w:val="00DD53EF"/>
    <w:rsid w:val="00DE223A"/>
    <w:rsid w:val="00DE398C"/>
    <w:rsid w:val="00E301AE"/>
    <w:rsid w:val="00E3305C"/>
    <w:rsid w:val="00E42FE4"/>
    <w:rsid w:val="00E50BBB"/>
    <w:rsid w:val="00E51458"/>
    <w:rsid w:val="00E5453D"/>
    <w:rsid w:val="00E56DC2"/>
    <w:rsid w:val="00E61CD5"/>
    <w:rsid w:val="00E733D6"/>
    <w:rsid w:val="00E75365"/>
    <w:rsid w:val="00EB027B"/>
    <w:rsid w:val="00EB50D8"/>
    <w:rsid w:val="00EC0EFC"/>
    <w:rsid w:val="00EC7C99"/>
    <w:rsid w:val="00EE0F07"/>
    <w:rsid w:val="00EE396F"/>
    <w:rsid w:val="00EE3CFA"/>
    <w:rsid w:val="00EE6D86"/>
    <w:rsid w:val="00EF2A00"/>
    <w:rsid w:val="00F06DB2"/>
    <w:rsid w:val="00F20D81"/>
    <w:rsid w:val="00F342AB"/>
    <w:rsid w:val="00F36A3F"/>
    <w:rsid w:val="00F41AD3"/>
    <w:rsid w:val="00F47F67"/>
    <w:rsid w:val="00F56C49"/>
    <w:rsid w:val="00F56EFF"/>
    <w:rsid w:val="00F73178"/>
    <w:rsid w:val="00F80BE8"/>
    <w:rsid w:val="00F81614"/>
    <w:rsid w:val="00F91A4D"/>
    <w:rsid w:val="00F93BBD"/>
    <w:rsid w:val="00F94602"/>
    <w:rsid w:val="00FA2AFB"/>
    <w:rsid w:val="00FA472E"/>
    <w:rsid w:val="00FB1920"/>
    <w:rsid w:val="00FC47C8"/>
    <w:rsid w:val="00FE2E18"/>
    <w:rsid w:val="00FF0823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customStyle="1" w:styleId="Default">
    <w:name w:val="Default"/>
    <w:rsid w:val="00AB4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CBE"/>
    <w:pPr>
      <w:ind w:left="720"/>
      <w:contextualSpacing/>
    </w:pPr>
  </w:style>
  <w:style w:type="character" w:customStyle="1" w:styleId="Heading5Char">
    <w:name w:val="Heading 5 Char"/>
    <w:aliases w:val="Block Label Char"/>
    <w:link w:val="Heading5"/>
    <w:locked/>
    <w:rsid w:val="008660FE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C"/>
    <w:rsid w:val="00013DE0"/>
    <w:rsid w:val="00140F6A"/>
    <w:rsid w:val="002C3A63"/>
    <w:rsid w:val="00302917"/>
    <w:rsid w:val="00331E0D"/>
    <w:rsid w:val="004A289E"/>
    <w:rsid w:val="00503C9E"/>
    <w:rsid w:val="005A495C"/>
    <w:rsid w:val="006E2ED4"/>
    <w:rsid w:val="00856328"/>
    <w:rsid w:val="008972FD"/>
    <w:rsid w:val="008F2A2C"/>
    <w:rsid w:val="009E2D04"/>
    <w:rsid w:val="00A8409A"/>
    <w:rsid w:val="00BA5A27"/>
    <w:rsid w:val="00CD2384"/>
    <w:rsid w:val="00F15BB7"/>
    <w:rsid w:val="00F16430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34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3</cp:revision>
  <cp:lastPrinted>2011-03-21T23:09:00Z</cp:lastPrinted>
  <dcterms:created xsi:type="dcterms:W3CDTF">2017-10-25T15:27:00Z</dcterms:created>
  <dcterms:modified xsi:type="dcterms:W3CDTF">2017-10-25T16:01:00Z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/>
  </property>
  <property fmtid="{D5CDD505-2E9C-101B-9397-08002B2CF9AE}" pid="3" name="MC_ReleaseDate">
    <vt:lpwstr/>
  </property>
  <property fmtid="{D5CDD505-2E9C-101B-9397-08002B2CF9AE}" pid="4" name="MC_Revision">
    <vt:lpwstr>07</vt:lpwstr>
  </property>
  <property fmtid="{D5CDD505-2E9C-101B-9397-08002B2CF9AE}" pid="5" name="MC_ExpirationDate">
    <vt:lpwstr/>
  </property>
  <property fmtid="{D5CDD505-2E9C-101B-9397-08002B2CF9AE}" pid="6" name="MC_CreatedDate">
    <vt:lpwstr>14 Aug 2017</vt:lpwstr>
  </property>
  <property fmtid="{D5CDD505-2E9C-101B-9397-08002B2CF9AE}" pid="7" name="MC_Status">
    <vt:lpwstr>Draft</vt:lpwstr>
  </property>
  <property fmtid="{D5CDD505-2E9C-101B-9397-08002B2CF9AE}" pid="8" name="MC_NextReviewDate">
    <vt:lpwstr/>
  </property>
  <property fmtid="{D5CDD505-2E9C-101B-9397-08002B2CF9AE}" pid="9" name="MC_Owner">
    <vt:lpwstr/>
  </property>
  <property fmtid="{D5CDD505-2E9C-101B-9397-08002B2CF9AE}" pid="10" name="MC_Title">
    <vt:lpwstr>Resolving Problem CBC Specimens</vt:lpwstr>
  </property>
  <property fmtid="{D5CDD505-2E9C-101B-9397-08002B2CF9AE}" pid="11" name="MC_Notes">
    <vt:lpwstr/>
  </property>
  <property fmtid="{D5CDD505-2E9C-101B-9397-08002B2CF9AE}" pid="12" name="MC_Number">
    <vt:lpwstr>LAMC-PPP-0297</vt:lpwstr>
  </property>
  <property fmtid="{D5CDD505-2E9C-101B-9397-08002B2CF9AE}" pid="13" name="MC_Author">
    <vt:lpwstr/>
  </property>
  <property fmtid="{D5CDD505-2E9C-101B-9397-08002B2CF9AE}" pid="14" name="MC_Vault">
    <vt:lpwstr>LAMC-dft</vt:lpwstr>
  </property>
  <property fmtid="{D5CDD505-2E9C-101B-9397-08002B2CF9AE}" pid="15" name="MC_CF_Med Center Heme Bench (Old)">
    <vt:lpwstr>HE Manual</vt:lpwstr>
  </property>
  <property fmtid="{D5CDD505-2E9C-101B-9397-08002B2CF9AE}" pid="16" name="MC_CF_Med Center Heme Bench">
    <vt:lpwstr>HE Manual</vt:lpwstr>
  </property>
</Properties>
</file>