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641B" w:rsidRDefault="00440770">
      <w:pPr>
        <w:spacing w:after="0"/>
        <w:ind w:left="888"/>
      </w:pPr>
      <w:r>
        <w:rPr>
          <w:rFonts w:ascii="Times New Roman" w:eastAsia="Times New Roman" w:hAnsi="Times New Roman" w:cs="Times New Roman"/>
          <w:sz w:val="24"/>
        </w:rPr>
        <w:t xml:space="preserve"> </w:t>
      </w:r>
    </w:p>
    <w:p w:rsidR="0021641B" w:rsidRDefault="00440770">
      <w:pPr>
        <w:spacing w:after="0"/>
        <w:ind w:left="82"/>
        <w:jc w:val="center"/>
      </w:pPr>
      <w:r>
        <w:rPr>
          <w:rFonts w:ascii="Times New Roman" w:eastAsia="Times New Roman" w:hAnsi="Times New Roman" w:cs="Times New Roman"/>
          <w:sz w:val="24"/>
        </w:rPr>
        <w:t xml:space="preserve"> </w:t>
      </w:r>
    </w:p>
    <w:p w:rsidR="0021641B" w:rsidRDefault="00440770">
      <w:pPr>
        <w:spacing w:after="0"/>
        <w:ind w:left="888"/>
      </w:pPr>
      <w:r>
        <w:rPr>
          <w:rFonts w:ascii="Times New Roman" w:eastAsia="Times New Roman" w:hAnsi="Times New Roman" w:cs="Times New Roman"/>
          <w:sz w:val="24"/>
        </w:rPr>
        <w:t xml:space="preserve"> </w:t>
      </w:r>
    </w:p>
    <w:p w:rsidR="0021641B" w:rsidRDefault="00440770">
      <w:pPr>
        <w:pBdr>
          <w:top w:val="single" w:sz="4" w:space="0" w:color="000000"/>
          <w:left w:val="single" w:sz="4" w:space="0" w:color="000000"/>
          <w:bottom w:val="single" w:sz="4" w:space="0" w:color="000000"/>
          <w:right w:val="single" w:sz="4" w:space="0" w:color="000000"/>
        </w:pBdr>
        <w:spacing w:after="1" w:line="258" w:lineRule="auto"/>
        <w:ind w:left="523" w:hanging="10"/>
      </w:pPr>
      <w:r>
        <w:rPr>
          <w:rFonts w:ascii="Arial" w:eastAsia="Arial" w:hAnsi="Arial" w:cs="Arial"/>
          <w:sz w:val="20"/>
        </w:rPr>
        <w:t>Kaiser Permanente                                                                                             SCPMG Laboratory Systems</w:t>
      </w:r>
    </w:p>
    <w:p w:rsidR="0021641B" w:rsidRDefault="00440770">
      <w:pPr>
        <w:pBdr>
          <w:top w:val="single" w:sz="4" w:space="0" w:color="000000"/>
          <w:left w:val="single" w:sz="4" w:space="0" w:color="000000"/>
          <w:bottom w:val="single" w:sz="4" w:space="0" w:color="000000"/>
          <w:right w:val="single" w:sz="4" w:space="0" w:color="000000"/>
        </w:pBdr>
        <w:spacing w:after="411" w:line="258" w:lineRule="auto"/>
        <w:ind w:left="523" w:hanging="10"/>
      </w:pPr>
      <w:r>
        <w:rPr>
          <w:rFonts w:ascii="Arial" w:eastAsia="Arial" w:hAnsi="Arial" w:cs="Arial"/>
          <w:sz w:val="20"/>
        </w:rPr>
        <w:t>Medical Care Program                                                                                             Preanaly</w:t>
      </w:r>
      <w:r>
        <w:rPr>
          <w:rFonts w:ascii="Arial" w:eastAsia="Arial" w:hAnsi="Arial" w:cs="Arial"/>
          <w:sz w:val="20"/>
        </w:rPr>
        <w:t>tical Processing California Division – South                                                                                                              Procedure</w:t>
      </w:r>
    </w:p>
    <w:p w:rsidR="0021641B" w:rsidRDefault="00440770">
      <w:pPr>
        <w:pStyle w:val="Heading1"/>
      </w:pPr>
      <w:r>
        <w:t>BD Vacutainer</w:t>
      </w:r>
      <w:r>
        <w:rPr>
          <w:b w:val="0"/>
          <w:sz w:val="20"/>
        </w:rPr>
        <w:t xml:space="preserve">® </w:t>
      </w:r>
      <w:r>
        <w:t>Push Button Blood Collection Set</w:t>
      </w:r>
    </w:p>
    <w:p w:rsidR="0021641B" w:rsidRDefault="00440770">
      <w:pPr>
        <w:spacing w:after="359"/>
        <w:ind w:left="2198"/>
      </w:pPr>
      <w:r>
        <w:rPr>
          <w:noProof/>
        </w:rPr>
        <mc:AlternateContent>
          <mc:Choice Requires="wpg">
            <w:drawing>
              <wp:inline distT="0" distB="0" distL="0" distR="0">
                <wp:extent cx="5084064" cy="9144"/>
                <wp:effectExtent l="0" t="0" r="0" b="0"/>
                <wp:docPr id="5280" name="Group 5280"/>
                <wp:cNvGraphicFramePr/>
                <a:graphic xmlns:a="http://schemas.openxmlformats.org/drawingml/2006/main">
                  <a:graphicData uri="http://schemas.microsoft.com/office/word/2010/wordprocessingGroup">
                    <wpg:wgp>
                      <wpg:cNvGrpSpPr/>
                      <wpg:grpSpPr>
                        <a:xfrm>
                          <a:off x="0" y="0"/>
                          <a:ext cx="5084064" cy="9144"/>
                          <a:chOff x="0" y="0"/>
                          <a:chExt cx="5084064" cy="9144"/>
                        </a:xfrm>
                      </wpg:grpSpPr>
                      <wps:wsp>
                        <wps:cNvPr id="6633" name="Shape 6633"/>
                        <wps:cNvSpPr/>
                        <wps:spPr>
                          <a:xfrm>
                            <a:off x="0" y="0"/>
                            <a:ext cx="5084064" cy="9144"/>
                          </a:xfrm>
                          <a:custGeom>
                            <a:avLst/>
                            <a:gdLst/>
                            <a:ahLst/>
                            <a:cxnLst/>
                            <a:rect l="0" t="0" r="0" b="0"/>
                            <a:pathLst>
                              <a:path w="5084064" h="9144">
                                <a:moveTo>
                                  <a:pt x="0" y="0"/>
                                </a:moveTo>
                                <a:lnTo>
                                  <a:pt x="5084064" y="0"/>
                                </a:lnTo>
                                <a:lnTo>
                                  <a:pt x="50840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280" style="width:400.32pt;height:0.719971pt;mso-position-horizontal-relative:char;mso-position-vertical-relative:line" coordsize="50840,91">
                <v:shape id="Shape 6634" style="position:absolute;width:50840;height:91;left:0;top:0;" coordsize="5084064,9144" path="m0,0l5084064,0l5084064,9144l0,9144l0,0">
                  <v:stroke weight="0pt" endcap="flat" joinstyle="miter" miterlimit="10" on="false" color="#000000" opacity="0"/>
                  <v:fill on="true" color="#000000"/>
                </v:shape>
              </v:group>
            </w:pict>
          </mc:Fallback>
        </mc:AlternateContent>
      </w:r>
    </w:p>
    <w:tbl>
      <w:tblPr>
        <w:tblStyle w:val="TableGrid"/>
        <w:tblpPr w:vertAnchor="text" w:tblpX="2150" w:tblpY="-57"/>
        <w:tblOverlap w:val="never"/>
        <w:tblW w:w="8006" w:type="dxa"/>
        <w:tblInd w:w="0" w:type="dxa"/>
        <w:tblCellMar>
          <w:top w:w="54" w:type="dxa"/>
          <w:left w:w="106" w:type="dxa"/>
          <w:bottom w:w="0" w:type="dxa"/>
          <w:right w:w="26" w:type="dxa"/>
        </w:tblCellMar>
        <w:tblLook w:val="04A0" w:firstRow="1" w:lastRow="0" w:firstColumn="1" w:lastColumn="0" w:noHBand="0" w:noVBand="1"/>
      </w:tblPr>
      <w:tblGrid>
        <w:gridCol w:w="8006"/>
      </w:tblGrid>
      <w:tr w:rsidR="0021641B">
        <w:trPr>
          <w:trHeight w:val="5731"/>
        </w:trPr>
        <w:tc>
          <w:tcPr>
            <w:tcW w:w="8006" w:type="dxa"/>
            <w:tcBorders>
              <w:top w:val="single" w:sz="4" w:space="0" w:color="000000"/>
              <w:left w:val="single" w:sz="4" w:space="0" w:color="000000"/>
              <w:bottom w:val="single" w:sz="4" w:space="0" w:color="000000"/>
              <w:right w:val="single" w:sz="4" w:space="0" w:color="000000"/>
            </w:tcBorders>
          </w:tcPr>
          <w:p w:rsidR="0021641B" w:rsidRDefault="00440770">
            <w:pPr>
              <w:spacing w:after="0"/>
            </w:pPr>
            <w:r>
              <w:rPr>
                <w:rFonts w:ascii="Times New Roman" w:eastAsia="Times New Roman" w:hAnsi="Times New Roman" w:cs="Times New Roman"/>
                <w:sz w:val="24"/>
              </w:rPr>
              <w:t>This procedure provides instructions for using the BD Vacutainer® Push Button</w:t>
            </w:r>
          </w:p>
          <w:p w:rsidR="0021641B" w:rsidRDefault="00440770">
            <w:pPr>
              <w:spacing w:after="8"/>
            </w:pPr>
            <w:r>
              <w:rPr>
                <w:rFonts w:ascii="Times New Roman" w:eastAsia="Times New Roman" w:hAnsi="Times New Roman" w:cs="Times New Roman"/>
                <w:sz w:val="24"/>
              </w:rPr>
              <w:t xml:space="preserve">Blood Collection Set (Needle).  The BD Vacutainer® Push Button Blood </w:t>
            </w:r>
          </w:p>
          <w:p w:rsidR="0021641B" w:rsidRDefault="00440770">
            <w:pPr>
              <w:spacing w:after="0" w:line="248" w:lineRule="auto"/>
            </w:pPr>
            <w:r>
              <w:rPr>
                <w:rFonts w:ascii="Times New Roman" w:eastAsia="Times New Roman" w:hAnsi="Times New Roman" w:cs="Times New Roman"/>
                <w:sz w:val="24"/>
              </w:rPr>
              <w:t>Collection Set is designed to meet the requirements for engineered safety sharps.  The purpose of this needl</w:t>
            </w:r>
            <w:r>
              <w:rPr>
                <w:rFonts w:ascii="Times New Roman" w:eastAsia="Times New Roman" w:hAnsi="Times New Roman" w:cs="Times New Roman"/>
                <w:sz w:val="24"/>
              </w:rPr>
              <w:t>e is to reduce the incidence of accidental needle-sticks by limiting exposure of a used, unsheathed needle by use of in-vein safety activation.  This collection set is commonly known as a “butterfly needle” as it has plastic wings attached to a stainless s</w:t>
            </w:r>
            <w:r>
              <w:rPr>
                <w:rFonts w:ascii="Times New Roman" w:eastAsia="Times New Roman" w:hAnsi="Times New Roman" w:cs="Times New Roman"/>
                <w:sz w:val="24"/>
              </w:rPr>
              <w:t>teel beveled needle. These wings are grasped by the sample collector using the thumb and index finger of one hand during insertion of the needle. Plastic tubing connects the needle to an adapter that may be screwed into a BD Vacutainer® tube holder, syring</w:t>
            </w:r>
            <w:r>
              <w:rPr>
                <w:rFonts w:ascii="Times New Roman" w:eastAsia="Times New Roman" w:hAnsi="Times New Roman" w:cs="Times New Roman"/>
                <w:sz w:val="24"/>
              </w:rPr>
              <w:t xml:space="preserve">e, or other </w:t>
            </w:r>
            <w:proofErr w:type="spellStart"/>
            <w:r>
              <w:rPr>
                <w:rFonts w:ascii="Times New Roman" w:eastAsia="Times New Roman" w:hAnsi="Times New Roman" w:cs="Times New Roman"/>
                <w:sz w:val="24"/>
              </w:rPr>
              <w:t>Luer</w:t>
            </w:r>
            <w:proofErr w:type="spellEnd"/>
            <w:r>
              <w:rPr>
                <w:rFonts w:ascii="Times New Roman" w:eastAsia="Times New Roman" w:hAnsi="Times New Roman" w:cs="Times New Roman"/>
                <w:sz w:val="24"/>
              </w:rPr>
              <w:t xml:space="preserve"> adapter. The butterfly is commonly used for pediatric venipuncture, blood collection from patients with small or difficult veins, and special collections requiring more than one syringe, such as blood cultures.</w:t>
            </w:r>
          </w:p>
          <w:p w:rsidR="0021641B" w:rsidRDefault="00440770">
            <w:pPr>
              <w:spacing w:after="0"/>
            </w:pPr>
            <w:r>
              <w:rPr>
                <w:noProof/>
              </w:rPr>
              <w:drawing>
                <wp:inline distT="0" distB="0" distL="0" distR="0">
                  <wp:extent cx="1716024" cy="1182624"/>
                  <wp:effectExtent l="0" t="0" r="0" b="0"/>
                  <wp:docPr id="220" name="Picture 220"/>
                  <wp:cNvGraphicFramePr/>
                  <a:graphic xmlns:a="http://schemas.openxmlformats.org/drawingml/2006/main">
                    <a:graphicData uri="http://schemas.openxmlformats.org/drawingml/2006/picture">
                      <pic:pic xmlns:pic="http://schemas.openxmlformats.org/drawingml/2006/picture">
                        <pic:nvPicPr>
                          <pic:cNvPr id="220" name="Picture 220"/>
                          <pic:cNvPicPr/>
                        </pic:nvPicPr>
                        <pic:blipFill>
                          <a:blip r:embed="rId5"/>
                          <a:stretch>
                            <a:fillRect/>
                          </a:stretch>
                        </pic:blipFill>
                        <pic:spPr>
                          <a:xfrm>
                            <a:off x="0" y="0"/>
                            <a:ext cx="1716024" cy="1182624"/>
                          </a:xfrm>
                          <a:prstGeom prst="rect">
                            <a:avLst/>
                          </a:prstGeom>
                        </pic:spPr>
                      </pic:pic>
                    </a:graphicData>
                  </a:graphic>
                </wp:inline>
              </w:drawing>
            </w:r>
          </w:p>
        </w:tc>
      </w:tr>
    </w:tbl>
    <w:p w:rsidR="0021641B" w:rsidRDefault="00440770">
      <w:pPr>
        <w:pStyle w:val="Heading2"/>
        <w:spacing w:after="5440"/>
        <w:ind w:left="523"/>
      </w:pPr>
      <w:r>
        <w:t>Introduction</w:t>
      </w:r>
    </w:p>
    <w:p w:rsidR="0021641B" w:rsidRDefault="00440770">
      <w:pPr>
        <w:spacing w:after="359"/>
        <w:ind w:left="2198"/>
      </w:pPr>
      <w:r>
        <w:rPr>
          <w:noProof/>
        </w:rPr>
        <mc:AlternateContent>
          <mc:Choice Requires="wpg">
            <w:drawing>
              <wp:inline distT="0" distB="0" distL="0" distR="0">
                <wp:extent cx="5084064" cy="9144"/>
                <wp:effectExtent l="0" t="0" r="0" b="0"/>
                <wp:docPr id="5281" name="Group 5281"/>
                <wp:cNvGraphicFramePr/>
                <a:graphic xmlns:a="http://schemas.openxmlformats.org/drawingml/2006/main">
                  <a:graphicData uri="http://schemas.microsoft.com/office/word/2010/wordprocessingGroup">
                    <wpg:wgp>
                      <wpg:cNvGrpSpPr/>
                      <wpg:grpSpPr>
                        <a:xfrm>
                          <a:off x="0" y="0"/>
                          <a:ext cx="5084064" cy="9144"/>
                          <a:chOff x="0" y="0"/>
                          <a:chExt cx="5084064" cy="9144"/>
                        </a:xfrm>
                      </wpg:grpSpPr>
                      <wps:wsp>
                        <wps:cNvPr id="6635" name="Shape 6635"/>
                        <wps:cNvSpPr/>
                        <wps:spPr>
                          <a:xfrm>
                            <a:off x="0" y="0"/>
                            <a:ext cx="5084064" cy="9144"/>
                          </a:xfrm>
                          <a:custGeom>
                            <a:avLst/>
                            <a:gdLst/>
                            <a:ahLst/>
                            <a:cxnLst/>
                            <a:rect l="0" t="0" r="0" b="0"/>
                            <a:pathLst>
                              <a:path w="5084064" h="9144">
                                <a:moveTo>
                                  <a:pt x="0" y="0"/>
                                </a:moveTo>
                                <a:lnTo>
                                  <a:pt x="5084064" y="0"/>
                                </a:lnTo>
                                <a:lnTo>
                                  <a:pt x="50840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281" style="width:400.32pt;height:0.720001pt;mso-position-horizontal-relative:char;mso-position-vertical-relative:line" coordsize="50840,91">
                <v:shape id="Shape 6636" style="position:absolute;width:50840;height:91;left:0;top:0;" coordsize="5084064,9144" path="m0,0l5084064,0l5084064,9144l0,9144l0,0">
                  <v:stroke weight="0pt" endcap="flat" joinstyle="miter" miterlimit="10" on="false" color="#000000" opacity="0"/>
                  <v:fill on="true" color="#000000"/>
                </v:shape>
              </v:group>
            </w:pict>
          </mc:Fallback>
        </mc:AlternateContent>
      </w:r>
    </w:p>
    <w:tbl>
      <w:tblPr>
        <w:tblStyle w:val="TableGrid"/>
        <w:tblpPr w:vertAnchor="text" w:tblpX="2150" w:tblpY="-57"/>
        <w:tblOverlap w:val="never"/>
        <w:tblW w:w="8006" w:type="dxa"/>
        <w:tblInd w:w="0" w:type="dxa"/>
        <w:tblCellMar>
          <w:top w:w="54" w:type="dxa"/>
          <w:left w:w="106" w:type="dxa"/>
          <w:bottom w:w="0" w:type="dxa"/>
          <w:right w:w="115" w:type="dxa"/>
        </w:tblCellMar>
        <w:tblLook w:val="04A0" w:firstRow="1" w:lastRow="0" w:firstColumn="1" w:lastColumn="0" w:noHBand="0" w:noVBand="1"/>
      </w:tblPr>
      <w:tblGrid>
        <w:gridCol w:w="8006"/>
      </w:tblGrid>
      <w:tr w:rsidR="0021641B">
        <w:trPr>
          <w:trHeight w:val="1387"/>
        </w:trPr>
        <w:tc>
          <w:tcPr>
            <w:tcW w:w="8006" w:type="dxa"/>
            <w:tcBorders>
              <w:top w:val="single" w:sz="4" w:space="0" w:color="000000"/>
              <w:left w:val="single" w:sz="4" w:space="0" w:color="000000"/>
              <w:bottom w:val="single" w:sz="4" w:space="0" w:color="000000"/>
              <w:right w:val="single" w:sz="4" w:space="0" w:color="000000"/>
            </w:tcBorders>
          </w:tcPr>
          <w:p w:rsidR="0021641B" w:rsidRDefault="00440770">
            <w:pPr>
              <w:spacing w:after="0"/>
            </w:pPr>
            <w:r>
              <w:rPr>
                <w:rFonts w:ascii="Times New Roman" w:eastAsia="Times New Roman" w:hAnsi="Times New Roman" w:cs="Times New Roman"/>
                <w:sz w:val="24"/>
              </w:rPr>
              <w:t>This proce</w:t>
            </w:r>
            <w:r>
              <w:rPr>
                <w:rFonts w:ascii="Times New Roman" w:eastAsia="Times New Roman" w:hAnsi="Times New Roman" w:cs="Times New Roman"/>
                <w:sz w:val="24"/>
              </w:rPr>
              <w:t>dure is intended for all users of blood collection devices.</w:t>
            </w:r>
          </w:p>
        </w:tc>
      </w:tr>
    </w:tbl>
    <w:p w:rsidR="0021641B" w:rsidRDefault="00440770">
      <w:pPr>
        <w:pStyle w:val="Heading2"/>
        <w:spacing w:after="1096"/>
        <w:ind w:left="523"/>
      </w:pPr>
      <w:r>
        <w:t>Scope</w:t>
      </w:r>
    </w:p>
    <w:p w:rsidR="0021641B" w:rsidRDefault="00440770">
      <w:pPr>
        <w:spacing w:after="359"/>
        <w:ind w:left="2198"/>
      </w:pPr>
      <w:r>
        <w:rPr>
          <w:noProof/>
        </w:rPr>
        <mc:AlternateContent>
          <mc:Choice Requires="wpg">
            <w:drawing>
              <wp:inline distT="0" distB="0" distL="0" distR="0">
                <wp:extent cx="5084064" cy="9144"/>
                <wp:effectExtent l="0" t="0" r="0" b="0"/>
                <wp:docPr id="5282" name="Group 5282"/>
                <wp:cNvGraphicFramePr/>
                <a:graphic xmlns:a="http://schemas.openxmlformats.org/drawingml/2006/main">
                  <a:graphicData uri="http://schemas.microsoft.com/office/word/2010/wordprocessingGroup">
                    <wpg:wgp>
                      <wpg:cNvGrpSpPr/>
                      <wpg:grpSpPr>
                        <a:xfrm>
                          <a:off x="0" y="0"/>
                          <a:ext cx="5084064" cy="9144"/>
                          <a:chOff x="0" y="0"/>
                          <a:chExt cx="5084064" cy="9144"/>
                        </a:xfrm>
                      </wpg:grpSpPr>
                      <wps:wsp>
                        <wps:cNvPr id="6637" name="Shape 6637"/>
                        <wps:cNvSpPr/>
                        <wps:spPr>
                          <a:xfrm>
                            <a:off x="0" y="0"/>
                            <a:ext cx="5084064" cy="9144"/>
                          </a:xfrm>
                          <a:custGeom>
                            <a:avLst/>
                            <a:gdLst/>
                            <a:ahLst/>
                            <a:cxnLst/>
                            <a:rect l="0" t="0" r="0" b="0"/>
                            <a:pathLst>
                              <a:path w="5084064" h="9144">
                                <a:moveTo>
                                  <a:pt x="0" y="0"/>
                                </a:moveTo>
                                <a:lnTo>
                                  <a:pt x="5084064" y="0"/>
                                </a:lnTo>
                                <a:lnTo>
                                  <a:pt x="50840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282" style="width:400.32pt;height:0.719971pt;mso-position-horizontal-relative:char;mso-position-vertical-relative:line" coordsize="50840,91">
                <v:shape id="Shape 6638" style="position:absolute;width:50840;height:91;left:0;top:0;" coordsize="5084064,9144" path="m0,0l5084064,0l5084064,9144l0,9144l0,0">
                  <v:stroke weight="0pt" endcap="flat" joinstyle="miter" miterlimit="10" on="false" color="#000000" opacity="0"/>
                  <v:fill on="true" color="#000000"/>
                </v:shape>
              </v:group>
            </w:pict>
          </mc:Fallback>
        </mc:AlternateContent>
      </w:r>
    </w:p>
    <w:tbl>
      <w:tblPr>
        <w:tblStyle w:val="TableGrid"/>
        <w:tblpPr w:vertAnchor="text" w:tblpX="2150" w:tblpY="-57"/>
        <w:tblOverlap w:val="never"/>
        <w:tblW w:w="8006" w:type="dxa"/>
        <w:tblInd w:w="0" w:type="dxa"/>
        <w:tblCellMar>
          <w:top w:w="54" w:type="dxa"/>
          <w:left w:w="106" w:type="dxa"/>
          <w:bottom w:w="0" w:type="dxa"/>
          <w:right w:w="115" w:type="dxa"/>
        </w:tblCellMar>
        <w:tblLook w:val="04A0" w:firstRow="1" w:lastRow="0" w:firstColumn="1" w:lastColumn="0" w:noHBand="0" w:noVBand="1"/>
      </w:tblPr>
      <w:tblGrid>
        <w:gridCol w:w="8006"/>
      </w:tblGrid>
      <w:tr w:rsidR="0021641B">
        <w:trPr>
          <w:trHeight w:val="1666"/>
        </w:trPr>
        <w:tc>
          <w:tcPr>
            <w:tcW w:w="8006" w:type="dxa"/>
            <w:tcBorders>
              <w:top w:val="single" w:sz="4" w:space="0" w:color="000000"/>
              <w:left w:val="single" w:sz="4" w:space="0" w:color="000000"/>
              <w:bottom w:val="single" w:sz="4" w:space="0" w:color="000000"/>
              <w:right w:val="single" w:sz="4" w:space="0" w:color="000000"/>
            </w:tcBorders>
          </w:tcPr>
          <w:p w:rsidR="0021641B" w:rsidRDefault="00440770">
            <w:pPr>
              <w:spacing w:after="0"/>
            </w:pPr>
            <w:r>
              <w:rPr>
                <w:rFonts w:ascii="Times New Roman" w:eastAsia="Times New Roman" w:hAnsi="Times New Roman" w:cs="Times New Roman"/>
                <w:sz w:val="24"/>
              </w:rPr>
              <w:t>Always engage the needle safety device when the venipuncture has been completed.</w:t>
            </w:r>
          </w:p>
        </w:tc>
      </w:tr>
    </w:tbl>
    <w:p w:rsidR="0021641B" w:rsidRDefault="00440770">
      <w:pPr>
        <w:pStyle w:val="Heading2"/>
        <w:spacing w:after="1374"/>
        <w:ind w:left="523"/>
      </w:pPr>
      <w:r>
        <w:t>Policy</w:t>
      </w:r>
    </w:p>
    <w:p w:rsidR="0021641B" w:rsidRDefault="00440770">
      <w:pPr>
        <w:spacing w:after="359"/>
        <w:ind w:left="2198"/>
      </w:pPr>
      <w:r>
        <w:rPr>
          <w:noProof/>
        </w:rPr>
        <mc:AlternateContent>
          <mc:Choice Requires="wpg">
            <w:drawing>
              <wp:inline distT="0" distB="0" distL="0" distR="0">
                <wp:extent cx="5084064" cy="9144"/>
                <wp:effectExtent l="0" t="0" r="0" b="0"/>
                <wp:docPr id="5284" name="Group 5284"/>
                <wp:cNvGraphicFramePr/>
                <a:graphic xmlns:a="http://schemas.openxmlformats.org/drawingml/2006/main">
                  <a:graphicData uri="http://schemas.microsoft.com/office/word/2010/wordprocessingGroup">
                    <wpg:wgp>
                      <wpg:cNvGrpSpPr/>
                      <wpg:grpSpPr>
                        <a:xfrm>
                          <a:off x="0" y="0"/>
                          <a:ext cx="5084064" cy="9144"/>
                          <a:chOff x="0" y="0"/>
                          <a:chExt cx="5084064" cy="9144"/>
                        </a:xfrm>
                      </wpg:grpSpPr>
                      <wps:wsp>
                        <wps:cNvPr id="6639" name="Shape 6639"/>
                        <wps:cNvSpPr/>
                        <wps:spPr>
                          <a:xfrm>
                            <a:off x="0" y="0"/>
                            <a:ext cx="5084064" cy="9144"/>
                          </a:xfrm>
                          <a:custGeom>
                            <a:avLst/>
                            <a:gdLst/>
                            <a:ahLst/>
                            <a:cxnLst/>
                            <a:rect l="0" t="0" r="0" b="0"/>
                            <a:pathLst>
                              <a:path w="5084064" h="9144">
                                <a:moveTo>
                                  <a:pt x="0" y="0"/>
                                </a:moveTo>
                                <a:lnTo>
                                  <a:pt x="5084064" y="0"/>
                                </a:lnTo>
                                <a:lnTo>
                                  <a:pt x="50840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284" style="width:400.32pt;height:0.720032pt;mso-position-horizontal-relative:char;mso-position-vertical-relative:line" coordsize="50840,91">
                <v:shape id="Shape 6640" style="position:absolute;width:50840;height:91;left:0;top:0;" coordsize="5084064,9144" path="m0,0l5084064,0l5084064,9144l0,9144l0,0">
                  <v:stroke weight="0pt" endcap="flat" joinstyle="miter" miterlimit="10" on="false" color="#000000" opacity="0"/>
                  <v:fill on="true" color="#000000"/>
                </v:shape>
              </v:group>
            </w:pict>
          </mc:Fallback>
        </mc:AlternateContent>
      </w:r>
    </w:p>
    <w:tbl>
      <w:tblPr>
        <w:tblStyle w:val="TableGrid"/>
        <w:tblpPr w:vertAnchor="text" w:tblpX="2150" w:tblpY="-57"/>
        <w:tblOverlap w:val="never"/>
        <w:tblW w:w="8006" w:type="dxa"/>
        <w:tblInd w:w="0" w:type="dxa"/>
        <w:tblCellMar>
          <w:top w:w="54" w:type="dxa"/>
          <w:left w:w="106" w:type="dxa"/>
          <w:bottom w:w="0" w:type="dxa"/>
          <w:right w:w="115" w:type="dxa"/>
        </w:tblCellMar>
        <w:tblLook w:val="04A0" w:firstRow="1" w:lastRow="0" w:firstColumn="1" w:lastColumn="0" w:noHBand="0" w:noVBand="1"/>
      </w:tblPr>
      <w:tblGrid>
        <w:gridCol w:w="8006"/>
      </w:tblGrid>
      <w:tr w:rsidR="0021641B">
        <w:trPr>
          <w:trHeight w:val="283"/>
        </w:trPr>
        <w:tc>
          <w:tcPr>
            <w:tcW w:w="8006" w:type="dxa"/>
            <w:tcBorders>
              <w:top w:val="single" w:sz="4" w:space="0" w:color="000000"/>
              <w:left w:val="single" w:sz="4" w:space="0" w:color="000000"/>
              <w:bottom w:val="single" w:sz="4" w:space="0" w:color="000000"/>
              <w:right w:val="single" w:sz="4" w:space="0" w:color="000000"/>
            </w:tcBorders>
          </w:tcPr>
          <w:p w:rsidR="0021641B" w:rsidRDefault="00440770">
            <w:pPr>
              <w:spacing w:after="0"/>
            </w:pPr>
            <w:r>
              <w:rPr>
                <w:rFonts w:ascii="Times New Roman" w:eastAsia="Times New Roman" w:hAnsi="Times New Roman" w:cs="Times New Roman"/>
                <w:sz w:val="24"/>
              </w:rPr>
              <w:t>Refer to the safety manual for general safety requirements.</w:t>
            </w:r>
          </w:p>
        </w:tc>
      </w:tr>
    </w:tbl>
    <w:p w:rsidR="0021641B" w:rsidRDefault="00440770">
      <w:pPr>
        <w:pStyle w:val="Heading2"/>
        <w:ind w:left="523"/>
      </w:pPr>
      <w:r>
        <w:t>Safety</w:t>
      </w:r>
    </w:p>
    <w:p w:rsidR="0021641B" w:rsidRDefault="00440770">
      <w:pPr>
        <w:spacing w:after="1279"/>
        <w:ind w:left="2198"/>
      </w:pPr>
      <w:r>
        <w:rPr>
          <w:noProof/>
        </w:rPr>
        <mc:AlternateContent>
          <mc:Choice Requires="wpg">
            <w:drawing>
              <wp:inline distT="0" distB="0" distL="0" distR="0">
                <wp:extent cx="5084064" cy="9144"/>
                <wp:effectExtent l="0" t="0" r="0" b="0"/>
                <wp:docPr id="5285" name="Group 5285"/>
                <wp:cNvGraphicFramePr/>
                <a:graphic xmlns:a="http://schemas.openxmlformats.org/drawingml/2006/main">
                  <a:graphicData uri="http://schemas.microsoft.com/office/word/2010/wordprocessingGroup">
                    <wpg:wgp>
                      <wpg:cNvGrpSpPr/>
                      <wpg:grpSpPr>
                        <a:xfrm>
                          <a:off x="0" y="0"/>
                          <a:ext cx="5084064" cy="9144"/>
                          <a:chOff x="0" y="0"/>
                          <a:chExt cx="5084064" cy="9144"/>
                        </a:xfrm>
                      </wpg:grpSpPr>
                      <wps:wsp>
                        <wps:cNvPr id="6641" name="Shape 6641"/>
                        <wps:cNvSpPr/>
                        <wps:spPr>
                          <a:xfrm>
                            <a:off x="0" y="0"/>
                            <a:ext cx="5084064" cy="9144"/>
                          </a:xfrm>
                          <a:custGeom>
                            <a:avLst/>
                            <a:gdLst/>
                            <a:ahLst/>
                            <a:cxnLst/>
                            <a:rect l="0" t="0" r="0" b="0"/>
                            <a:pathLst>
                              <a:path w="5084064" h="9144">
                                <a:moveTo>
                                  <a:pt x="0" y="0"/>
                                </a:moveTo>
                                <a:lnTo>
                                  <a:pt x="5084064" y="0"/>
                                </a:lnTo>
                                <a:lnTo>
                                  <a:pt x="50840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285" style="width:400.32pt;height:0.720032pt;mso-position-horizontal-relative:char;mso-position-vertical-relative:line" coordsize="50840,91">
                <v:shape id="Shape 6642" style="position:absolute;width:50840;height:91;left:0;top:0;" coordsize="5084064,9144" path="m0,0l5084064,0l5084064,9144l0,9144l0,0">
                  <v:stroke weight="0pt" endcap="flat" joinstyle="miter" miterlimit="10" on="false" color="#000000" opacity="0"/>
                  <v:fill on="true" color="#000000"/>
                </v:shape>
              </v:group>
            </w:pict>
          </mc:Fallback>
        </mc:AlternateContent>
      </w:r>
    </w:p>
    <w:p w:rsidR="0021641B" w:rsidRDefault="00440770">
      <w:pPr>
        <w:spacing w:after="363"/>
        <w:ind w:left="10" w:right="293" w:hanging="10"/>
        <w:jc w:val="right"/>
      </w:pPr>
      <w:r>
        <w:rPr>
          <w:rFonts w:ascii="Arial" w:eastAsia="Arial" w:hAnsi="Arial" w:cs="Arial"/>
          <w:sz w:val="20"/>
        </w:rPr>
        <w:lastRenderedPageBreak/>
        <w:t>Page 1 of 2</w:t>
      </w:r>
      <w:r>
        <w:rPr>
          <w:rFonts w:ascii="Arial" w:eastAsia="Arial" w:hAnsi="Arial" w:cs="Arial"/>
          <w:sz w:val="20"/>
        </w:rPr>
        <w:t xml:space="preserve">                       </w:t>
      </w:r>
    </w:p>
    <w:p w:rsidR="0021641B" w:rsidRDefault="00440770">
      <w:pPr>
        <w:pBdr>
          <w:top w:val="single" w:sz="4" w:space="0" w:color="000000"/>
          <w:left w:val="single" w:sz="4" w:space="0" w:color="000000"/>
          <w:bottom w:val="single" w:sz="4" w:space="0" w:color="000000"/>
          <w:right w:val="single" w:sz="4" w:space="0" w:color="000000"/>
        </w:pBdr>
        <w:spacing w:after="1" w:line="258" w:lineRule="auto"/>
        <w:ind w:left="523" w:hanging="10"/>
      </w:pPr>
      <w:r>
        <w:rPr>
          <w:rFonts w:ascii="Arial" w:eastAsia="Arial" w:hAnsi="Arial" w:cs="Arial"/>
          <w:sz w:val="20"/>
        </w:rPr>
        <w:t>Kaiser Permanente                                                                                             SCPMG Laboratory Systems</w:t>
      </w:r>
    </w:p>
    <w:p w:rsidR="0021641B" w:rsidRDefault="00440770">
      <w:pPr>
        <w:pBdr>
          <w:top w:val="single" w:sz="4" w:space="0" w:color="000000"/>
          <w:left w:val="single" w:sz="4" w:space="0" w:color="000000"/>
          <w:bottom w:val="single" w:sz="4" w:space="0" w:color="000000"/>
          <w:right w:val="single" w:sz="4" w:space="0" w:color="000000"/>
        </w:pBdr>
        <w:spacing w:after="336" w:line="258" w:lineRule="auto"/>
        <w:ind w:left="523" w:hanging="10"/>
      </w:pPr>
      <w:r>
        <w:rPr>
          <w:rFonts w:ascii="Arial" w:eastAsia="Arial" w:hAnsi="Arial" w:cs="Arial"/>
          <w:sz w:val="20"/>
        </w:rPr>
        <w:t xml:space="preserve">Medical Care Program                                                                             </w:t>
      </w:r>
      <w:r>
        <w:rPr>
          <w:rFonts w:ascii="Arial" w:eastAsia="Arial" w:hAnsi="Arial" w:cs="Arial"/>
          <w:sz w:val="20"/>
        </w:rPr>
        <w:t xml:space="preserve">                Preanalytical Processing California Division – South                                                                                                              Procedure</w:t>
      </w:r>
    </w:p>
    <w:p w:rsidR="0021641B" w:rsidRDefault="00440770">
      <w:pPr>
        <w:spacing w:after="0"/>
        <w:ind w:left="2241" w:right="302" w:hanging="1728"/>
      </w:pPr>
      <w:r>
        <w:rPr>
          <w:rFonts w:ascii="Times New Roman" w:eastAsia="Times New Roman" w:hAnsi="Times New Roman" w:cs="Times New Roman"/>
          <w:b/>
        </w:rPr>
        <w:t>Procedure</w:t>
      </w:r>
      <w:r>
        <w:rPr>
          <w:rFonts w:ascii="Times New Roman" w:eastAsia="Times New Roman" w:hAnsi="Times New Roman" w:cs="Times New Roman"/>
          <w:b/>
        </w:rPr>
        <w:tab/>
      </w:r>
      <w:r>
        <w:rPr>
          <w:rFonts w:ascii="Times New Roman" w:eastAsia="Times New Roman" w:hAnsi="Times New Roman" w:cs="Times New Roman"/>
          <w:sz w:val="24"/>
        </w:rPr>
        <w:t>Follow the steps below to use the BD Vacutainer® Push Button Blood Collection Set:</w:t>
      </w:r>
    </w:p>
    <w:tbl>
      <w:tblPr>
        <w:tblStyle w:val="TableGrid"/>
        <w:tblW w:w="8006" w:type="dxa"/>
        <w:tblInd w:w="2150" w:type="dxa"/>
        <w:tblCellMar>
          <w:top w:w="54" w:type="dxa"/>
          <w:left w:w="106" w:type="dxa"/>
          <w:bottom w:w="0" w:type="dxa"/>
          <w:right w:w="0" w:type="dxa"/>
        </w:tblCellMar>
        <w:tblLook w:val="04A0" w:firstRow="1" w:lastRow="0" w:firstColumn="1" w:lastColumn="0" w:noHBand="0" w:noVBand="1"/>
      </w:tblPr>
      <w:tblGrid>
        <w:gridCol w:w="806"/>
        <w:gridCol w:w="7200"/>
      </w:tblGrid>
      <w:tr w:rsidR="0021641B">
        <w:trPr>
          <w:trHeight w:val="288"/>
        </w:trPr>
        <w:tc>
          <w:tcPr>
            <w:tcW w:w="806" w:type="dxa"/>
            <w:tcBorders>
              <w:top w:val="single" w:sz="4" w:space="0" w:color="000000"/>
              <w:left w:val="single" w:sz="4" w:space="0" w:color="000000"/>
              <w:bottom w:val="single" w:sz="4" w:space="0" w:color="000000"/>
              <w:right w:val="single" w:sz="4" w:space="0" w:color="000000"/>
            </w:tcBorders>
          </w:tcPr>
          <w:p w:rsidR="0021641B" w:rsidRDefault="00440770">
            <w:pPr>
              <w:spacing w:after="0"/>
              <w:ind w:left="72"/>
            </w:pPr>
            <w:r>
              <w:rPr>
                <w:rFonts w:ascii="Times New Roman" w:eastAsia="Times New Roman" w:hAnsi="Times New Roman" w:cs="Times New Roman"/>
                <w:b/>
                <w:sz w:val="24"/>
              </w:rPr>
              <w:t>Step</w:t>
            </w:r>
          </w:p>
        </w:tc>
        <w:tc>
          <w:tcPr>
            <w:tcW w:w="7200" w:type="dxa"/>
            <w:tcBorders>
              <w:top w:val="single" w:sz="4" w:space="0" w:color="000000"/>
              <w:left w:val="single" w:sz="4" w:space="0" w:color="000000"/>
              <w:bottom w:val="single" w:sz="4" w:space="0" w:color="000000"/>
              <w:right w:val="single" w:sz="4" w:space="0" w:color="000000"/>
            </w:tcBorders>
          </w:tcPr>
          <w:p w:rsidR="0021641B" w:rsidRDefault="00440770">
            <w:pPr>
              <w:spacing w:after="0"/>
              <w:ind w:right="107"/>
              <w:jc w:val="center"/>
            </w:pPr>
            <w:r>
              <w:rPr>
                <w:rFonts w:ascii="Times New Roman" w:eastAsia="Times New Roman" w:hAnsi="Times New Roman" w:cs="Times New Roman"/>
                <w:b/>
                <w:sz w:val="24"/>
              </w:rPr>
              <w:t>Action</w:t>
            </w:r>
          </w:p>
        </w:tc>
      </w:tr>
      <w:tr w:rsidR="0021641B">
        <w:trPr>
          <w:trHeight w:val="562"/>
        </w:trPr>
        <w:tc>
          <w:tcPr>
            <w:tcW w:w="806" w:type="dxa"/>
            <w:tcBorders>
              <w:top w:val="single" w:sz="4" w:space="0" w:color="000000"/>
              <w:left w:val="single" w:sz="4" w:space="0" w:color="000000"/>
              <w:bottom w:val="single" w:sz="4" w:space="0" w:color="000000"/>
              <w:right w:val="single" w:sz="4" w:space="0" w:color="000000"/>
            </w:tcBorders>
          </w:tcPr>
          <w:p w:rsidR="0021641B" w:rsidRDefault="00440770">
            <w:pPr>
              <w:spacing w:after="0"/>
              <w:ind w:right="110"/>
              <w:jc w:val="center"/>
            </w:pPr>
            <w:r>
              <w:rPr>
                <w:rFonts w:ascii="Times New Roman" w:eastAsia="Times New Roman" w:hAnsi="Times New Roman" w:cs="Times New Roman"/>
                <w:sz w:val="24"/>
              </w:rPr>
              <w:t>1</w:t>
            </w:r>
          </w:p>
        </w:tc>
        <w:tc>
          <w:tcPr>
            <w:tcW w:w="7200" w:type="dxa"/>
            <w:tcBorders>
              <w:top w:val="single" w:sz="4" w:space="0" w:color="000000"/>
              <w:left w:val="single" w:sz="4" w:space="0" w:color="000000"/>
              <w:bottom w:val="single" w:sz="4" w:space="0" w:color="000000"/>
              <w:right w:val="single" w:sz="4" w:space="0" w:color="000000"/>
            </w:tcBorders>
          </w:tcPr>
          <w:p w:rsidR="0021641B" w:rsidRDefault="00440770">
            <w:pPr>
              <w:spacing w:after="0"/>
              <w:ind w:left="5"/>
            </w:pPr>
            <w:r>
              <w:rPr>
                <w:rFonts w:ascii="Times New Roman" w:eastAsia="Times New Roman" w:hAnsi="Times New Roman" w:cs="Times New Roman"/>
                <w:sz w:val="24"/>
              </w:rPr>
              <w:t>Peel back packaging at arrow so that the back end of the wing set is exposed,</w:t>
            </w:r>
          </w:p>
        </w:tc>
      </w:tr>
      <w:tr w:rsidR="0021641B">
        <w:trPr>
          <w:trHeight w:val="562"/>
        </w:trPr>
        <w:tc>
          <w:tcPr>
            <w:tcW w:w="806" w:type="dxa"/>
            <w:tcBorders>
              <w:top w:val="single" w:sz="4" w:space="0" w:color="000000"/>
              <w:left w:val="single" w:sz="4" w:space="0" w:color="000000"/>
              <w:bottom w:val="single" w:sz="4" w:space="0" w:color="000000"/>
              <w:right w:val="single" w:sz="4" w:space="0" w:color="000000"/>
            </w:tcBorders>
          </w:tcPr>
          <w:p w:rsidR="0021641B" w:rsidRDefault="00440770">
            <w:pPr>
              <w:spacing w:after="0"/>
              <w:ind w:right="110"/>
              <w:jc w:val="center"/>
            </w:pPr>
            <w:r>
              <w:rPr>
                <w:rFonts w:ascii="Times New Roman" w:eastAsia="Times New Roman" w:hAnsi="Times New Roman" w:cs="Times New Roman"/>
                <w:sz w:val="24"/>
              </w:rPr>
              <w:t>2</w:t>
            </w:r>
          </w:p>
        </w:tc>
        <w:tc>
          <w:tcPr>
            <w:tcW w:w="7200" w:type="dxa"/>
            <w:tcBorders>
              <w:top w:val="single" w:sz="4" w:space="0" w:color="000000"/>
              <w:left w:val="single" w:sz="4" w:space="0" w:color="000000"/>
              <w:bottom w:val="single" w:sz="4" w:space="0" w:color="000000"/>
              <w:right w:val="single" w:sz="4" w:space="0" w:color="000000"/>
            </w:tcBorders>
          </w:tcPr>
          <w:p w:rsidR="0021641B" w:rsidRDefault="00440770">
            <w:pPr>
              <w:spacing w:after="0"/>
              <w:ind w:left="5"/>
            </w:pPr>
            <w:r>
              <w:rPr>
                <w:rFonts w:ascii="Times New Roman" w:eastAsia="Times New Roman" w:hAnsi="Times New Roman" w:cs="Times New Roman"/>
                <w:sz w:val="24"/>
              </w:rPr>
              <w:t>With thumb and index finger, grasp the rear barrel of the wing set and remove from package.  Be careful to avoid activating the button.</w:t>
            </w:r>
          </w:p>
        </w:tc>
      </w:tr>
      <w:tr w:rsidR="0021641B">
        <w:trPr>
          <w:trHeight w:val="283"/>
        </w:trPr>
        <w:tc>
          <w:tcPr>
            <w:tcW w:w="806" w:type="dxa"/>
            <w:tcBorders>
              <w:top w:val="single" w:sz="4" w:space="0" w:color="000000"/>
              <w:left w:val="single" w:sz="4" w:space="0" w:color="000000"/>
              <w:bottom w:val="single" w:sz="4" w:space="0" w:color="000000"/>
              <w:right w:val="single" w:sz="4" w:space="0" w:color="000000"/>
            </w:tcBorders>
          </w:tcPr>
          <w:p w:rsidR="0021641B" w:rsidRDefault="00440770">
            <w:pPr>
              <w:spacing w:after="0"/>
            </w:pPr>
            <w:r>
              <w:rPr>
                <w:rFonts w:ascii="Times New Roman" w:eastAsia="Times New Roman" w:hAnsi="Times New Roman" w:cs="Times New Roman"/>
                <w:sz w:val="24"/>
              </w:rPr>
              <w:t xml:space="preserve">    3</w:t>
            </w:r>
          </w:p>
        </w:tc>
        <w:tc>
          <w:tcPr>
            <w:tcW w:w="7200" w:type="dxa"/>
            <w:tcBorders>
              <w:top w:val="single" w:sz="4" w:space="0" w:color="000000"/>
              <w:left w:val="single" w:sz="4" w:space="0" w:color="000000"/>
              <w:bottom w:val="single" w:sz="4" w:space="0" w:color="000000"/>
              <w:right w:val="single" w:sz="4" w:space="0" w:color="000000"/>
            </w:tcBorders>
          </w:tcPr>
          <w:p w:rsidR="0021641B" w:rsidRDefault="00440770">
            <w:pPr>
              <w:spacing w:after="0"/>
              <w:ind w:left="5"/>
            </w:pPr>
            <w:r>
              <w:rPr>
                <w:rFonts w:ascii="Times New Roman" w:eastAsia="Times New Roman" w:hAnsi="Times New Roman" w:cs="Times New Roman"/>
                <w:sz w:val="24"/>
              </w:rPr>
              <w:t xml:space="preserve">Attach BD </w:t>
            </w:r>
            <w:proofErr w:type="spellStart"/>
            <w:r>
              <w:rPr>
                <w:rFonts w:ascii="Times New Roman" w:eastAsia="Times New Roman" w:hAnsi="Times New Roman" w:cs="Times New Roman"/>
                <w:sz w:val="24"/>
              </w:rPr>
              <w:t>Vacutanier</w:t>
            </w:r>
            <w:proofErr w:type="spellEnd"/>
            <w:r>
              <w:rPr>
                <w:rFonts w:ascii="Times New Roman" w:eastAsia="Times New Roman" w:hAnsi="Times New Roman" w:cs="Times New Roman"/>
                <w:sz w:val="24"/>
              </w:rPr>
              <w:t>® One Use Holder.  Remove needle sheath.</w:t>
            </w:r>
          </w:p>
        </w:tc>
      </w:tr>
      <w:tr w:rsidR="0021641B">
        <w:trPr>
          <w:trHeight w:val="3082"/>
        </w:trPr>
        <w:tc>
          <w:tcPr>
            <w:tcW w:w="806" w:type="dxa"/>
            <w:tcBorders>
              <w:top w:val="single" w:sz="4" w:space="0" w:color="000000"/>
              <w:left w:val="single" w:sz="4" w:space="0" w:color="000000"/>
              <w:bottom w:val="single" w:sz="4" w:space="0" w:color="000000"/>
              <w:right w:val="single" w:sz="4" w:space="0" w:color="000000"/>
            </w:tcBorders>
          </w:tcPr>
          <w:p w:rsidR="0021641B" w:rsidRDefault="00440770">
            <w:pPr>
              <w:spacing w:after="0"/>
              <w:ind w:right="-15"/>
              <w:jc w:val="right"/>
            </w:pPr>
            <w:r>
              <w:rPr>
                <w:rFonts w:ascii="Times New Roman" w:eastAsia="Times New Roman" w:hAnsi="Times New Roman" w:cs="Times New Roman"/>
                <w:sz w:val="24"/>
              </w:rPr>
              <w:t xml:space="preserve">    </w:t>
            </w:r>
          </w:p>
          <w:p w:rsidR="0021641B" w:rsidRDefault="00440770">
            <w:pPr>
              <w:spacing w:after="0"/>
              <w:ind w:right="110"/>
              <w:jc w:val="center"/>
            </w:pPr>
            <w:r>
              <w:rPr>
                <w:rFonts w:ascii="Times New Roman" w:eastAsia="Times New Roman" w:hAnsi="Times New Roman" w:cs="Times New Roman"/>
                <w:sz w:val="24"/>
              </w:rPr>
              <w:t>4</w:t>
            </w:r>
          </w:p>
        </w:tc>
        <w:tc>
          <w:tcPr>
            <w:tcW w:w="7200" w:type="dxa"/>
            <w:tcBorders>
              <w:top w:val="single" w:sz="4" w:space="0" w:color="000000"/>
              <w:left w:val="single" w:sz="4" w:space="0" w:color="000000"/>
              <w:bottom w:val="single" w:sz="4" w:space="0" w:color="000000"/>
              <w:right w:val="single" w:sz="4" w:space="0" w:color="000000"/>
            </w:tcBorders>
          </w:tcPr>
          <w:p w:rsidR="0021641B" w:rsidRDefault="00440770">
            <w:pPr>
              <w:spacing w:after="251" w:line="266" w:lineRule="auto"/>
              <w:ind w:left="5" w:right="50"/>
            </w:pPr>
            <w:r>
              <w:rPr>
                <w:rFonts w:ascii="Times New Roman" w:eastAsia="Times New Roman" w:hAnsi="Times New Roman" w:cs="Times New Roman"/>
                <w:sz w:val="24"/>
              </w:rPr>
              <w:t xml:space="preserve">Perform the venipuncture by either holding the wings together or holding the body with the thumb and index (or first) finger. </w:t>
            </w:r>
          </w:p>
          <w:p w:rsidR="0021641B" w:rsidRDefault="00440770">
            <w:pPr>
              <w:spacing w:after="22"/>
              <w:ind w:left="5"/>
            </w:pPr>
            <w:r>
              <w:rPr>
                <w:rFonts w:ascii="Times New Roman" w:eastAsia="Times New Roman" w:hAnsi="Times New Roman" w:cs="Times New Roman"/>
                <w:sz w:val="24"/>
              </w:rPr>
              <w:t>NOTE:</w:t>
            </w:r>
          </w:p>
          <w:p w:rsidR="0021641B" w:rsidRDefault="00440770">
            <w:pPr>
              <w:numPr>
                <w:ilvl w:val="0"/>
                <w:numId w:val="1"/>
              </w:numPr>
              <w:spacing w:after="43" w:line="241" w:lineRule="auto"/>
              <w:ind w:right="58" w:hanging="360"/>
            </w:pPr>
            <w:r>
              <w:rPr>
                <w:rFonts w:ascii="Times New Roman" w:eastAsia="Times New Roman" w:hAnsi="Times New Roman" w:cs="Times New Roman"/>
                <w:sz w:val="24"/>
              </w:rPr>
              <w:t xml:space="preserve">Using the thumb and middle finger to grasp the wings </w:t>
            </w:r>
            <w:proofErr w:type="gramStart"/>
            <w:r>
              <w:rPr>
                <w:rFonts w:ascii="Times New Roman" w:eastAsia="Times New Roman" w:hAnsi="Times New Roman" w:cs="Times New Roman"/>
                <w:sz w:val="24"/>
              </w:rPr>
              <w:t>opens up</w:t>
            </w:r>
            <w:proofErr w:type="gramEnd"/>
            <w:r>
              <w:rPr>
                <w:rFonts w:ascii="Times New Roman" w:eastAsia="Times New Roman" w:hAnsi="Times New Roman" w:cs="Times New Roman"/>
                <w:sz w:val="24"/>
              </w:rPr>
              <w:t xml:space="preserve"> the risk of finger stick of the index finger since it is near</w:t>
            </w:r>
            <w:r>
              <w:rPr>
                <w:rFonts w:ascii="Times New Roman" w:eastAsia="Times New Roman" w:hAnsi="Times New Roman" w:cs="Times New Roman"/>
                <w:sz w:val="24"/>
              </w:rPr>
              <w:t xml:space="preserve"> the needle and naturally relaxes to a curled position.</w:t>
            </w:r>
          </w:p>
          <w:p w:rsidR="0021641B" w:rsidRDefault="00440770">
            <w:pPr>
              <w:numPr>
                <w:ilvl w:val="0"/>
                <w:numId w:val="1"/>
              </w:numPr>
              <w:spacing w:after="0"/>
              <w:ind w:right="58" w:hanging="360"/>
            </w:pPr>
            <w:r>
              <w:rPr>
                <w:rFonts w:ascii="Times New Roman" w:eastAsia="Times New Roman" w:hAnsi="Times New Roman" w:cs="Times New Roman"/>
                <w:sz w:val="24"/>
              </w:rPr>
              <w:t>The arrow of the button indicates where to look for the blood flash. If a specimen for coagulation testing is to be collected using this device, a discard tube is needed to fill the blood collection t</w:t>
            </w:r>
            <w:r>
              <w:rPr>
                <w:rFonts w:ascii="Times New Roman" w:eastAsia="Times New Roman" w:hAnsi="Times New Roman" w:cs="Times New Roman"/>
                <w:sz w:val="24"/>
              </w:rPr>
              <w:t>ubing dead space to ensure proper anticoagulant/ blood ratio is maintained.</w:t>
            </w:r>
          </w:p>
        </w:tc>
      </w:tr>
      <w:tr w:rsidR="0021641B">
        <w:trPr>
          <w:trHeight w:val="2218"/>
        </w:trPr>
        <w:tc>
          <w:tcPr>
            <w:tcW w:w="806" w:type="dxa"/>
            <w:tcBorders>
              <w:top w:val="single" w:sz="4" w:space="0" w:color="000000"/>
              <w:left w:val="single" w:sz="4" w:space="0" w:color="000000"/>
              <w:bottom w:val="single" w:sz="4" w:space="0" w:color="000000"/>
              <w:right w:val="single" w:sz="4" w:space="0" w:color="000000"/>
            </w:tcBorders>
          </w:tcPr>
          <w:p w:rsidR="0021641B" w:rsidRDefault="00440770">
            <w:pPr>
              <w:spacing w:after="0"/>
              <w:ind w:right="43"/>
              <w:jc w:val="center"/>
            </w:pPr>
            <w:r>
              <w:rPr>
                <w:rFonts w:ascii="Times New Roman" w:eastAsia="Times New Roman" w:hAnsi="Times New Roman" w:cs="Times New Roman"/>
                <w:sz w:val="24"/>
              </w:rPr>
              <w:t>5</w:t>
            </w:r>
          </w:p>
        </w:tc>
        <w:tc>
          <w:tcPr>
            <w:tcW w:w="7200" w:type="dxa"/>
            <w:tcBorders>
              <w:top w:val="single" w:sz="4" w:space="0" w:color="000000"/>
              <w:left w:val="single" w:sz="4" w:space="0" w:color="000000"/>
              <w:bottom w:val="single" w:sz="4" w:space="0" w:color="000000"/>
              <w:right w:val="single" w:sz="4" w:space="0" w:color="000000"/>
            </w:tcBorders>
          </w:tcPr>
          <w:p w:rsidR="0021641B" w:rsidRDefault="00440770">
            <w:pPr>
              <w:spacing w:after="304" w:line="245" w:lineRule="auto"/>
              <w:ind w:left="5" w:right="98"/>
            </w:pPr>
            <w:r>
              <w:rPr>
                <w:rFonts w:ascii="Times New Roman" w:eastAsia="Times New Roman" w:hAnsi="Times New Roman" w:cs="Times New Roman"/>
                <w:sz w:val="24"/>
              </w:rPr>
              <w:t xml:space="preserve">With your free hand, place gauze over the venipuncture site </w:t>
            </w:r>
            <w:r>
              <w:rPr>
                <w:rFonts w:ascii="Times New Roman" w:eastAsia="Times New Roman" w:hAnsi="Times New Roman" w:cs="Times New Roman"/>
                <w:sz w:val="24"/>
                <w:u w:val="single" w:color="000000"/>
              </w:rPr>
              <w:t xml:space="preserve">before </w:t>
            </w:r>
            <w:r>
              <w:rPr>
                <w:rFonts w:ascii="Times New Roman" w:eastAsia="Times New Roman" w:hAnsi="Times New Roman" w:cs="Times New Roman"/>
                <w:sz w:val="24"/>
              </w:rPr>
              <w:t>removing the needle. Apply slight pressure to the gauze while simultaneously anchoring a wing against the patient’s skin. Push the button to activate the safety device. The needle will retract automatically from the vein into the body of the collection set</w:t>
            </w:r>
            <w:r>
              <w:rPr>
                <w:rFonts w:ascii="Times New Roman" w:eastAsia="Times New Roman" w:hAnsi="Times New Roman" w:cs="Times New Roman"/>
                <w:sz w:val="24"/>
              </w:rPr>
              <w:t xml:space="preserve">. </w:t>
            </w:r>
          </w:p>
          <w:p w:rsidR="0021641B" w:rsidRDefault="00440770">
            <w:pPr>
              <w:spacing w:after="0"/>
              <w:ind w:left="5"/>
            </w:pPr>
            <w:r>
              <w:rPr>
                <w:rFonts w:ascii="Times New Roman" w:eastAsia="Times New Roman" w:hAnsi="Times New Roman" w:cs="Times New Roman"/>
                <w:sz w:val="24"/>
              </w:rPr>
              <w:t xml:space="preserve">NOTE:  Activating the safety device </w:t>
            </w:r>
            <w:r>
              <w:rPr>
                <w:rFonts w:ascii="Times New Roman" w:eastAsia="Times New Roman" w:hAnsi="Times New Roman" w:cs="Times New Roman"/>
                <w:sz w:val="24"/>
                <w:u w:val="single" w:color="000000"/>
              </w:rPr>
              <w:t xml:space="preserve">after </w:t>
            </w:r>
            <w:r>
              <w:rPr>
                <w:rFonts w:ascii="Times New Roman" w:eastAsia="Times New Roman" w:hAnsi="Times New Roman" w:cs="Times New Roman"/>
                <w:sz w:val="24"/>
              </w:rPr>
              <w:t>removing the needle from the patient will result in splash or splatter of blood.</w:t>
            </w:r>
          </w:p>
        </w:tc>
      </w:tr>
      <w:tr w:rsidR="0021641B">
        <w:trPr>
          <w:trHeight w:val="562"/>
        </w:trPr>
        <w:tc>
          <w:tcPr>
            <w:tcW w:w="806" w:type="dxa"/>
            <w:tcBorders>
              <w:top w:val="single" w:sz="4" w:space="0" w:color="000000"/>
              <w:left w:val="single" w:sz="4" w:space="0" w:color="000000"/>
              <w:bottom w:val="single" w:sz="4" w:space="0" w:color="000000"/>
              <w:right w:val="single" w:sz="4" w:space="0" w:color="000000"/>
            </w:tcBorders>
          </w:tcPr>
          <w:p w:rsidR="0021641B" w:rsidRDefault="00440770">
            <w:pPr>
              <w:spacing w:after="0"/>
              <w:ind w:right="110"/>
              <w:jc w:val="center"/>
            </w:pPr>
            <w:r>
              <w:rPr>
                <w:rFonts w:ascii="Times New Roman" w:eastAsia="Times New Roman" w:hAnsi="Times New Roman" w:cs="Times New Roman"/>
                <w:sz w:val="24"/>
              </w:rPr>
              <w:t>6</w:t>
            </w:r>
          </w:p>
        </w:tc>
        <w:tc>
          <w:tcPr>
            <w:tcW w:w="7200" w:type="dxa"/>
            <w:tcBorders>
              <w:top w:val="single" w:sz="4" w:space="0" w:color="000000"/>
              <w:left w:val="single" w:sz="4" w:space="0" w:color="000000"/>
              <w:bottom w:val="single" w:sz="4" w:space="0" w:color="000000"/>
              <w:right w:val="single" w:sz="4" w:space="0" w:color="000000"/>
            </w:tcBorders>
          </w:tcPr>
          <w:p w:rsidR="0021641B" w:rsidRDefault="00440770">
            <w:pPr>
              <w:spacing w:after="0"/>
              <w:ind w:left="5"/>
            </w:pPr>
            <w:r>
              <w:rPr>
                <w:rFonts w:ascii="Times New Roman" w:eastAsia="Times New Roman" w:hAnsi="Times New Roman" w:cs="Times New Roman"/>
                <w:sz w:val="24"/>
              </w:rPr>
              <w:t>Apply pressure to the site.  Instruct the patient to continue to apply pressure for five minutes.</w:t>
            </w:r>
          </w:p>
        </w:tc>
      </w:tr>
      <w:tr w:rsidR="0021641B">
        <w:trPr>
          <w:trHeight w:val="562"/>
        </w:trPr>
        <w:tc>
          <w:tcPr>
            <w:tcW w:w="806" w:type="dxa"/>
            <w:tcBorders>
              <w:top w:val="single" w:sz="4" w:space="0" w:color="000000"/>
              <w:left w:val="single" w:sz="4" w:space="0" w:color="000000"/>
              <w:bottom w:val="single" w:sz="4" w:space="0" w:color="000000"/>
              <w:right w:val="single" w:sz="4" w:space="0" w:color="000000"/>
            </w:tcBorders>
          </w:tcPr>
          <w:p w:rsidR="0021641B" w:rsidRDefault="00440770">
            <w:pPr>
              <w:spacing w:after="0"/>
              <w:ind w:right="110"/>
              <w:jc w:val="center"/>
            </w:pPr>
            <w:r>
              <w:rPr>
                <w:rFonts w:ascii="Times New Roman" w:eastAsia="Times New Roman" w:hAnsi="Times New Roman" w:cs="Times New Roman"/>
                <w:sz w:val="24"/>
              </w:rPr>
              <w:t>7</w:t>
            </w:r>
          </w:p>
        </w:tc>
        <w:tc>
          <w:tcPr>
            <w:tcW w:w="7200" w:type="dxa"/>
            <w:tcBorders>
              <w:top w:val="single" w:sz="4" w:space="0" w:color="000000"/>
              <w:left w:val="single" w:sz="4" w:space="0" w:color="000000"/>
              <w:bottom w:val="single" w:sz="4" w:space="0" w:color="000000"/>
              <w:right w:val="single" w:sz="4" w:space="0" w:color="000000"/>
            </w:tcBorders>
          </w:tcPr>
          <w:p w:rsidR="0021641B" w:rsidRDefault="00440770">
            <w:pPr>
              <w:spacing w:after="0"/>
              <w:ind w:left="5"/>
            </w:pPr>
            <w:r>
              <w:rPr>
                <w:rFonts w:ascii="Times New Roman" w:eastAsia="Times New Roman" w:hAnsi="Times New Roman" w:cs="Times New Roman"/>
                <w:sz w:val="24"/>
              </w:rPr>
              <w:t>Dispose of BD Vacutainer® Push Button Blood Collection Set and holder into sharps container.</w:t>
            </w:r>
          </w:p>
        </w:tc>
      </w:tr>
    </w:tbl>
    <w:p w:rsidR="0021641B" w:rsidRDefault="00440770">
      <w:pPr>
        <w:spacing w:after="348"/>
        <w:ind w:left="2198"/>
      </w:pPr>
      <w:r>
        <w:rPr>
          <w:noProof/>
        </w:rPr>
        <mc:AlternateContent>
          <mc:Choice Requires="wpg">
            <w:drawing>
              <wp:inline distT="0" distB="0" distL="0" distR="0">
                <wp:extent cx="5084064" cy="9144"/>
                <wp:effectExtent l="0" t="0" r="0" b="0"/>
                <wp:docPr id="6123" name="Group 6123"/>
                <wp:cNvGraphicFramePr/>
                <a:graphic xmlns:a="http://schemas.openxmlformats.org/drawingml/2006/main">
                  <a:graphicData uri="http://schemas.microsoft.com/office/word/2010/wordprocessingGroup">
                    <wpg:wgp>
                      <wpg:cNvGrpSpPr/>
                      <wpg:grpSpPr>
                        <a:xfrm>
                          <a:off x="0" y="0"/>
                          <a:ext cx="5084064" cy="9144"/>
                          <a:chOff x="0" y="0"/>
                          <a:chExt cx="5084064" cy="9144"/>
                        </a:xfrm>
                      </wpg:grpSpPr>
                      <wps:wsp>
                        <wps:cNvPr id="6643" name="Shape 6643"/>
                        <wps:cNvSpPr/>
                        <wps:spPr>
                          <a:xfrm>
                            <a:off x="0" y="0"/>
                            <a:ext cx="5084064" cy="9144"/>
                          </a:xfrm>
                          <a:custGeom>
                            <a:avLst/>
                            <a:gdLst/>
                            <a:ahLst/>
                            <a:cxnLst/>
                            <a:rect l="0" t="0" r="0" b="0"/>
                            <a:pathLst>
                              <a:path w="5084064" h="9144">
                                <a:moveTo>
                                  <a:pt x="0" y="0"/>
                                </a:moveTo>
                                <a:lnTo>
                                  <a:pt x="5084064" y="0"/>
                                </a:lnTo>
                                <a:lnTo>
                                  <a:pt x="50840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123" style="width:400.32pt;height:0.719971pt;mso-position-horizontal-relative:char;mso-position-vertical-relative:line" coordsize="50840,91">
                <v:shape id="Shape 6644" style="position:absolute;width:50840;height:91;left:0;top:0;" coordsize="5084064,9144" path="m0,0l5084064,0l5084064,9144l0,9144l0,0">
                  <v:stroke weight="0pt" endcap="flat" joinstyle="miter" miterlimit="10" on="false" color="#000000" opacity="0"/>
                  <v:fill on="true" color="#000000"/>
                </v:shape>
              </v:group>
            </w:pict>
          </mc:Fallback>
        </mc:AlternateContent>
      </w:r>
    </w:p>
    <w:p w:rsidR="0021641B" w:rsidRDefault="00440770">
      <w:pPr>
        <w:spacing w:after="0"/>
        <w:ind w:left="523" w:right="302" w:hanging="10"/>
      </w:pPr>
      <w:r>
        <w:rPr>
          <w:rFonts w:ascii="Times New Roman" w:eastAsia="Times New Roman" w:hAnsi="Times New Roman" w:cs="Times New Roman"/>
          <w:b/>
        </w:rPr>
        <w:t xml:space="preserve">Non-Controlled </w:t>
      </w:r>
      <w:r>
        <w:rPr>
          <w:rFonts w:ascii="Times New Roman" w:eastAsia="Times New Roman" w:hAnsi="Times New Roman" w:cs="Times New Roman"/>
          <w:sz w:val="24"/>
        </w:rPr>
        <w:t>The following non-controlled documents support this procedure.</w:t>
      </w:r>
    </w:p>
    <w:p w:rsidR="0021641B" w:rsidRDefault="00440770">
      <w:pPr>
        <w:pStyle w:val="Heading2"/>
        <w:spacing w:after="60"/>
        <w:ind w:left="523"/>
      </w:pPr>
      <w:r>
        <w:t>Documents</w:t>
      </w:r>
    </w:p>
    <w:p w:rsidR="0021641B" w:rsidRDefault="00440770">
      <w:pPr>
        <w:spacing w:after="94"/>
        <w:ind w:left="2247" w:right="302" w:hanging="10"/>
      </w:pPr>
      <w:r>
        <w:rPr>
          <w:rFonts w:ascii="Segoe UI Symbol" w:eastAsia="Segoe UI Symbol" w:hAnsi="Segoe UI Symbol" w:cs="Segoe UI Symbol"/>
          <w:sz w:val="20"/>
        </w:rPr>
        <w:t xml:space="preserve"> </w:t>
      </w:r>
      <w:r>
        <w:rPr>
          <w:rFonts w:ascii="Times New Roman" w:eastAsia="Times New Roman" w:hAnsi="Times New Roman" w:cs="Times New Roman"/>
          <w:sz w:val="24"/>
        </w:rPr>
        <w:t>BD Vacutainer® Push Button Blood Collection Set Package Insert</w:t>
      </w:r>
    </w:p>
    <w:p w:rsidR="0021641B" w:rsidRDefault="00440770">
      <w:pPr>
        <w:spacing w:after="69"/>
        <w:ind w:left="2198"/>
      </w:pPr>
      <w:r>
        <w:rPr>
          <w:noProof/>
        </w:rPr>
        <mc:AlternateContent>
          <mc:Choice Requires="wpg">
            <w:drawing>
              <wp:inline distT="0" distB="0" distL="0" distR="0">
                <wp:extent cx="5084064" cy="9144"/>
                <wp:effectExtent l="0" t="0" r="0" b="0"/>
                <wp:docPr id="6124" name="Group 6124"/>
                <wp:cNvGraphicFramePr/>
                <a:graphic xmlns:a="http://schemas.openxmlformats.org/drawingml/2006/main">
                  <a:graphicData uri="http://schemas.microsoft.com/office/word/2010/wordprocessingGroup">
                    <wpg:wgp>
                      <wpg:cNvGrpSpPr/>
                      <wpg:grpSpPr>
                        <a:xfrm>
                          <a:off x="0" y="0"/>
                          <a:ext cx="5084064" cy="9144"/>
                          <a:chOff x="0" y="0"/>
                          <a:chExt cx="5084064" cy="9144"/>
                        </a:xfrm>
                      </wpg:grpSpPr>
                      <wps:wsp>
                        <wps:cNvPr id="6645" name="Shape 6645"/>
                        <wps:cNvSpPr/>
                        <wps:spPr>
                          <a:xfrm>
                            <a:off x="0" y="0"/>
                            <a:ext cx="5084064" cy="9144"/>
                          </a:xfrm>
                          <a:custGeom>
                            <a:avLst/>
                            <a:gdLst/>
                            <a:ahLst/>
                            <a:cxnLst/>
                            <a:rect l="0" t="0" r="0" b="0"/>
                            <a:pathLst>
                              <a:path w="5084064" h="9144">
                                <a:moveTo>
                                  <a:pt x="0" y="0"/>
                                </a:moveTo>
                                <a:lnTo>
                                  <a:pt x="5084064" y="0"/>
                                </a:lnTo>
                                <a:lnTo>
                                  <a:pt x="50840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124" style="width:400.32pt;height:0.720032pt;mso-position-horizontal-relative:char;mso-position-vertical-relative:line" coordsize="50840,91">
                <v:shape id="Shape 6646" style="position:absolute;width:50840;height:91;left:0;top:0;" coordsize="5084064,9144" path="m0,0l5084064,0l5084064,9144l0,9144l0,0">
                  <v:stroke weight="0pt" endcap="flat" joinstyle="miter" miterlimit="10" on="false" color="#000000" opacity="0"/>
                  <v:fill on="true" color="#000000"/>
                </v:shape>
              </v:group>
            </w:pict>
          </mc:Fallback>
        </mc:AlternateContent>
      </w:r>
    </w:p>
    <w:p w:rsidR="0021641B" w:rsidRDefault="00440770">
      <w:pPr>
        <w:spacing w:after="0"/>
        <w:ind w:left="2237" w:right="302" w:hanging="10"/>
      </w:pPr>
      <w:r>
        <w:rPr>
          <w:rFonts w:ascii="Times New Roman" w:eastAsia="Times New Roman" w:hAnsi="Times New Roman" w:cs="Times New Roman"/>
          <w:sz w:val="24"/>
        </w:rPr>
        <w:t>Rebecca Rosser</w:t>
      </w:r>
    </w:p>
    <w:p w:rsidR="0021641B" w:rsidRDefault="00440770">
      <w:pPr>
        <w:spacing w:after="0"/>
        <w:ind w:left="1978" w:right="302" w:hanging="10"/>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Preanlytical</w:t>
      </w:r>
      <w:proofErr w:type="spellEnd"/>
      <w:r>
        <w:rPr>
          <w:rFonts w:ascii="Times New Roman" w:eastAsia="Times New Roman" w:hAnsi="Times New Roman" w:cs="Times New Roman"/>
          <w:sz w:val="24"/>
        </w:rPr>
        <w:t xml:space="preserve"> Processing Work Group</w:t>
      </w:r>
    </w:p>
    <w:p w:rsidR="00000000" w:rsidRDefault="00440770">
      <w:bookmarkStart w:id="0" w:name="_GoBack"/>
      <w:bookmarkEnd w:id="0"/>
    </w:p>
    <w:sectPr w:rsidR="00000000">
      <w:pgSz w:w="12240" w:h="15840"/>
      <w:pgMar w:top="367" w:right="934" w:bottom="725" w:left="91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D43B8E"/>
    <w:multiLevelType w:val="hybridMultilevel"/>
    <w:tmpl w:val="D1787912"/>
    <w:lvl w:ilvl="0" w:tplc="3F065DE4">
      <w:start w:val="1"/>
      <w:numFmt w:val="bullet"/>
      <w:lvlText w:val="•"/>
      <w:lvlJc w:val="left"/>
      <w:pPr>
        <w:ind w:left="3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362A68">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2B89EE2">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800FF1E">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446644">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B2677BC">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15ABF88">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7EED0E">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6AC3B56">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41B"/>
    <w:rsid w:val="0021641B"/>
    <w:rsid w:val="003D084F"/>
    <w:rsid w:val="00440770"/>
    <w:rsid w:val="00B07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0F42F5-ADEB-4FAE-9781-2019130B1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528"/>
      <w:outlineLvl w:val="0"/>
    </w:pPr>
    <w:rPr>
      <w:rFonts w:ascii="Arial" w:eastAsia="Arial" w:hAnsi="Arial" w:cs="Arial"/>
      <w:b/>
      <w:color w:val="000000"/>
      <w:sz w:val="32"/>
    </w:rPr>
  </w:style>
  <w:style w:type="paragraph" w:styleId="Heading2">
    <w:name w:val="heading 2"/>
    <w:next w:val="Normal"/>
    <w:link w:val="Heading2Char"/>
    <w:uiPriority w:val="9"/>
    <w:unhideWhenUsed/>
    <w:qFormat/>
    <w:pPr>
      <w:keepNext/>
      <w:keepLines/>
      <w:spacing w:after="0" w:line="265" w:lineRule="auto"/>
      <w:ind w:left="538" w:right="237" w:hanging="10"/>
      <w:outlineLvl w:val="1"/>
    </w:pPr>
    <w:rPr>
      <w:rFonts w:ascii="Times New Roman" w:eastAsia="Times New Roman" w:hAnsi="Times New Roman" w:cs="Times New Roman"/>
      <w:b/>
      <w:color w:val="000000"/>
    </w:rPr>
  </w:style>
  <w:style w:type="paragraph" w:styleId="Heading3">
    <w:name w:val="heading 3"/>
    <w:next w:val="Normal"/>
    <w:link w:val="Heading3Char"/>
    <w:uiPriority w:val="9"/>
    <w:unhideWhenUsed/>
    <w:qFormat/>
    <w:pPr>
      <w:keepNext/>
      <w:keepLines/>
      <w:spacing w:after="0"/>
      <w:ind w:left="30"/>
      <w:jc w:val="center"/>
      <w:outlineLvl w:val="2"/>
    </w:pPr>
    <w:rPr>
      <w:rFonts w:ascii="Arial" w:eastAsia="Arial" w:hAnsi="Arial" w:cs="Arial"/>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1"/>
    </w:rPr>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Heading1Char">
    <w:name w:val="Heading 1 Char"/>
    <w:link w:val="Heading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BD Vacutainer® Push Button Blood Collection Set</vt:lpstr>
    </vt:vector>
  </TitlesOfParts>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 Vacutainer® Push Button Blood Collection Set</dc:title>
  <dc:subject/>
  <dc:creator>K053260</dc:creator>
  <cp:keywords/>
  <cp:lastModifiedBy>Rowena B Pablico</cp:lastModifiedBy>
  <cp:revision>4</cp:revision>
  <dcterms:created xsi:type="dcterms:W3CDTF">2018-01-25T17:51:00Z</dcterms:created>
  <dcterms:modified xsi:type="dcterms:W3CDTF">2018-01-25T17:54:00Z</dcterms:modified>
</cp:coreProperties>
</file>