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10114" w:type="dxa"/>
        <w:tblInd w:w="-108" w:type="dxa"/>
        <w:tblLayout w:type="fixed"/>
        <w:tblLook w:val="0000" w:firstRow="0" w:lastRow="0" w:firstColumn="0" w:lastColumn="0" w:noHBand="0" w:noVBand="0"/>
      </w:tblPr>
      <w:tblGrid>
        <w:gridCol w:w="108"/>
        <w:gridCol w:w="1620"/>
        <w:gridCol w:w="154"/>
        <w:gridCol w:w="7586"/>
        <w:gridCol w:w="646"/>
      </w:tblGrid>
      <w:tr w:rsidR="00FB384B" w:rsidTr="00FB384B">
        <w:trPr>
          <w:gridAfter w:val="1"/>
          <w:wAfter w:w="646" w:type="dxa"/>
          <w:cantSplit/>
        </w:trPr>
        <w:tc>
          <w:tcPr>
            <w:tcW w:w="1728" w:type="dxa"/>
            <w:gridSpan w:val="2"/>
          </w:tcPr>
          <w:p w:rsidR="00FB384B" w:rsidRDefault="00FB384B" w:rsidP="00C912D0">
            <w:pPr>
              <w:pStyle w:val="Heading5"/>
              <w:ind w:left="270"/>
            </w:pPr>
            <w:r>
              <w:t>Purpose</w:t>
            </w:r>
          </w:p>
        </w:tc>
        <w:tc>
          <w:tcPr>
            <w:tcW w:w="7740" w:type="dxa"/>
            <w:gridSpan w:val="2"/>
          </w:tcPr>
          <w:p w:rsidR="00FB384B" w:rsidRPr="00C912D0" w:rsidRDefault="009857C1" w:rsidP="00FA6079">
            <w:pPr>
              <w:pStyle w:val="BlockText"/>
              <w:jc w:val="left"/>
              <w:rPr>
                <w:szCs w:val="24"/>
              </w:rPr>
            </w:pPr>
            <w:r w:rsidRPr="00C912D0">
              <w:rPr>
                <w:szCs w:val="24"/>
              </w:rPr>
              <w:t xml:space="preserve">The purpose of this procedure is to provide instructions in performing Manual Body Fluid Cell </w:t>
            </w:r>
            <w:proofErr w:type="gramStart"/>
            <w:r w:rsidRPr="00C912D0">
              <w:rPr>
                <w:szCs w:val="24"/>
              </w:rPr>
              <w:t>Count</w:t>
            </w:r>
            <w:r w:rsidR="00FA6079">
              <w:rPr>
                <w:szCs w:val="24"/>
              </w:rPr>
              <w:t>(</w:t>
            </w:r>
            <w:proofErr w:type="gramEnd"/>
            <w:r w:rsidR="00FA6079">
              <w:rPr>
                <w:szCs w:val="24"/>
              </w:rPr>
              <w:t>Red Blood Cells and Total Nucleated Cells)</w:t>
            </w:r>
            <w:r w:rsidRPr="00C912D0">
              <w:rPr>
                <w:szCs w:val="24"/>
              </w:rPr>
              <w:t xml:space="preserve"> and Differential Count.</w:t>
            </w:r>
          </w:p>
        </w:tc>
      </w:tr>
      <w:tr w:rsidR="00D0664E" w:rsidTr="00FB384B">
        <w:trPr>
          <w:gridBefore w:val="1"/>
          <w:wBefore w:w="108" w:type="dxa"/>
          <w:cantSplit/>
          <w:trHeight w:val="550"/>
        </w:trPr>
        <w:tc>
          <w:tcPr>
            <w:tcW w:w="1774" w:type="dxa"/>
            <w:gridSpan w:val="2"/>
          </w:tcPr>
          <w:p w:rsidR="00D0664E" w:rsidRPr="00EC7C99" w:rsidRDefault="00D0664E">
            <w:pPr>
              <w:pStyle w:val="Heading5"/>
              <w:rPr>
                <w:szCs w:val="22"/>
              </w:rPr>
            </w:pPr>
          </w:p>
        </w:tc>
        <w:tc>
          <w:tcPr>
            <w:tcW w:w="8232" w:type="dxa"/>
            <w:gridSpan w:val="2"/>
          </w:tcPr>
          <w:p w:rsidR="002A79D0" w:rsidRPr="00C85B6B" w:rsidRDefault="002A79D0" w:rsidP="009857C1">
            <w:pPr>
              <w:rPr>
                <w:szCs w:val="24"/>
              </w:rPr>
            </w:pPr>
          </w:p>
        </w:tc>
      </w:tr>
    </w:tbl>
    <w:p w:rsidR="006A107B" w:rsidRDefault="006A107B" w:rsidP="00414622">
      <w:pPr>
        <w:pStyle w:val="BlockLine"/>
        <w:ind w:left="0"/>
      </w:pPr>
    </w:p>
    <w:tbl>
      <w:tblPr>
        <w:tblW w:w="9738" w:type="dxa"/>
        <w:tblLayout w:type="fixed"/>
        <w:tblLook w:val="0000" w:firstRow="0" w:lastRow="0" w:firstColumn="0" w:lastColumn="0" w:noHBand="0" w:noVBand="0"/>
      </w:tblPr>
      <w:tblGrid>
        <w:gridCol w:w="1728"/>
        <w:gridCol w:w="8010"/>
      </w:tblGrid>
      <w:tr w:rsidR="00C85B6B"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D03D1" w:rsidTr="003B6D53">
              <w:trPr>
                <w:cantSplit/>
              </w:trPr>
              <w:tc>
                <w:tcPr>
                  <w:tcW w:w="1728" w:type="dxa"/>
                </w:tcPr>
                <w:p w:rsidR="00C85B6B" w:rsidRPr="008D03D1" w:rsidRDefault="00C85B6B" w:rsidP="00C85B6B">
                  <w:pPr>
                    <w:pStyle w:val="Heading5"/>
                    <w:rPr>
                      <w:szCs w:val="22"/>
                    </w:rPr>
                  </w:pPr>
                  <w:r w:rsidRPr="008D03D1">
                    <w:rPr>
                      <w:szCs w:val="22"/>
                    </w:rPr>
                    <w:t>Workplace Safety</w:t>
                  </w:r>
                </w:p>
              </w:tc>
              <w:tc>
                <w:tcPr>
                  <w:tcW w:w="8010" w:type="dxa"/>
                </w:tcPr>
                <w:p w:rsidR="00C85B6B" w:rsidRPr="008D03D1" w:rsidRDefault="00C85B6B" w:rsidP="00C85B6B">
                  <w:pPr>
                    <w:rPr>
                      <w:sz w:val="22"/>
                      <w:szCs w:val="22"/>
                    </w:rPr>
                  </w:pPr>
                </w:p>
                <w:p w:rsidR="00C85B6B" w:rsidRPr="008D03D1" w:rsidRDefault="00C85B6B" w:rsidP="00C85B6B">
                  <w:pPr>
                    <w:rPr>
                      <w:sz w:val="22"/>
                      <w:szCs w:val="22"/>
                    </w:rPr>
                  </w:pPr>
                </w:p>
              </w:tc>
            </w:tr>
          </w:tbl>
          <w:p w:rsidR="00C85B6B" w:rsidRPr="008D03D1" w:rsidRDefault="00C85B6B" w:rsidP="00C85B6B">
            <w:pPr>
              <w:pStyle w:val="Heading5"/>
              <w:rPr>
                <w:szCs w:val="22"/>
              </w:rPr>
            </w:pPr>
          </w:p>
        </w:tc>
        <w:tc>
          <w:tcPr>
            <w:tcW w:w="8010" w:type="dxa"/>
          </w:tcPr>
          <w:p w:rsidR="00C85B6B" w:rsidRPr="008D03D1" w:rsidRDefault="00C85B6B" w:rsidP="00C85B6B">
            <w:pPr>
              <w:pStyle w:val="BlockText"/>
              <w:tabs>
                <w:tab w:val="left" w:pos="162"/>
              </w:tabs>
              <w:jc w:val="both"/>
              <w:rPr>
                <w:sz w:val="22"/>
                <w:szCs w:val="22"/>
              </w:rPr>
            </w:pPr>
            <w:r w:rsidRPr="008D03D1">
              <w:rPr>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standard precautions and safety practices in the laboratory;  see </w:t>
            </w:r>
            <w:r w:rsidRPr="008D03D1">
              <w:rPr>
                <w:b/>
                <w:sz w:val="22"/>
                <w:szCs w:val="22"/>
              </w:rPr>
              <w:t>Safety Practices</w:t>
            </w:r>
            <w:r w:rsidRPr="008D03D1">
              <w:rPr>
                <w:sz w:val="22"/>
                <w:szCs w:val="22"/>
              </w:rPr>
              <w:t>, specifically, but not limited to, equipment safety, proper body mechanics, sharps exposure and proper use of personal protective equipment (PPE).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Universal Body Substance precautions, see </w:t>
            </w:r>
            <w:r w:rsidRPr="008D03D1">
              <w:rPr>
                <w:b/>
                <w:sz w:val="22"/>
                <w:szCs w:val="22"/>
              </w:rPr>
              <w:t>Universal Body Substance Precautions</w:t>
            </w:r>
            <w:r w:rsidRPr="008D03D1">
              <w:rPr>
                <w:sz w:val="22"/>
                <w:szCs w:val="22"/>
              </w:rPr>
              <w:t>, specifically, but not limited to, exposure to body fluids.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hand-washing, see </w:t>
            </w:r>
            <w:r w:rsidRPr="008D03D1">
              <w:rPr>
                <w:b/>
                <w:sz w:val="22"/>
                <w:szCs w:val="22"/>
              </w:rPr>
              <w:t>Hand washing Policy</w:t>
            </w:r>
            <w:r w:rsidRPr="008D03D1">
              <w:rPr>
                <w:sz w:val="22"/>
                <w:szCs w:val="22"/>
              </w:rPr>
              <w:t>, specifically, not limited to, proper hand-washing.</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infection control, see </w:t>
            </w:r>
            <w:r w:rsidRPr="008D03D1">
              <w:rPr>
                <w:b/>
                <w:sz w:val="22"/>
                <w:szCs w:val="22"/>
              </w:rPr>
              <w:t>Infection Control</w:t>
            </w:r>
            <w:r w:rsidRPr="008D03D1">
              <w:rPr>
                <w:sz w:val="22"/>
                <w:szCs w:val="22"/>
              </w:rPr>
              <w:t>, specifically, but not limited to, proper use of gloves.</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handling of regular and infectious waste, see </w:t>
            </w:r>
            <w:r w:rsidRPr="008D03D1">
              <w:rPr>
                <w:b/>
                <w:sz w:val="22"/>
                <w:szCs w:val="22"/>
              </w:rPr>
              <w:t>Handling of Regular and Infectious Waste</w:t>
            </w:r>
            <w:r w:rsidRPr="008D03D1">
              <w:rPr>
                <w:sz w:val="22"/>
                <w:szCs w:val="22"/>
              </w:rPr>
              <w:t>, specifically, but not limited to, proper disposal of regular and biohazardous waste.</w:t>
            </w:r>
          </w:p>
          <w:p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cleaning of work area, see </w:t>
            </w:r>
            <w:r w:rsidRPr="008D03D1">
              <w:rPr>
                <w:b/>
                <w:sz w:val="22"/>
                <w:szCs w:val="22"/>
              </w:rPr>
              <w:t>Cleaning Work Areas</w:t>
            </w:r>
            <w:r w:rsidRPr="008D03D1">
              <w:rPr>
                <w:sz w:val="22"/>
                <w:szCs w:val="22"/>
              </w:rPr>
              <w:t>.</w:t>
            </w:r>
          </w:p>
          <w:p w:rsidR="00C85B6B" w:rsidRPr="008D03D1" w:rsidRDefault="00C85B6B" w:rsidP="00C85B6B">
            <w:pPr>
              <w:pStyle w:val="BlockText"/>
              <w:numPr>
                <w:ilvl w:val="0"/>
                <w:numId w:val="20"/>
              </w:numPr>
              <w:ind w:left="523"/>
              <w:jc w:val="both"/>
              <w:rPr>
                <w:sz w:val="22"/>
                <w:szCs w:val="22"/>
              </w:rPr>
            </w:pPr>
            <w:r w:rsidRPr="008D03D1">
              <w:rPr>
                <w:sz w:val="22"/>
                <w:szCs w:val="22"/>
              </w:rPr>
              <w:t>For proper handling of chemicals and reagents, see the Chemical Hygiene Plan.</w:t>
            </w:r>
          </w:p>
          <w:p w:rsidR="00C85B6B" w:rsidRPr="008D03D1" w:rsidRDefault="00C85B6B" w:rsidP="00C85B6B">
            <w:pPr>
              <w:pStyle w:val="BlockText"/>
              <w:numPr>
                <w:ilvl w:val="0"/>
                <w:numId w:val="20"/>
              </w:numPr>
              <w:tabs>
                <w:tab w:val="left" w:pos="162"/>
              </w:tabs>
              <w:ind w:left="523"/>
              <w:jc w:val="both"/>
              <w:rPr>
                <w:sz w:val="22"/>
                <w:szCs w:val="22"/>
              </w:rPr>
            </w:pPr>
            <w:r w:rsidRPr="008D03D1">
              <w:rPr>
                <w:sz w:val="22"/>
                <w:szCs w:val="22"/>
              </w:rPr>
              <w:t xml:space="preserve">For proper storage and disposal of chemical hazardous waste, see </w:t>
            </w:r>
            <w:r w:rsidRPr="008D03D1">
              <w:rPr>
                <w:b/>
                <w:sz w:val="22"/>
                <w:szCs w:val="22"/>
              </w:rPr>
              <w:t>Storage &amp; Disposal of Chemical Hazardous Waste</w:t>
            </w:r>
            <w:r w:rsidRPr="008D03D1">
              <w:rPr>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rsidR="00D0664E" w:rsidRDefault="00D0664E">
      <w:pPr>
        <w:pStyle w:val="BlockLine"/>
      </w:pPr>
    </w:p>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0A0D43" w:rsidRDefault="000A0D43" w:rsidP="000A0D43"/>
    <w:p w:rsidR="00FB384B" w:rsidRDefault="00FB384B" w:rsidP="000A0D43"/>
    <w:p w:rsidR="00FB384B" w:rsidRDefault="00FB384B" w:rsidP="000A0D43"/>
    <w:p w:rsidR="00FB384B" w:rsidRDefault="00FB384B" w:rsidP="000A0D43"/>
    <w:p w:rsidR="00FB384B" w:rsidRDefault="00FB384B" w:rsidP="000A0D43"/>
    <w:p w:rsidR="009857C1" w:rsidRDefault="009857C1" w:rsidP="009857C1">
      <w:pPr>
        <w:pStyle w:val="BlockLine"/>
      </w:pPr>
    </w:p>
    <w:tbl>
      <w:tblPr>
        <w:tblW w:w="0" w:type="auto"/>
        <w:tblLayout w:type="fixed"/>
        <w:tblLook w:val="0000" w:firstRow="0" w:lastRow="0" w:firstColumn="0" w:lastColumn="0" w:noHBand="0" w:noVBand="0"/>
      </w:tblPr>
      <w:tblGrid>
        <w:gridCol w:w="1728"/>
        <w:gridCol w:w="7740"/>
      </w:tblGrid>
      <w:tr w:rsidR="009857C1" w:rsidTr="003F1341">
        <w:trPr>
          <w:cantSplit/>
        </w:trPr>
        <w:tc>
          <w:tcPr>
            <w:tcW w:w="1728" w:type="dxa"/>
          </w:tcPr>
          <w:p w:rsidR="009857C1" w:rsidRDefault="009857C1" w:rsidP="003F1341">
            <w:pPr>
              <w:pStyle w:val="Heading5"/>
            </w:pPr>
            <w:r>
              <w:lastRenderedPageBreak/>
              <w:t>Specimen type</w:t>
            </w:r>
          </w:p>
        </w:tc>
        <w:tc>
          <w:tcPr>
            <w:tcW w:w="7740" w:type="dxa"/>
          </w:tcPr>
          <w:p w:rsidR="009857C1" w:rsidRDefault="009857C1" w:rsidP="003F1341">
            <w:pPr>
              <w:pStyle w:val="BlockText"/>
            </w:pPr>
            <w:r>
              <w:t>The following types of specimens are considered to be body fluids:</w:t>
            </w:r>
          </w:p>
          <w:p w:rsidR="009857C1" w:rsidRDefault="009857C1" w:rsidP="009857C1">
            <w:pPr>
              <w:pStyle w:val="BlockText"/>
              <w:numPr>
                <w:ilvl w:val="0"/>
                <w:numId w:val="29"/>
              </w:numPr>
              <w:jc w:val="left"/>
            </w:pPr>
            <w:r>
              <w:t>CSF</w:t>
            </w:r>
          </w:p>
          <w:p w:rsidR="009857C1" w:rsidRDefault="009857C1" w:rsidP="009857C1">
            <w:pPr>
              <w:pStyle w:val="BlockText"/>
              <w:numPr>
                <w:ilvl w:val="0"/>
                <w:numId w:val="29"/>
              </w:numPr>
              <w:jc w:val="left"/>
            </w:pPr>
            <w:r>
              <w:t>Pleural fluid</w:t>
            </w:r>
          </w:p>
          <w:p w:rsidR="009857C1" w:rsidRDefault="009857C1" w:rsidP="009857C1">
            <w:pPr>
              <w:pStyle w:val="BlockText"/>
              <w:numPr>
                <w:ilvl w:val="0"/>
                <w:numId w:val="29"/>
              </w:numPr>
              <w:jc w:val="left"/>
            </w:pPr>
            <w:r>
              <w:t>Peritoneal fluid</w:t>
            </w:r>
          </w:p>
          <w:p w:rsidR="009857C1" w:rsidRDefault="009857C1" w:rsidP="009857C1">
            <w:pPr>
              <w:pStyle w:val="BlockText"/>
              <w:numPr>
                <w:ilvl w:val="0"/>
                <w:numId w:val="29"/>
              </w:numPr>
              <w:jc w:val="left"/>
            </w:pPr>
            <w:r>
              <w:t>Gastric fluid</w:t>
            </w:r>
          </w:p>
          <w:p w:rsidR="009857C1" w:rsidRDefault="009857C1" w:rsidP="009857C1">
            <w:pPr>
              <w:pStyle w:val="BlockText"/>
              <w:numPr>
                <w:ilvl w:val="0"/>
                <w:numId w:val="29"/>
              </w:numPr>
              <w:jc w:val="left"/>
            </w:pPr>
            <w:r>
              <w:t>Synovial fluid</w:t>
            </w:r>
          </w:p>
          <w:p w:rsidR="009857C1" w:rsidRDefault="009857C1" w:rsidP="009857C1">
            <w:pPr>
              <w:pStyle w:val="BlockText"/>
              <w:numPr>
                <w:ilvl w:val="0"/>
                <w:numId w:val="29"/>
              </w:numPr>
              <w:jc w:val="left"/>
            </w:pPr>
            <w:r>
              <w:t>Pericardial fluid</w:t>
            </w:r>
          </w:p>
          <w:p w:rsidR="009857C1" w:rsidRDefault="009857C1" w:rsidP="009857C1">
            <w:pPr>
              <w:pStyle w:val="BlockText"/>
              <w:numPr>
                <w:ilvl w:val="0"/>
                <w:numId w:val="29"/>
              </w:numPr>
              <w:jc w:val="left"/>
            </w:pPr>
            <w:r>
              <w:t>Abdominal fluid</w:t>
            </w:r>
          </w:p>
          <w:p w:rsidR="009857C1" w:rsidRDefault="009857C1" w:rsidP="009857C1">
            <w:pPr>
              <w:pStyle w:val="BlockText"/>
              <w:numPr>
                <w:ilvl w:val="0"/>
                <w:numId w:val="29"/>
              </w:numPr>
              <w:jc w:val="left"/>
            </w:pPr>
            <w:r>
              <w:t>Ascites fluid</w:t>
            </w:r>
          </w:p>
          <w:p w:rsidR="009857C1" w:rsidRDefault="009857C1" w:rsidP="009857C1">
            <w:pPr>
              <w:pStyle w:val="BlockText"/>
              <w:numPr>
                <w:ilvl w:val="0"/>
                <w:numId w:val="29"/>
              </w:numPr>
              <w:jc w:val="left"/>
            </w:pPr>
            <w:r>
              <w:t>Thoracentesis fluid</w:t>
            </w:r>
          </w:p>
          <w:p w:rsidR="009857C1" w:rsidRDefault="009857C1" w:rsidP="009857C1">
            <w:pPr>
              <w:pStyle w:val="BlockText"/>
              <w:jc w:val="left"/>
            </w:pPr>
          </w:p>
          <w:p w:rsidR="00DE2EAB" w:rsidRDefault="00DE2EAB" w:rsidP="009857C1">
            <w:pPr>
              <w:pStyle w:val="BlockText"/>
              <w:jc w:val="left"/>
            </w:pPr>
            <w:r>
              <w:t>Bronchial Lavage/Washing cell counts will follow the same procedure as body fluid cell counts.</w:t>
            </w:r>
          </w:p>
        </w:tc>
      </w:tr>
    </w:tbl>
    <w:p w:rsidR="009857C1" w:rsidRPr="003162FB" w:rsidRDefault="009857C1" w:rsidP="009857C1"/>
    <w:p w:rsidR="009857C1" w:rsidRDefault="009857C1" w:rsidP="009857C1"/>
    <w:tbl>
      <w:tblPr>
        <w:tblW w:w="0" w:type="auto"/>
        <w:tblLayout w:type="fixed"/>
        <w:tblLook w:val="0000" w:firstRow="0" w:lastRow="0" w:firstColumn="0" w:lastColumn="0" w:noHBand="0" w:noVBand="0"/>
      </w:tblPr>
      <w:tblGrid>
        <w:gridCol w:w="1728"/>
        <w:gridCol w:w="7740"/>
      </w:tblGrid>
      <w:tr w:rsidR="00414622" w:rsidRPr="00414622" w:rsidTr="002902E5">
        <w:trPr>
          <w:cantSplit/>
        </w:trPr>
        <w:tc>
          <w:tcPr>
            <w:tcW w:w="1728" w:type="dxa"/>
          </w:tcPr>
          <w:p w:rsidR="00414622" w:rsidRPr="00414622" w:rsidRDefault="00F57427" w:rsidP="002902E5">
            <w:pPr>
              <w:pStyle w:val="Heading5"/>
              <w:rPr>
                <w:sz w:val="24"/>
                <w:szCs w:val="24"/>
              </w:rPr>
            </w:pPr>
            <w:r>
              <w:rPr>
                <w:sz w:val="24"/>
                <w:szCs w:val="24"/>
              </w:rPr>
              <w:t>Specimen stability and storage</w:t>
            </w:r>
          </w:p>
        </w:tc>
        <w:tc>
          <w:tcPr>
            <w:tcW w:w="7740" w:type="dxa"/>
          </w:tcPr>
          <w:p w:rsidR="00414622" w:rsidRPr="00414622" w:rsidRDefault="00414622" w:rsidP="002B2EF9">
            <w:pPr>
              <w:widowControl w:val="0"/>
              <w:rPr>
                <w:szCs w:val="24"/>
              </w:rPr>
            </w:pPr>
            <w:r w:rsidRPr="00414622">
              <w:rPr>
                <w:szCs w:val="24"/>
              </w:rPr>
              <w:t xml:space="preserve">CSF and Body Fluids must be </w:t>
            </w:r>
            <w:r w:rsidR="002B2EF9">
              <w:rPr>
                <w:szCs w:val="24"/>
              </w:rPr>
              <w:t>completed</w:t>
            </w:r>
            <w:r w:rsidRPr="00414622">
              <w:rPr>
                <w:szCs w:val="24"/>
              </w:rPr>
              <w:t xml:space="preserve"> within 3 hours from time of collection. </w:t>
            </w:r>
            <w:r w:rsidR="00F57427">
              <w:rPr>
                <w:szCs w:val="24"/>
              </w:rPr>
              <w:t>Refrigerate sample after testing.</w:t>
            </w:r>
            <w:bookmarkStart w:id="0" w:name="_GoBack"/>
            <w:bookmarkEnd w:id="0"/>
          </w:p>
        </w:tc>
      </w:tr>
    </w:tbl>
    <w:p w:rsidR="009857C1" w:rsidRDefault="009857C1" w:rsidP="009857C1"/>
    <w:p w:rsidR="009857C1" w:rsidRDefault="009857C1" w:rsidP="009857C1"/>
    <w:tbl>
      <w:tblPr>
        <w:tblW w:w="0" w:type="auto"/>
        <w:tblLayout w:type="fixed"/>
        <w:tblLook w:val="0000" w:firstRow="0" w:lastRow="0" w:firstColumn="0" w:lastColumn="0" w:noHBand="0" w:noVBand="0"/>
      </w:tblPr>
      <w:tblGrid>
        <w:gridCol w:w="1728"/>
        <w:gridCol w:w="7740"/>
      </w:tblGrid>
      <w:tr w:rsidR="009857C1" w:rsidTr="003F1341">
        <w:trPr>
          <w:cantSplit/>
        </w:trPr>
        <w:tc>
          <w:tcPr>
            <w:tcW w:w="1728" w:type="dxa"/>
          </w:tcPr>
          <w:p w:rsidR="009857C1" w:rsidRDefault="009857C1" w:rsidP="003F1341">
            <w:pPr>
              <w:pStyle w:val="Heading5"/>
            </w:pPr>
            <w:r>
              <w:t>Specimen collection</w:t>
            </w:r>
          </w:p>
        </w:tc>
        <w:tc>
          <w:tcPr>
            <w:tcW w:w="7740" w:type="dxa"/>
          </w:tcPr>
          <w:p w:rsidR="009857C1" w:rsidRDefault="009857C1" w:rsidP="003F1341">
            <w:pPr>
              <w:pStyle w:val="BlockText"/>
            </w:pPr>
            <w:r>
              <w:t>Fluid specimens for cell counts are collected in EDTA or sterile container.</w:t>
            </w:r>
          </w:p>
          <w:p w:rsidR="009857C1" w:rsidRDefault="009857C1" w:rsidP="003F1341">
            <w:pPr>
              <w:pStyle w:val="BlockText"/>
            </w:pPr>
            <w:r>
              <w:t>Note: CSF specimens are collected in sterile containers only</w:t>
            </w:r>
          </w:p>
          <w:p w:rsidR="009857C1" w:rsidRDefault="009857C1" w:rsidP="003F1341">
            <w:pPr>
              <w:pStyle w:val="BlockText"/>
            </w:pPr>
          </w:p>
          <w:p w:rsidR="009857C1" w:rsidRDefault="009857C1" w:rsidP="003F1341">
            <w:pPr>
              <w:pStyle w:val="BlockText"/>
            </w:pPr>
            <w:r>
              <w:t>Note: Observe specimen for fibrin clots and pellicle formation. If a small fibrin clots are detected, perform test as usual and include a comment in report stating that results may not be accurate due to fibrin clot formation.</w:t>
            </w:r>
          </w:p>
          <w:p w:rsidR="009857C1" w:rsidRDefault="009857C1" w:rsidP="003F1341">
            <w:pPr>
              <w:pStyle w:val="BlockText"/>
            </w:pPr>
          </w:p>
          <w:p w:rsidR="009857C1" w:rsidRDefault="009857C1" w:rsidP="003F1341">
            <w:pPr>
              <w:pStyle w:val="BlockText"/>
            </w:pPr>
            <w:r>
              <w:t>If specimen is completely clotted do not perform the cell count.  Notify unit or provide that the specimen is clotted.</w:t>
            </w:r>
          </w:p>
          <w:p w:rsidR="009857C1" w:rsidRDefault="009857C1" w:rsidP="003F1341">
            <w:pPr>
              <w:pStyle w:val="BlockText"/>
            </w:pPr>
          </w:p>
          <w:p w:rsidR="009857C1" w:rsidRDefault="009857C1" w:rsidP="003F1341">
            <w:pPr>
              <w:pStyle w:val="BlockText"/>
            </w:pPr>
            <w:r>
              <w:t>Note:  Always use sterile technique when handling body fluid specimens.</w:t>
            </w:r>
          </w:p>
        </w:tc>
      </w:tr>
    </w:tbl>
    <w:p w:rsidR="009857C1" w:rsidRDefault="009857C1" w:rsidP="009857C1">
      <w:r>
        <w:t xml:space="preserve"> </w:t>
      </w:r>
    </w:p>
    <w:p w:rsidR="009857C1" w:rsidRDefault="009857C1" w:rsidP="009857C1">
      <w:pPr>
        <w:pStyle w:val="MapTitleContinued"/>
        <w:rPr>
          <w:b w:val="0"/>
          <w:sz w:val="24"/>
        </w:rPr>
      </w:pPr>
      <w:r>
        <w:br w:type="page"/>
      </w:r>
    </w:p>
    <w:tbl>
      <w:tblPr>
        <w:tblW w:w="0" w:type="auto"/>
        <w:tblLayout w:type="fixed"/>
        <w:tblLook w:val="0000" w:firstRow="0" w:lastRow="0" w:firstColumn="0" w:lastColumn="0" w:noHBand="0" w:noVBand="0"/>
      </w:tblPr>
      <w:tblGrid>
        <w:gridCol w:w="1728"/>
        <w:gridCol w:w="7740"/>
      </w:tblGrid>
      <w:tr w:rsidR="009857C1" w:rsidTr="003F1341">
        <w:trPr>
          <w:cantSplit/>
        </w:trPr>
        <w:tc>
          <w:tcPr>
            <w:tcW w:w="1728" w:type="dxa"/>
          </w:tcPr>
          <w:p w:rsidR="009857C1" w:rsidRDefault="009857C1" w:rsidP="003F1341">
            <w:pPr>
              <w:pStyle w:val="Heading5"/>
            </w:pPr>
            <w:r>
              <w:lastRenderedPageBreak/>
              <w:t>Completing cell count</w:t>
            </w:r>
          </w:p>
        </w:tc>
        <w:tc>
          <w:tcPr>
            <w:tcW w:w="7740" w:type="dxa"/>
          </w:tcPr>
          <w:p w:rsidR="009857C1" w:rsidRDefault="009857C1" w:rsidP="003F1341">
            <w:pPr>
              <w:pStyle w:val="BlockText"/>
            </w:pPr>
            <w:r>
              <w:t>Follow the steps below to complete the cell count for RBC’s and WBC’s on body fluids.</w:t>
            </w:r>
          </w:p>
        </w:tc>
      </w:tr>
    </w:tbl>
    <w:p w:rsidR="009857C1" w:rsidRPr="00082BFC" w:rsidRDefault="009857C1" w:rsidP="009857C1"/>
    <w:tbl>
      <w:tblPr>
        <w:tblW w:w="9450" w:type="dxa"/>
        <w:tblInd w:w="648" w:type="dxa"/>
        <w:tblLayout w:type="fixed"/>
        <w:tblLook w:val="0000" w:firstRow="0" w:lastRow="0" w:firstColumn="0" w:lastColumn="0" w:noHBand="0" w:noVBand="0"/>
      </w:tblPr>
      <w:tblGrid>
        <w:gridCol w:w="1080"/>
        <w:gridCol w:w="8370"/>
      </w:tblGrid>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HeaderText"/>
            </w:pPr>
            <w:r>
              <w:t>Step</w:t>
            </w:r>
          </w:p>
        </w:tc>
        <w:tc>
          <w:tcPr>
            <w:tcW w:w="8370" w:type="dxa"/>
            <w:tcBorders>
              <w:top w:val="single" w:sz="6" w:space="0" w:color="auto"/>
              <w:bottom w:val="single" w:sz="6" w:space="0" w:color="auto"/>
              <w:right w:val="single" w:sz="6" w:space="0" w:color="auto"/>
            </w:tcBorders>
          </w:tcPr>
          <w:p w:rsidR="009857C1" w:rsidRDefault="009857C1" w:rsidP="003F1341">
            <w:pPr>
              <w:pStyle w:val="TableHeaderText"/>
            </w:pPr>
            <w:r>
              <w:t>Action</w:t>
            </w:r>
          </w:p>
        </w:tc>
      </w:tr>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1</w:t>
            </w:r>
          </w:p>
        </w:tc>
        <w:tc>
          <w:tcPr>
            <w:tcW w:w="8370" w:type="dxa"/>
            <w:tcBorders>
              <w:top w:val="single" w:sz="6" w:space="0" w:color="auto"/>
              <w:bottom w:val="single" w:sz="6" w:space="0" w:color="auto"/>
              <w:right w:val="single" w:sz="6" w:space="0" w:color="auto"/>
            </w:tcBorders>
          </w:tcPr>
          <w:p w:rsidR="009857C1" w:rsidRDefault="009857C1" w:rsidP="003F1341">
            <w:pPr>
              <w:pStyle w:val="TableText"/>
            </w:pPr>
            <w:r>
              <w:t xml:space="preserve">Mix specimen well.  Use either disposable counting chamber or reusable one. </w:t>
            </w:r>
          </w:p>
          <w:p w:rsidR="009857C1" w:rsidRDefault="009857C1" w:rsidP="003F1341">
            <w:pPr>
              <w:pStyle w:val="TableText"/>
            </w:pPr>
            <w:r>
              <w:t xml:space="preserve"> (Note: if using re-usable counting chamber cover slip the </w:t>
            </w:r>
            <w:proofErr w:type="spellStart"/>
            <w:r>
              <w:t>hemacytometer</w:t>
            </w:r>
            <w:proofErr w:type="spellEnd"/>
            <w:r>
              <w:t xml:space="preserve">). </w:t>
            </w:r>
          </w:p>
          <w:p w:rsidR="009857C1" w:rsidRDefault="009857C1" w:rsidP="003F1341">
            <w:pPr>
              <w:pStyle w:val="TableText"/>
            </w:pPr>
            <w:r>
              <w:t xml:space="preserve"> Load both chambers of the </w:t>
            </w:r>
            <w:proofErr w:type="spellStart"/>
            <w:r>
              <w:t>hemacytometer</w:t>
            </w:r>
            <w:proofErr w:type="spellEnd"/>
            <w:r>
              <w:t>, with undiluted body fluid specimen.</w:t>
            </w:r>
          </w:p>
          <w:p w:rsidR="009857C1" w:rsidRDefault="009857C1" w:rsidP="003F1341">
            <w:pPr>
              <w:pStyle w:val="TableText"/>
            </w:pPr>
            <w:r>
              <w:t xml:space="preserve">  Note: On high counts a dilution may be necessary.  Place </w:t>
            </w:r>
            <w:proofErr w:type="spellStart"/>
            <w:r>
              <w:t>hemacytometer</w:t>
            </w:r>
            <w:proofErr w:type="spellEnd"/>
            <w:r>
              <w:t xml:space="preserve"> in </w:t>
            </w:r>
          </w:p>
          <w:p w:rsidR="009857C1" w:rsidRDefault="009857C1" w:rsidP="003F1341">
            <w:pPr>
              <w:pStyle w:val="TableText"/>
            </w:pPr>
            <w:r>
              <w:t>A covered Petri dish with a damp paper and two small applicator sticks.  Let</w:t>
            </w:r>
          </w:p>
          <w:p w:rsidR="009857C1" w:rsidRDefault="009857C1" w:rsidP="003F1341">
            <w:pPr>
              <w:pStyle w:val="TableText"/>
            </w:pPr>
            <w:r>
              <w:t xml:space="preserve"> equilibrate for five minutes before counting</w:t>
            </w:r>
          </w:p>
        </w:tc>
      </w:tr>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2</w:t>
            </w:r>
          </w:p>
        </w:tc>
        <w:tc>
          <w:tcPr>
            <w:tcW w:w="8370" w:type="dxa"/>
            <w:tcBorders>
              <w:top w:val="single" w:sz="6" w:space="0" w:color="auto"/>
              <w:bottom w:val="single" w:sz="6" w:space="0" w:color="auto"/>
              <w:right w:val="single" w:sz="6" w:space="0" w:color="auto"/>
            </w:tcBorders>
          </w:tcPr>
          <w:p w:rsidR="009857C1" w:rsidRDefault="009857C1" w:rsidP="003F1341">
            <w:pPr>
              <w:pStyle w:val="TableText"/>
            </w:pPr>
            <w:r>
              <w:t>Verify that QC is done before performing patient testing.  If not perform QC in same manner as patient testing and document the results in the QC log. Refer to Fluid Quality Control Procedure (</w:t>
            </w:r>
            <w:r w:rsidRPr="00CC7BD8">
              <w:rPr>
                <w:b/>
              </w:rPr>
              <w:t>LAMC-PPP-0304</w:t>
            </w:r>
            <w:r>
              <w:t>) for detailed information about QC procedure.</w:t>
            </w:r>
          </w:p>
        </w:tc>
      </w:tr>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3</w:t>
            </w:r>
          </w:p>
        </w:tc>
        <w:tc>
          <w:tcPr>
            <w:tcW w:w="8370" w:type="dxa"/>
            <w:tcBorders>
              <w:top w:val="single" w:sz="6" w:space="0" w:color="auto"/>
              <w:bottom w:val="single" w:sz="6" w:space="0" w:color="auto"/>
              <w:right w:val="single" w:sz="6" w:space="0" w:color="auto"/>
            </w:tcBorders>
          </w:tcPr>
          <w:p w:rsidR="009857C1" w:rsidRDefault="009857C1" w:rsidP="00CC7D1A">
            <w:pPr>
              <w:pStyle w:val="TableText"/>
            </w:pPr>
            <w:r>
              <w:t>Cell count will be performed in duplicate using 40x magnification.  Typically 9 large squares are counted on each side of the chamber. For very high counts, less squares may be counted, however, equal number of corresponding squares must be counted on both sides of the chamber. Follow the No cell counting border policy.</w:t>
            </w:r>
          </w:p>
        </w:tc>
      </w:tr>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4</w:t>
            </w:r>
          </w:p>
        </w:tc>
        <w:tc>
          <w:tcPr>
            <w:tcW w:w="8370" w:type="dxa"/>
            <w:tcBorders>
              <w:top w:val="single" w:sz="6" w:space="0" w:color="auto"/>
              <w:bottom w:val="single" w:sz="6" w:space="0" w:color="auto"/>
              <w:right w:val="single" w:sz="6" w:space="0" w:color="auto"/>
            </w:tcBorders>
          </w:tcPr>
          <w:p w:rsidR="009857C1" w:rsidRDefault="009857C1" w:rsidP="003F1341">
            <w:pPr>
              <w:pStyle w:val="TableText"/>
            </w:pPr>
            <w:r>
              <w:t xml:space="preserve">CLS will calculate </w:t>
            </w:r>
            <w:r w:rsidR="00CC7D1A">
              <w:t xml:space="preserve">per </w:t>
            </w:r>
            <w:r>
              <w:t>chamber using the following:</w:t>
            </w:r>
          </w:p>
          <w:p w:rsidR="009857C1" w:rsidRDefault="009857C1" w:rsidP="003F1341">
            <w:pPr>
              <w:pStyle w:val="TableText"/>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41910</wp:posOffset>
                  </wp:positionV>
                  <wp:extent cx="1447165" cy="1569720"/>
                  <wp:effectExtent l="0" t="0" r="635" b="0"/>
                  <wp:wrapNone/>
                  <wp:docPr id="4" name="Picture 4" descr="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b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16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7C1" w:rsidRDefault="009857C1" w:rsidP="003F1341">
            <w:pPr>
              <w:pStyle w:val="TableText"/>
              <w:rPr>
                <w:rFonts w:ascii="Arial" w:hAnsi="Arial" w:cs="Arial"/>
                <w:sz w:val="18"/>
                <w:szCs w:val="18"/>
                <w:vertAlign w:val="superscript"/>
              </w:rPr>
            </w:pPr>
            <w:r>
              <w:t xml:space="preserve">                                         </w:t>
            </w:r>
            <w:r w:rsidRPr="00881508">
              <w:rPr>
                <w:rFonts w:ascii="Arial" w:hAnsi="Arial" w:cs="Arial"/>
                <w:sz w:val="18"/>
                <w:szCs w:val="18"/>
              </w:rPr>
              <w:t>Large Square</w:t>
            </w:r>
            <w:r>
              <w:rPr>
                <w:rFonts w:ascii="Arial" w:hAnsi="Arial" w:cs="Arial"/>
                <w:sz w:val="18"/>
                <w:szCs w:val="18"/>
              </w:rPr>
              <w:t xml:space="preserve"> </w:t>
            </w:r>
            <w:r w:rsidRPr="00881508">
              <w:rPr>
                <w:rFonts w:ascii="Arial" w:hAnsi="Arial" w:cs="Arial"/>
                <w:sz w:val="18"/>
                <w:szCs w:val="18"/>
              </w:rPr>
              <w:t>(W) = 1 mm</w:t>
            </w:r>
            <w:r w:rsidRPr="00881508">
              <w:rPr>
                <w:rFonts w:ascii="Arial" w:hAnsi="Arial" w:cs="Arial"/>
                <w:sz w:val="18"/>
                <w:szCs w:val="18"/>
                <w:vertAlign w:val="superscript"/>
              </w:rPr>
              <w:t>2</w:t>
            </w:r>
          </w:p>
          <w:p w:rsidR="009857C1" w:rsidRDefault="009857C1" w:rsidP="003F1341">
            <w:pPr>
              <w:pStyle w:val="TableText"/>
              <w:rPr>
                <w:rFonts w:ascii="Arial" w:hAnsi="Arial" w:cs="Arial"/>
                <w:sz w:val="18"/>
                <w:szCs w:val="18"/>
                <w:vertAlign w:val="superscript"/>
              </w:rPr>
            </w:pPr>
          </w:p>
          <w:p w:rsidR="009857C1" w:rsidRDefault="009857C1" w:rsidP="003F1341">
            <w:pPr>
              <w:pStyle w:val="TableText"/>
            </w:pPr>
          </w:p>
          <w:p w:rsidR="009857C1" w:rsidRDefault="009857C1" w:rsidP="003F1341">
            <w:pPr>
              <w:pStyle w:val="TableText"/>
            </w:pPr>
            <w:r>
              <w:t xml:space="preserve">                                         </w:t>
            </w:r>
            <w:r w:rsidRPr="00881508">
              <w:rPr>
                <w:rFonts w:ascii="Arial" w:hAnsi="Arial" w:cs="Arial"/>
                <w:sz w:val="18"/>
                <w:szCs w:val="18"/>
              </w:rPr>
              <w:t>Small Square (R) = 0.04 mm</w:t>
            </w:r>
            <w:r w:rsidRPr="00881508">
              <w:rPr>
                <w:rFonts w:ascii="Arial" w:hAnsi="Arial" w:cs="Arial"/>
                <w:sz w:val="18"/>
                <w:szCs w:val="18"/>
                <w:vertAlign w:val="superscript"/>
              </w:rPr>
              <w:t>2</w:t>
            </w:r>
            <w:r>
              <w:rPr>
                <w:rFonts w:ascii="Arial" w:hAnsi="Arial" w:cs="Arial"/>
                <w:sz w:val="18"/>
                <w:szCs w:val="18"/>
                <w:vertAlign w:val="superscript"/>
              </w:rPr>
              <w:t xml:space="preserve">   </w:t>
            </w:r>
            <w:r>
              <w:rPr>
                <w:rFonts w:ascii="Arial" w:hAnsi="Arial" w:cs="Arial"/>
                <w:sz w:val="18"/>
                <w:szCs w:val="18"/>
              </w:rPr>
              <w:t>for one small square</w:t>
            </w:r>
            <w:r>
              <w:t xml:space="preserve">                </w:t>
            </w:r>
          </w:p>
          <w:p w:rsidR="009857C1" w:rsidRDefault="009857C1" w:rsidP="003F1341">
            <w:pPr>
              <w:pStyle w:val="TableText"/>
            </w:pPr>
            <w:r>
              <w:t xml:space="preserve">                                                                </w:t>
            </w:r>
            <w:r>
              <w:rPr>
                <w:rFonts w:ascii="Arial" w:hAnsi="Arial" w:cs="Arial"/>
                <w:sz w:val="18"/>
                <w:szCs w:val="18"/>
              </w:rPr>
              <w:t>= 0.2 mm</w:t>
            </w:r>
            <w:r w:rsidRPr="00E429ED">
              <w:rPr>
                <w:rFonts w:ascii="Arial" w:hAnsi="Arial" w:cs="Arial"/>
                <w:sz w:val="18"/>
                <w:szCs w:val="18"/>
                <w:vertAlign w:val="superscript"/>
              </w:rPr>
              <w:t>2</w:t>
            </w:r>
            <w:r>
              <w:rPr>
                <w:rFonts w:ascii="Arial" w:hAnsi="Arial" w:cs="Arial"/>
                <w:sz w:val="18"/>
                <w:szCs w:val="18"/>
              </w:rPr>
              <w:t xml:space="preserve"> for all 5 small squares</w:t>
            </w:r>
          </w:p>
          <w:p w:rsidR="009857C1" w:rsidRDefault="009857C1" w:rsidP="003F1341">
            <w:pPr>
              <w:pStyle w:val="TableText"/>
            </w:pPr>
          </w:p>
          <w:p w:rsidR="009857C1" w:rsidRDefault="009857C1" w:rsidP="003F1341">
            <w:pPr>
              <w:pStyle w:val="TableText"/>
            </w:pPr>
          </w:p>
          <w:p w:rsidR="009857C1" w:rsidRDefault="009857C1" w:rsidP="003F1341">
            <w:pPr>
              <w:pStyle w:val="TableText"/>
            </w:pPr>
          </w:p>
          <w:p w:rsidR="009857C1" w:rsidRDefault="009857C1" w:rsidP="003F1341">
            <w:pPr>
              <w:pStyle w:val="TableText"/>
            </w:pPr>
          </w:p>
          <w:p w:rsidR="009857C1" w:rsidRDefault="009857C1" w:rsidP="003F1341">
            <w:pPr>
              <w:pStyle w:val="TableText"/>
            </w:pPr>
            <w:r>
              <w:t xml:space="preserve"> Formula:</w:t>
            </w:r>
          </w:p>
          <w:p w:rsidR="009857C1" w:rsidRDefault="009857C1" w:rsidP="003F1341">
            <w:pPr>
              <w:pStyle w:val="TableText"/>
            </w:pPr>
          </w:p>
          <w:p w:rsidR="009857C1" w:rsidRPr="00AA11BB" w:rsidRDefault="009857C1" w:rsidP="003F1341">
            <w:pPr>
              <w:rPr>
                <w:rFonts w:ascii="Arial" w:hAnsi="Arial" w:cs="Arial"/>
                <w:sz w:val="22"/>
                <w:szCs w:val="22"/>
              </w:rPr>
            </w:pPr>
            <w:r w:rsidRPr="00AA11BB">
              <w:rPr>
                <w:rFonts w:ascii="Arial" w:hAnsi="Arial" w:cs="Arial"/>
                <w:b/>
                <w:sz w:val="22"/>
                <w:szCs w:val="22"/>
              </w:rPr>
              <w:t xml:space="preserve">Total cells/ </w:t>
            </w:r>
            <w:r w:rsidRPr="00AA11BB">
              <w:rPr>
                <w:rFonts w:ascii="Arial" w:hAnsi="Arial" w:cs="Arial"/>
                <w:b/>
                <w:sz w:val="22"/>
                <w:szCs w:val="22"/>
              </w:rPr>
              <w:sym w:font="Symbol" w:char="F06D"/>
            </w:r>
            <w:r w:rsidRPr="00AA11BB">
              <w:rPr>
                <w:rFonts w:ascii="Arial" w:hAnsi="Arial" w:cs="Arial"/>
                <w:b/>
                <w:sz w:val="22"/>
                <w:szCs w:val="22"/>
              </w:rPr>
              <w:t>l</w:t>
            </w:r>
            <w:r w:rsidRPr="00AA11BB">
              <w:rPr>
                <w:rFonts w:ascii="Arial" w:hAnsi="Arial" w:cs="Arial"/>
                <w:sz w:val="22"/>
                <w:szCs w:val="22"/>
              </w:rPr>
              <w:t xml:space="preserve"> =      </w:t>
            </w:r>
            <w:r w:rsidRPr="00AA11BB">
              <w:rPr>
                <w:rFonts w:ascii="Arial" w:hAnsi="Arial" w:cs="Arial"/>
                <w:sz w:val="22"/>
                <w:szCs w:val="22"/>
                <w:u w:val="single"/>
              </w:rPr>
              <w:t>Total Average Count x 10</w:t>
            </w:r>
            <w:r>
              <w:rPr>
                <w:rFonts w:ascii="Arial" w:hAnsi="Arial" w:cs="Arial"/>
                <w:sz w:val="22"/>
                <w:szCs w:val="22"/>
                <w:u w:val="single"/>
              </w:rPr>
              <w:t xml:space="preserve"> cells/</w:t>
            </w:r>
            <w:r w:rsidRPr="00DB1F42">
              <w:rPr>
                <w:rFonts w:ascii="Arial" w:hAnsi="Arial" w:cs="Arial"/>
                <w:sz w:val="22"/>
                <w:szCs w:val="22"/>
                <w:u w:val="single"/>
              </w:rPr>
              <w:sym w:font="Symbol" w:char="F06D"/>
            </w:r>
            <w:r w:rsidRPr="00F9297B">
              <w:rPr>
                <w:rFonts w:ascii="Arial" w:hAnsi="Arial" w:cs="Arial"/>
                <w:sz w:val="22"/>
                <w:szCs w:val="22"/>
                <w:u w:val="single"/>
              </w:rPr>
              <w:t>l</w:t>
            </w:r>
            <w:r w:rsidRPr="00AA11BB">
              <w:rPr>
                <w:rFonts w:ascii="Arial" w:hAnsi="Arial" w:cs="Arial"/>
                <w:sz w:val="22"/>
                <w:szCs w:val="22"/>
              </w:rPr>
              <w:tab/>
            </w:r>
          </w:p>
          <w:p w:rsidR="009857C1" w:rsidRPr="00AA11BB" w:rsidRDefault="009857C1" w:rsidP="003F1341">
            <w:pPr>
              <w:rPr>
                <w:rFonts w:ascii="Arial" w:hAnsi="Arial" w:cs="Arial"/>
                <w:sz w:val="22"/>
                <w:szCs w:val="22"/>
              </w:rPr>
            </w:pPr>
            <w:r w:rsidRPr="00AA11BB">
              <w:rPr>
                <w:rFonts w:ascii="Arial" w:hAnsi="Arial" w:cs="Arial"/>
                <w:sz w:val="22"/>
                <w:szCs w:val="22"/>
              </w:rPr>
              <w:t xml:space="preserve">                                           # of square mm counted</w:t>
            </w:r>
          </w:p>
          <w:p w:rsidR="009857C1" w:rsidRDefault="009857C1" w:rsidP="003F1341">
            <w:pPr>
              <w:pStyle w:val="TableText"/>
            </w:pPr>
          </w:p>
        </w:tc>
      </w:tr>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5</w:t>
            </w:r>
          </w:p>
        </w:tc>
        <w:tc>
          <w:tcPr>
            <w:tcW w:w="8370" w:type="dxa"/>
            <w:tcBorders>
              <w:top w:val="single" w:sz="6" w:space="0" w:color="auto"/>
              <w:bottom w:val="single" w:sz="6" w:space="0" w:color="auto"/>
              <w:right w:val="single" w:sz="6" w:space="0" w:color="auto"/>
            </w:tcBorders>
          </w:tcPr>
          <w:p w:rsidR="009857C1" w:rsidRDefault="009857C1" w:rsidP="003F1341">
            <w:pPr>
              <w:pStyle w:val="TableText"/>
            </w:pPr>
            <w:r>
              <w:t xml:space="preserve">The calculated counts between the two </w:t>
            </w:r>
            <w:r w:rsidR="00CC7D1A">
              <w:t>chambers</w:t>
            </w:r>
            <w:r>
              <w:t xml:space="preserve"> will be averaged as the final result but must agree within 25% difference or the count must be repeated. </w:t>
            </w:r>
          </w:p>
          <w:p w:rsidR="009857C1" w:rsidRDefault="009857C1" w:rsidP="003F1341">
            <w:pPr>
              <w:pStyle w:val="TableText"/>
            </w:pPr>
            <w:r>
              <w:t>% Difference is the difference between the 2 counts divided by the Average of 2 counts then multiplied by 100.</w:t>
            </w:r>
          </w:p>
        </w:tc>
      </w:tr>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6</w:t>
            </w:r>
          </w:p>
        </w:tc>
        <w:tc>
          <w:tcPr>
            <w:tcW w:w="8370" w:type="dxa"/>
            <w:tcBorders>
              <w:top w:val="single" w:sz="6" w:space="0" w:color="auto"/>
              <w:bottom w:val="single" w:sz="6" w:space="0" w:color="auto"/>
              <w:right w:val="single" w:sz="6" w:space="0" w:color="auto"/>
            </w:tcBorders>
          </w:tcPr>
          <w:p w:rsidR="009857C1" w:rsidRDefault="009857C1" w:rsidP="003F1341">
            <w:pPr>
              <w:pStyle w:val="TableText"/>
            </w:pPr>
            <w:r>
              <w:t>After the count is completed</w:t>
            </w:r>
            <w:r w:rsidR="00CC7D1A">
              <w:t>, dispose</w:t>
            </w:r>
            <w:r>
              <w:t xml:space="preserve"> disposable </w:t>
            </w:r>
            <w:proofErr w:type="spellStart"/>
            <w:r>
              <w:t>hemacytometer</w:t>
            </w:r>
            <w:proofErr w:type="spellEnd"/>
            <w:r>
              <w:t>.</w:t>
            </w:r>
          </w:p>
        </w:tc>
      </w:tr>
    </w:tbl>
    <w:p w:rsidR="009857C1" w:rsidRDefault="009857C1" w:rsidP="009857C1">
      <w:pPr>
        <w:pStyle w:val="MapTitleContinued"/>
      </w:pPr>
    </w:p>
    <w:p w:rsidR="009857C1" w:rsidRDefault="009857C1" w:rsidP="009857C1">
      <w:pPr>
        <w:pStyle w:val="MapTitleContinued"/>
        <w:rPr>
          <w:b w:val="0"/>
          <w:sz w:val="24"/>
        </w:rPr>
      </w:pPr>
    </w:p>
    <w:tbl>
      <w:tblPr>
        <w:tblW w:w="10098" w:type="dxa"/>
        <w:tblLayout w:type="fixed"/>
        <w:tblLook w:val="0000" w:firstRow="0" w:lastRow="0" w:firstColumn="0" w:lastColumn="0" w:noHBand="0" w:noVBand="0"/>
      </w:tblPr>
      <w:tblGrid>
        <w:gridCol w:w="648"/>
        <w:gridCol w:w="1080"/>
        <w:gridCol w:w="7740"/>
        <w:gridCol w:w="630"/>
      </w:tblGrid>
      <w:tr w:rsidR="009857C1" w:rsidTr="003F1341">
        <w:trPr>
          <w:gridAfter w:val="1"/>
          <w:wAfter w:w="630" w:type="dxa"/>
          <w:cantSplit/>
        </w:trPr>
        <w:tc>
          <w:tcPr>
            <w:tcW w:w="1728" w:type="dxa"/>
            <w:gridSpan w:val="2"/>
          </w:tcPr>
          <w:p w:rsidR="009857C1" w:rsidRDefault="009857C1" w:rsidP="003F1341">
            <w:pPr>
              <w:pStyle w:val="Heading5"/>
            </w:pPr>
            <w:r>
              <w:lastRenderedPageBreak/>
              <w:t>Performing cell count that needs dilution</w:t>
            </w:r>
          </w:p>
        </w:tc>
        <w:tc>
          <w:tcPr>
            <w:tcW w:w="7740" w:type="dxa"/>
          </w:tcPr>
          <w:p w:rsidR="009857C1" w:rsidRDefault="009857C1" w:rsidP="003F1341">
            <w:pPr>
              <w:pStyle w:val="BlockText"/>
            </w:pPr>
            <w:r>
              <w:t xml:space="preserve">In performing cell count using a </w:t>
            </w:r>
            <w:proofErr w:type="spellStart"/>
            <w:r>
              <w:t>hemacytometer</w:t>
            </w:r>
            <w:proofErr w:type="spellEnd"/>
            <w:r>
              <w:t>, cells when checked on a microscope should be on a monolayer spread to have an accurate count. High counts that tend to make cells on top of each other should be diluted. Follow steps in performing cell count with dilution.</w:t>
            </w:r>
          </w:p>
        </w:tc>
      </w:tr>
      <w:tr w:rsidR="009857C1" w:rsidTr="003F1341">
        <w:trPr>
          <w:gridBefore w:val="1"/>
          <w:wBefore w:w="648" w:type="dxa"/>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HeaderText"/>
            </w:pPr>
            <w:r>
              <w:t>Step</w:t>
            </w:r>
          </w:p>
        </w:tc>
        <w:tc>
          <w:tcPr>
            <w:tcW w:w="8370" w:type="dxa"/>
            <w:gridSpan w:val="2"/>
            <w:tcBorders>
              <w:top w:val="single" w:sz="6" w:space="0" w:color="auto"/>
              <w:bottom w:val="single" w:sz="6" w:space="0" w:color="auto"/>
              <w:right w:val="single" w:sz="6" w:space="0" w:color="auto"/>
            </w:tcBorders>
          </w:tcPr>
          <w:p w:rsidR="009857C1" w:rsidRDefault="009857C1" w:rsidP="003F1341">
            <w:pPr>
              <w:pStyle w:val="TableHeaderText"/>
            </w:pPr>
            <w:r>
              <w:t>Action</w:t>
            </w:r>
          </w:p>
        </w:tc>
      </w:tr>
      <w:tr w:rsidR="009857C1" w:rsidTr="003F1341">
        <w:trPr>
          <w:gridBefore w:val="1"/>
          <w:wBefore w:w="648" w:type="dxa"/>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1</w:t>
            </w:r>
          </w:p>
        </w:tc>
        <w:tc>
          <w:tcPr>
            <w:tcW w:w="8370" w:type="dxa"/>
            <w:gridSpan w:val="2"/>
            <w:tcBorders>
              <w:top w:val="single" w:sz="6" w:space="0" w:color="auto"/>
              <w:bottom w:val="single" w:sz="6" w:space="0" w:color="auto"/>
              <w:right w:val="single" w:sz="6" w:space="0" w:color="auto"/>
            </w:tcBorders>
          </w:tcPr>
          <w:p w:rsidR="009857C1" w:rsidRDefault="009857C1" w:rsidP="003F1341">
            <w:pPr>
              <w:pStyle w:val="TableText"/>
            </w:pPr>
            <w:r>
              <w:t>Diluent to be used for Cell count body fluid is collected from the instrument/DXH800. On the DXH 800 instrument choose Single-Tube presentation  and Choose ‘Dispense Diluent’</w:t>
            </w:r>
          </w:p>
        </w:tc>
      </w:tr>
      <w:tr w:rsidR="009857C1" w:rsidTr="003F1341">
        <w:trPr>
          <w:gridBefore w:val="1"/>
          <w:wBefore w:w="648" w:type="dxa"/>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2</w:t>
            </w:r>
          </w:p>
        </w:tc>
        <w:tc>
          <w:tcPr>
            <w:tcW w:w="8370" w:type="dxa"/>
            <w:gridSpan w:val="2"/>
            <w:tcBorders>
              <w:top w:val="single" w:sz="6" w:space="0" w:color="auto"/>
              <w:bottom w:val="single" w:sz="6" w:space="0" w:color="auto"/>
              <w:right w:val="single" w:sz="6" w:space="0" w:color="auto"/>
            </w:tcBorders>
          </w:tcPr>
          <w:p w:rsidR="009857C1" w:rsidRDefault="009857C1" w:rsidP="003F1341">
            <w:pPr>
              <w:pStyle w:val="TableText"/>
            </w:pPr>
            <w:r>
              <w:t>Confirm procedure and insert an empty test tube on the left side loader as a container for your diluent to be used. Instrument will dispense diluent from instrument to the test tube. Repeat procedure for more diluent depending on the amount needed. Follow the  instruction by instrument to stop Dispense diluent procedure</w:t>
            </w:r>
          </w:p>
        </w:tc>
      </w:tr>
      <w:tr w:rsidR="009857C1" w:rsidTr="003F1341">
        <w:trPr>
          <w:gridBefore w:val="1"/>
          <w:wBefore w:w="648" w:type="dxa"/>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3</w:t>
            </w:r>
          </w:p>
        </w:tc>
        <w:tc>
          <w:tcPr>
            <w:tcW w:w="8370" w:type="dxa"/>
            <w:gridSpan w:val="2"/>
            <w:tcBorders>
              <w:top w:val="single" w:sz="6" w:space="0" w:color="auto"/>
              <w:bottom w:val="single" w:sz="6" w:space="0" w:color="auto"/>
              <w:right w:val="single" w:sz="6" w:space="0" w:color="auto"/>
            </w:tcBorders>
          </w:tcPr>
          <w:p w:rsidR="009857C1" w:rsidRDefault="009857C1" w:rsidP="003F1341">
            <w:pPr>
              <w:pStyle w:val="TableText"/>
            </w:pPr>
            <w:r>
              <w:t xml:space="preserve">Still on Single-tube presentation, enter Specimen ID as ‘diluent’ and press </w:t>
            </w:r>
            <w:r w:rsidRPr="00F9297B">
              <w:rPr>
                <w:b/>
              </w:rPr>
              <w:t>enter</w:t>
            </w:r>
            <w:r>
              <w:t xml:space="preserve">. Run the dispensed diluent from instrument as a CBC to check background of the diluent dispensed. Results should all be zero to make sure diluent can be used for cell count dilution. </w:t>
            </w:r>
            <w:r w:rsidRPr="007A05F1">
              <w:rPr>
                <w:b/>
              </w:rPr>
              <w:t>Print out diluent dispensed background check and date/initial</w:t>
            </w:r>
            <w:r>
              <w:t>. File the diluent background check print out with Attachment A (Body Fluid Patient Log).</w:t>
            </w:r>
          </w:p>
        </w:tc>
      </w:tr>
      <w:tr w:rsidR="009857C1" w:rsidTr="003F1341">
        <w:trPr>
          <w:gridBefore w:val="1"/>
          <w:wBefore w:w="648" w:type="dxa"/>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4</w:t>
            </w:r>
          </w:p>
        </w:tc>
        <w:tc>
          <w:tcPr>
            <w:tcW w:w="8370" w:type="dxa"/>
            <w:gridSpan w:val="2"/>
            <w:tcBorders>
              <w:top w:val="single" w:sz="6" w:space="0" w:color="auto"/>
              <w:bottom w:val="single" w:sz="6" w:space="0" w:color="auto"/>
              <w:right w:val="single" w:sz="6" w:space="0" w:color="auto"/>
            </w:tcBorders>
          </w:tcPr>
          <w:p w:rsidR="009857C1" w:rsidRDefault="009857C1" w:rsidP="003F1341">
            <w:pPr>
              <w:pStyle w:val="TableText"/>
            </w:pPr>
            <w:r>
              <w:t xml:space="preserve">After passing the diluent background check, use the dispensed diluent to perform dilution analysis for Body Fluid Cell count. Use the lowest dilution factor possible to create a monolayer of cells on </w:t>
            </w:r>
            <w:proofErr w:type="spellStart"/>
            <w:r>
              <w:t>hemacytometer</w:t>
            </w:r>
            <w:proofErr w:type="spellEnd"/>
            <w:r>
              <w:t xml:space="preserve"> when checked on a microscope.</w:t>
            </w:r>
          </w:p>
        </w:tc>
      </w:tr>
      <w:tr w:rsidR="00C31B1A" w:rsidTr="003F1341">
        <w:trPr>
          <w:gridBefore w:val="1"/>
          <w:wBefore w:w="648" w:type="dxa"/>
          <w:cantSplit/>
        </w:trPr>
        <w:tc>
          <w:tcPr>
            <w:tcW w:w="1080" w:type="dxa"/>
            <w:tcBorders>
              <w:top w:val="single" w:sz="6" w:space="0" w:color="auto"/>
              <w:left w:val="single" w:sz="6" w:space="0" w:color="auto"/>
              <w:bottom w:val="single" w:sz="6" w:space="0" w:color="auto"/>
              <w:right w:val="single" w:sz="6" w:space="0" w:color="auto"/>
            </w:tcBorders>
          </w:tcPr>
          <w:p w:rsidR="00C31B1A" w:rsidRDefault="00C31B1A" w:rsidP="00C31B1A">
            <w:pPr>
              <w:pStyle w:val="TableText"/>
              <w:jc w:val="center"/>
            </w:pPr>
            <w:r>
              <w:t>5</w:t>
            </w:r>
          </w:p>
        </w:tc>
        <w:tc>
          <w:tcPr>
            <w:tcW w:w="8370" w:type="dxa"/>
            <w:gridSpan w:val="2"/>
            <w:tcBorders>
              <w:top w:val="single" w:sz="6" w:space="0" w:color="auto"/>
              <w:bottom w:val="single" w:sz="6" w:space="0" w:color="auto"/>
              <w:right w:val="single" w:sz="6" w:space="0" w:color="auto"/>
            </w:tcBorders>
          </w:tcPr>
          <w:p w:rsidR="00C31B1A" w:rsidRDefault="00C31B1A" w:rsidP="00C31B1A">
            <w:pPr>
              <w:pStyle w:val="TableText"/>
            </w:pPr>
            <w:r>
              <w:t>Cell count will be performed in duplicate using 40x magnification.  Typically 9 large squares are counted on each side of the chamber. For very high counts, less squares may be counted, however, equal number of corresponding squares must be counted on both sides of the chamber. Follow the No cell counting border policy.</w:t>
            </w:r>
          </w:p>
        </w:tc>
      </w:tr>
    </w:tbl>
    <w:p w:rsidR="009857C1" w:rsidRDefault="009857C1" w:rsidP="009857C1"/>
    <w:p w:rsidR="009857C1" w:rsidRDefault="009857C1" w:rsidP="009857C1"/>
    <w:p w:rsidR="009857C1" w:rsidRDefault="009857C1" w:rsidP="009857C1"/>
    <w:p w:rsidR="009857C1" w:rsidRDefault="009857C1" w:rsidP="009857C1"/>
    <w:p w:rsidR="009857C1" w:rsidRDefault="009857C1" w:rsidP="009857C1"/>
    <w:p w:rsidR="009857C1" w:rsidRDefault="009857C1" w:rsidP="009857C1"/>
    <w:p w:rsidR="009857C1" w:rsidRDefault="009857C1" w:rsidP="009857C1"/>
    <w:tbl>
      <w:tblPr>
        <w:tblW w:w="9450" w:type="dxa"/>
        <w:tblInd w:w="648" w:type="dxa"/>
        <w:tblLayout w:type="fixed"/>
        <w:tblLook w:val="0000" w:firstRow="0" w:lastRow="0" w:firstColumn="0" w:lastColumn="0" w:noHBand="0" w:noVBand="0"/>
      </w:tblPr>
      <w:tblGrid>
        <w:gridCol w:w="1080"/>
        <w:gridCol w:w="8370"/>
      </w:tblGrid>
      <w:tr w:rsidR="009857C1" w:rsidTr="003F1341">
        <w:trPr>
          <w:cantSplit/>
        </w:trPr>
        <w:tc>
          <w:tcPr>
            <w:tcW w:w="108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lastRenderedPageBreak/>
              <w:t>6</w:t>
            </w:r>
          </w:p>
        </w:tc>
        <w:tc>
          <w:tcPr>
            <w:tcW w:w="8370" w:type="dxa"/>
            <w:tcBorders>
              <w:top w:val="single" w:sz="6" w:space="0" w:color="auto"/>
              <w:bottom w:val="single" w:sz="6" w:space="0" w:color="auto"/>
              <w:right w:val="single" w:sz="6" w:space="0" w:color="auto"/>
            </w:tcBorders>
          </w:tcPr>
          <w:p w:rsidR="00C31B1A" w:rsidRDefault="00C31B1A" w:rsidP="00C31B1A">
            <w:pPr>
              <w:pStyle w:val="TableText"/>
            </w:pPr>
            <w:r>
              <w:t>CLS will calculate per chamber using the following:</w:t>
            </w:r>
          </w:p>
          <w:p w:rsidR="009857C1" w:rsidRDefault="009857C1" w:rsidP="003F1341">
            <w:pPr>
              <w:pStyle w:val="TableText"/>
            </w:pPr>
          </w:p>
          <w:p w:rsidR="009857C1" w:rsidRDefault="009857C1" w:rsidP="003F1341">
            <w:pPr>
              <w:pStyle w:val="TableText"/>
            </w:pPr>
            <w:r>
              <w:rPr>
                <w:noProof/>
              </w:rPr>
              <w:drawing>
                <wp:anchor distT="0" distB="0" distL="114300" distR="114300" simplePos="0" relativeHeight="251660288" behindDoc="1" locked="0" layoutInCell="1" allowOverlap="1">
                  <wp:simplePos x="0" y="0"/>
                  <wp:positionH relativeFrom="column">
                    <wp:posOffset>-20320</wp:posOffset>
                  </wp:positionH>
                  <wp:positionV relativeFrom="paragraph">
                    <wp:posOffset>41910</wp:posOffset>
                  </wp:positionV>
                  <wp:extent cx="1447165" cy="1569720"/>
                  <wp:effectExtent l="0" t="0" r="635" b="0"/>
                  <wp:wrapNone/>
                  <wp:docPr id="3" name="Picture 3" descr="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mb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16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7C1" w:rsidRDefault="009857C1" w:rsidP="003F1341">
            <w:pPr>
              <w:pStyle w:val="TableText"/>
              <w:rPr>
                <w:rFonts w:ascii="Arial" w:hAnsi="Arial" w:cs="Arial"/>
                <w:sz w:val="18"/>
                <w:szCs w:val="18"/>
                <w:vertAlign w:val="superscript"/>
              </w:rPr>
            </w:pPr>
            <w:r>
              <w:t xml:space="preserve">                                         </w:t>
            </w:r>
            <w:r w:rsidRPr="00881508">
              <w:rPr>
                <w:rFonts w:ascii="Arial" w:hAnsi="Arial" w:cs="Arial"/>
                <w:sz w:val="18"/>
                <w:szCs w:val="18"/>
              </w:rPr>
              <w:t>Large Square</w:t>
            </w:r>
            <w:r>
              <w:rPr>
                <w:rFonts w:ascii="Arial" w:hAnsi="Arial" w:cs="Arial"/>
                <w:sz w:val="18"/>
                <w:szCs w:val="18"/>
              </w:rPr>
              <w:t xml:space="preserve"> </w:t>
            </w:r>
            <w:r w:rsidRPr="00881508">
              <w:rPr>
                <w:rFonts w:ascii="Arial" w:hAnsi="Arial" w:cs="Arial"/>
                <w:sz w:val="18"/>
                <w:szCs w:val="18"/>
              </w:rPr>
              <w:t>(W) = 1 mm</w:t>
            </w:r>
            <w:r w:rsidRPr="00881508">
              <w:rPr>
                <w:rFonts w:ascii="Arial" w:hAnsi="Arial" w:cs="Arial"/>
                <w:sz w:val="18"/>
                <w:szCs w:val="18"/>
                <w:vertAlign w:val="superscript"/>
              </w:rPr>
              <w:t>2</w:t>
            </w:r>
          </w:p>
          <w:p w:rsidR="009857C1" w:rsidRDefault="009857C1" w:rsidP="003F1341">
            <w:pPr>
              <w:pStyle w:val="TableText"/>
              <w:rPr>
                <w:rFonts w:ascii="Arial" w:hAnsi="Arial" w:cs="Arial"/>
                <w:sz w:val="18"/>
                <w:szCs w:val="18"/>
                <w:vertAlign w:val="superscript"/>
              </w:rPr>
            </w:pPr>
          </w:p>
          <w:p w:rsidR="009857C1" w:rsidRDefault="009857C1" w:rsidP="003F1341">
            <w:pPr>
              <w:pStyle w:val="TableText"/>
            </w:pPr>
          </w:p>
          <w:p w:rsidR="009857C1" w:rsidRDefault="009857C1" w:rsidP="003F1341">
            <w:pPr>
              <w:pStyle w:val="TableText"/>
            </w:pPr>
            <w:r>
              <w:t xml:space="preserve">                                         </w:t>
            </w:r>
            <w:r w:rsidRPr="00881508">
              <w:rPr>
                <w:rFonts w:ascii="Arial" w:hAnsi="Arial" w:cs="Arial"/>
                <w:sz w:val="18"/>
                <w:szCs w:val="18"/>
              </w:rPr>
              <w:t>Small Square (R) = 0.04 mm</w:t>
            </w:r>
            <w:r w:rsidRPr="00881508">
              <w:rPr>
                <w:rFonts w:ascii="Arial" w:hAnsi="Arial" w:cs="Arial"/>
                <w:sz w:val="18"/>
                <w:szCs w:val="18"/>
                <w:vertAlign w:val="superscript"/>
              </w:rPr>
              <w:t>2</w:t>
            </w:r>
            <w:r>
              <w:rPr>
                <w:rFonts w:ascii="Arial" w:hAnsi="Arial" w:cs="Arial"/>
                <w:sz w:val="18"/>
                <w:szCs w:val="18"/>
                <w:vertAlign w:val="superscript"/>
              </w:rPr>
              <w:t xml:space="preserve">   </w:t>
            </w:r>
            <w:r>
              <w:rPr>
                <w:rFonts w:ascii="Arial" w:hAnsi="Arial" w:cs="Arial"/>
                <w:sz w:val="18"/>
                <w:szCs w:val="18"/>
              </w:rPr>
              <w:t>for one small square</w:t>
            </w:r>
            <w:r>
              <w:t xml:space="preserve">                </w:t>
            </w:r>
          </w:p>
          <w:p w:rsidR="009857C1" w:rsidRDefault="009857C1" w:rsidP="003F1341">
            <w:pPr>
              <w:pStyle w:val="TableText"/>
            </w:pPr>
            <w:r>
              <w:t xml:space="preserve">                                                                </w:t>
            </w:r>
            <w:r>
              <w:rPr>
                <w:rFonts w:ascii="Arial" w:hAnsi="Arial" w:cs="Arial"/>
                <w:sz w:val="18"/>
                <w:szCs w:val="18"/>
              </w:rPr>
              <w:t>= 0.2 mm</w:t>
            </w:r>
            <w:r w:rsidRPr="00E429ED">
              <w:rPr>
                <w:rFonts w:ascii="Arial" w:hAnsi="Arial" w:cs="Arial"/>
                <w:sz w:val="18"/>
                <w:szCs w:val="18"/>
                <w:vertAlign w:val="superscript"/>
              </w:rPr>
              <w:t>2</w:t>
            </w:r>
            <w:r>
              <w:rPr>
                <w:rFonts w:ascii="Arial" w:hAnsi="Arial" w:cs="Arial"/>
                <w:sz w:val="18"/>
                <w:szCs w:val="18"/>
              </w:rPr>
              <w:t xml:space="preserve"> for all 5 small squares</w:t>
            </w:r>
          </w:p>
          <w:p w:rsidR="009857C1" w:rsidRDefault="009857C1" w:rsidP="003F1341">
            <w:pPr>
              <w:pStyle w:val="TableText"/>
            </w:pPr>
          </w:p>
          <w:p w:rsidR="009857C1" w:rsidRDefault="009857C1" w:rsidP="003F1341">
            <w:pPr>
              <w:pStyle w:val="TableText"/>
            </w:pPr>
          </w:p>
          <w:p w:rsidR="009857C1" w:rsidRDefault="009857C1" w:rsidP="003F1341">
            <w:pPr>
              <w:pStyle w:val="TableText"/>
            </w:pPr>
          </w:p>
          <w:p w:rsidR="009857C1" w:rsidRDefault="009857C1" w:rsidP="003F1341">
            <w:pPr>
              <w:pStyle w:val="TableText"/>
            </w:pPr>
          </w:p>
          <w:p w:rsidR="009857C1" w:rsidRDefault="009857C1" w:rsidP="003F1341">
            <w:pPr>
              <w:pStyle w:val="TableText"/>
            </w:pPr>
            <w:r>
              <w:t xml:space="preserve"> Formula:</w:t>
            </w:r>
          </w:p>
          <w:p w:rsidR="009857C1" w:rsidRDefault="009857C1" w:rsidP="003F1341">
            <w:pPr>
              <w:pStyle w:val="TableText"/>
            </w:pPr>
          </w:p>
          <w:p w:rsidR="009857C1" w:rsidRPr="00AA11BB" w:rsidRDefault="009857C1" w:rsidP="003F1341">
            <w:pPr>
              <w:rPr>
                <w:rFonts w:ascii="Arial" w:hAnsi="Arial" w:cs="Arial"/>
                <w:sz w:val="22"/>
                <w:szCs w:val="22"/>
              </w:rPr>
            </w:pPr>
            <w:r w:rsidRPr="00AA11BB">
              <w:rPr>
                <w:rFonts w:ascii="Arial" w:hAnsi="Arial" w:cs="Arial"/>
                <w:b/>
                <w:sz w:val="22"/>
                <w:szCs w:val="22"/>
              </w:rPr>
              <w:t xml:space="preserve">Total cells/ </w:t>
            </w:r>
            <w:r w:rsidRPr="00AA11BB">
              <w:rPr>
                <w:rFonts w:ascii="Arial" w:hAnsi="Arial" w:cs="Arial"/>
                <w:b/>
                <w:sz w:val="22"/>
                <w:szCs w:val="22"/>
              </w:rPr>
              <w:sym w:font="Symbol" w:char="F06D"/>
            </w:r>
            <w:r w:rsidRPr="00AA11BB">
              <w:rPr>
                <w:rFonts w:ascii="Arial" w:hAnsi="Arial" w:cs="Arial"/>
                <w:b/>
                <w:sz w:val="22"/>
                <w:szCs w:val="22"/>
              </w:rPr>
              <w:t>l</w:t>
            </w:r>
            <w:r w:rsidRPr="00AA11BB">
              <w:rPr>
                <w:rFonts w:ascii="Arial" w:hAnsi="Arial" w:cs="Arial"/>
                <w:sz w:val="22"/>
                <w:szCs w:val="22"/>
              </w:rPr>
              <w:t xml:space="preserve"> =      </w:t>
            </w:r>
            <w:r w:rsidRPr="00AA11BB">
              <w:rPr>
                <w:rFonts w:ascii="Arial" w:hAnsi="Arial" w:cs="Arial"/>
                <w:sz w:val="22"/>
                <w:szCs w:val="22"/>
                <w:u w:val="single"/>
              </w:rPr>
              <w:t>Total Average Count x 10</w:t>
            </w:r>
            <w:r>
              <w:rPr>
                <w:rFonts w:ascii="Arial" w:hAnsi="Arial" w:cs="Arial"/>
                <w:sz w:val="22"/>
                <w:szCs w:val="22"/>
                <w:u w:val="single"/>
              </w:rPr>
              <w:t xml:space="preserve"> cells/</w:t>
            </w:r>
            <w:r w:rsidRPr="00DB1F42">
              <w:rPr>
                <w:rFonts w:ascii="Arial" w:hAnsi="Arial" w:cs="Arial"/>
                <w:sz w:val="22"/>
                <w:szCs w:val="22"/>
                <w:u w:val="single"/>
              </w:rPr>
              <w:sym w:font="Symbol" w:char="F06D"/>
            </w:r>
            <w:r>
              <w:rPr>
                <w:rFonts w:ascii="Arial" w:hAnsi="Arial" w:cs="Arial"/>
                <w:sz w:val="22"/>
                <w:szCs w:val="22"/>
                <w:u w:val="single"/>
              </w:rPr>
              <w:t xml:space="preserve">l x </w:t>
            </w:r>
            <w:r w:rsidRPr="003C4323">
              <w:rPr>
                <w:rFonts w:ascii="Arial" w:hAnsi="Arial" w:cs="Arial"/>
                <w:b/>
                <w:sz w:val="22"/>
                <w:szCs w:val="22"/>
                <w:u w:val="single"/>
              </w:rPr>
              <w:t>dilution factor</w:t>
            </w:r>
            <w:r w:rsidRPr="00AA11BB">
              <w:rPr>
                <w:rFonts w:ascii="Arial" w:hAnsi="Arial" w:cs="Arial"/>
                <w:sz w:val="22"/>
                <w:szCs w:val="22"/>
              </w:rPr>
              <w:tab/>
            </w:r>
          </w:p>
          <w:p w:rsidR="009857C1" w:rsidRPr="003C4323" w:rsidRDefault="009857C1" w:rsidP="003F1341">
            <w:pPr>
              <w:rPr>
                <w:rFonts w:ascii="Arial" w:hAnsi="Arial" w:cs="Arial"/>
                <w:sz w:val="22"/>
                <w:szCs w:val="22"/>
              </w:rPr>
            </w:pPr>
            <w:r w:rsidRPr="00AA11BB">
              <w:rPr>
                <w:rFonts w:ascii="Arial" w:hAnsi="Arial" w:cs="Arial"/>
                <w:sz w:val="22"/>
                <w:szCs w:val="22"/>
              </w:rPr>
              <w:t xml:space="preserve">                                           # of square mm counted</w:t>
            </w:r>
          </w:p>
        </w:tc>
      </w:tr>
      <w:tr w:rsidR="00C31B1A" w:rsidTr="003F1341">
        <w:trPr>
          <w:cantSplit/>
        </w:trPr>
        <w:tc>
          <w:tcPr>
            <w:tcW w:w="1080" w:type="dxa"/>
            <w:tcBorders>
              <w:top w:val="single" w:sz="6" w:space="0" w:color="auto"/>
              <w:left w:val="single" w:sz="6" w:space="0" w:color="auto"/>
              <w:bottom w:val="single" w:sz="6" w:space="0" w:color="auto"/>
              <w:right w:val="single" w:sz="6" w:space="0" w:color="auto"/>
            </w:tcBorders>
          </w:tcPr>
          <w:p w:rsidR="00C31B1A" w:rsidRDefault="00C31B1A" w:rsidP="00C31B1A">
            <w:pPr>
              <w:pStyle w:val="TableText"/>
              <w:jc w:val="center"/>
            </w:pPr>
            <w:r>
              <w:t>7</w:t>
            </w:r>
          </w:p>
        </w:tc>
        <w:tc>
          <w:tcPr>
            <w:tcW w:w="8370" w:type="dxa"/>
            <w:tcBorders>
              <w:top w:val="single" w:sz="6" w:space="0" w:color="auto"/>
              <w:bottom w:val="single" w:sz="6" w:space="0" w:color="auto"/>
              <w:right w:val="single" w:sz="6" w:space="0" w:color="auto"/>
            </w:tcBorders>
          </w:tcPr>
          <w:p w:rsidR="00C31B1A" w:rsidRDefault="00C31B1A" w:rsidP="00C31B1A">
            <w:pPr>
              <w:pStyle w:val="TableText"/>
            </w:pPr>
            <w:r>
              <w:t xml:space="preserve">The calculated counts between the two chambers will be averaged as the final result but must agree within 25% difference or the count must be repeated. </w:t>
            </w:r>
          </w:p>
          <w:p w:rsidR="00C31B1A" w:rsidRDefault="00C31B1A" w:rsidP="00C31B1A">
            <w:pPr>
              <w:pStyle w:val="TableText"/>
            </w:pPr>
            <w:r>
              <w:t>% Difference is the difference between the 2 counts divided by the Average of 2 counts then multiplied by 100.</w:t>
            </w:r>
          </w:p>
        </w:tc>
      </w:tr>
      <w:tr w:rsidR="00C31B1A" w:rsidTr="003F1341">
        <w:trPr>
          <w:cantSplit/>
        </w:trPr>
        <w:tc>
          <w:tcPr>
            <w:tcW w:w="1080" w:type="dxa"/>
            <w:tcBorders>
              <w:top w:val="single" w:sz="6" w:space="0" w:color="auto"/>
              <w:left w:val="single" w:sz="6" w:space="0" w:color="auto"/>
              <w:bottom w:val="single" w:sz="6" w:space="0" w:color="auto"/>
              <w:right w:val="single" w:sz="6" w:space="0" w:color="auto"/>
            </w:tcBorders>
          </w:tcPr>
          <w:p w:rsidR="00C31B1A" w:rsidRDefault="00C31B1A" w:rsidP="00C31B1A">
            <w:pPr>
              <w:pStyle w:val="TableText"/>
              <w:jc w:val="center"/>
            </w:pPr>
            <w:r>
              <w:t>8</w:t>
            </w:r>
          </w:p>
        </w:tc>
        <w:tc>
          <w:tcPr>
            <w:tcW w:w="8370" w:type="dxa"/>
            <w:tcBorders>
              <w:top w:val="single" w:sz="6" w:space="0" w:color="auto"/>
              <w:bottom w:val="single" w:sz="6" w:space="0" w:color="auto"/>
              <w:right w:val="single" w:sz="6" w:space="0" w:color="auto"/>
            </w:tcBorders>
          </w:tcPr>
          <w:p w:rsidR="00C31B1A" w:rsidRDefault="00C31B1A" w:rsidP="00C31B1A">
            <w:pPr>
              <w:pStyle w:val="TableText"/>
            </w:pPr>
            <w:r>
              <w:t xml:space="preserve">After the count is completed, dispose disposable </w:t>
            </w:r>
            <w:proofErr w:type="spellStart"/>
            <w:r>
              <w:t>hemacytometer</w:t>
            </w:r>
            <w:proofErr w:type="spellEnd"/>
            <w:r>
              <w:t>.</w:t>
            </w:r>
          </w:p>
        </w:tc>
      </w:tr>
    </w:tbl>
    <w:p w:rsidR="009857C1" w:rsidRDefault="009857C1" w:rsidP="009857C1"/>
    <w:p w:rsidR="009857C1" w:rsidRDefault="009857C1" w:rsidP="009857C1"/>
    <w:tbl>
      <w:tblPr>
        <w:tblW w:w="0" w:type="auto"/>
        <w:tblLayout w:type="fixed"/>
        <w:tblLook w:val="0000" w:firstRow="0" w:lastRow="0" w:firstColumn="0" w:lastColumn="0" w:noHBand="0" w:noVBand="0"/>
      </w:tblPr>
      <w:tblGrid>
        <w:gridCol w:w="1728"/>
        <w:gridCol w:w="7740"/>
      </w:tblGrid>
      <w:tr w:rsidR="009857C1" w:rsidTr="003F1341">
        <w:trPr>
          <w:cantSplit/>
        </w:trPr>
        <w:tc>
          <w:tcPr>
            <w:tcW w:w="1728" w:type="dxa"/>
          </w:tcPr>
          <w:p w:rsidR="009857C1" w:rsidRDefault="009857C1" w:rsidP="003F1341">
            <w:pPr>
              <w:pStyle w:val="Heading5"/>
            </w:pPr>
            <w:r>
              <w:t>Verification of Cell count</w:t>
            </w:r>
          </w:p>
        </w:tc>
        <w:tc>
          <w:tcPr>
            <w:tcW w:w="7740" w:type="dxa"/>
          </w:tcPr>
          <w:p w:rsidR="009857C1" w:rsidRDefault="009857C1" w:rsidP="003F1341">
            <w:pPr>
              <w:pStyle w:val="BlockText"/>
            </w:pPr>
            <w:r>
              <w:t xml:space="preserve">Before resulting cell counts performed with unstained </w:t>
            </w:r>
            <w:proofErr w:type="spellStart"/>
            <w:r>
              <w:t>brightfield</w:t>
            </w:r>
            <w:proofErr w:type="spellEnd"/>
            <w:r>
              <w:t xml:space="preserve"> microscopy, verify results in correlation with the number and proportion of cells with the stained </w:t>
            </w:r>
            <w:proofErr w:type="spellStart"/>
            <w:r>
              <w:t>cytospin</w:t>
            </w:r>
            <w:proofErr w:type="spellEnd"/>
            <w:r>
              <w:t xml:space="preserve"> prepared slide used for differential count. Check box confirming that correlation was performed in the Body Fluid Patient Log form (Attachment A). For slide preparation see section </w:t>
            </w:r>
            <w:r w:rsidRPr="00C41E99">
              <w:rPr>
                <w:b/>
                <w:i/>
              </w:rPr>
              <w:t>preparing slide</w:t>
            </w:r>
            <w:r>
              <w:t>.</w:t>
            </w:r>
          </w:p>
        </w:tc>
      </w:tr>
    </w:tbl>
    <w:p w:rsidR="009857C1" w:rsidRDefault="009857C1" w:rsidP="009857C1">
      <w:pPr>
        <w:pStyle w:val="BlockLine"/>
      </w:pPr>
    </w:p>
    <w:tbl>
      <w:tblPr>
        <w:tblW w:w="0" w:type="auto"/>
        <w:tblLayout w:type="fixed"/>
        <w:tblLook w:val="0000" w:firstRow="0" w:lastRow="0" w:firstColumn="0" w:lastColumn="0" w:noHBand="0" w:noVBand="0"/>
      </w:tblPr>
      <w:tblGrid>
        <w:gridCol w:w="1728"/>
        <w:gridCol w:w="7740"/>
      </w:tblGrid>
      <w:tr w:rsidR="009857C1" w:rsidTr="003F1341">
        <w:trPr>
          <w:cantSplit/>
        </w:trPr>
        <w:tc>
          <w:tcPr>
            <w:tcW w:w="1728" w:type="dxa"/>
          </w:tcPr>
          <w:p w:rsidR="009857C1" w:rsidRDefault="009857C1" w:rsidP="003F1341">
            <w:pPr>
              <w:pStyle w:val="Heading5"/>
            </w:pPr>
            <w:r>
              <w:t>Preparing slide</w:t>
            </w:r>
          </w:p>
        </w:tc>
        <w:tc>
          <w:tcPr>
            <w:tcW w:w="7740" w:type="dxa"/>
          </w:tcPr>
          <w:p w:rsidR="009857C1" w:rsidRDefault="009857C1" w:rsidP="003F1341">
            <w:pPr>
              <w:pStyle w:val="BlockText"/>
            </w:pPr>
            <w:r>
              <w:t xml:space="preserve">Prepare a </w:t>
            </w:r>
            <w:proofErr w:type="spellStart"/>
            <w:r>
              <w:t>cytospin</w:t>
            </w:r>
            <w:proofErr w:type="spellEnd"/>
            <w:r>
              <w:t xml:space="preserve"> smear for differential count following </w:t>
            </w:r>
            <w:proofErr w:type="spellStart"/>
            <w:r>
              <w:t>Cytospin</w:t>
            </w:r>
            <w:proofErr w:type="spellEnd"/>
            <w:r>
              <w:t xml:space="preserve"> smear preparation using </w:t>
            </w:r>
            <w:proofErr w:type="spellStart"/>
            <w:r>
              <w:t>Thermo</w:t>
            </w:r>
            <w:proofErr w:type="spellEnd"/>
            <w:r>
              <w:t xml:space="preserve"> Scientific </w:t>
            </w:r>
            <w:proofErr w:type="spellStart"/>
            <w:r>
              <w:t>Cytospin</w:t>
            </w:r>
            <w:proofErr w:type="spellEnd"/>
            <w:r>
              <w:t xml:space="preserve"> 4 with </w:t>
            </w:r>
            <w:proofErr w:type="spellStart"/>
            <w:r>
              <w:t>cytocentrifuge</w:t>
            </w:r>
            <w:proofErr w:type="spellEnd"/>
            <w:r>
              <w:t xml:space="preserve"> rotor, procedure </w:t>
            </w:r>
            <w:r w:rsidRPr="00CC7BD8">
              <w:rPr>
                <w:b/>
              </w:rPr>
              <w:t>LAMC-PPP-0310</w:t>
            </w:r>
            <w:r>
              <w:t>.  Dilute fluids with high cell counts with saline.  Add a drop of albumin into the chamber.  Once smear is ready let the smear air dry, fix and stain with Wright stain.</w:t>
            </w:r>
          </w:p>
        </w:tc>
      </w:tr>
    </w:tbl>
    <w:p w:rsidR="009857C1" w:rsidRPr="00077107" w:rsidRDefault="009857C1" w:rsidP="009857C1"/>
    <w:p w:rsidR="009857C1" w:rsidRDefault="009857C1" w:rsidP="009857C1">
      <w:pPr>
        <w:pStyle w:val="BlockLine"/>
      </w:pPr>
      <w:r>
        <w:t xml:space="preserve"> </w:t>
      </w:r>
    </w:p>
    <w:p w:rsidR="009857C1" w:rsidRDefault="009857C1" w:rsidP="009857C1"/>
    <w:p w:rsidR="009857C1" w:rsidRDefault="009857C1" w:rsidP="009857C1"/>
    <w:p w:rsidR="009857C1" w:rsidRDefault="009857C1" w:rsidP="009857C1"/>
    <w:p w:rsidR="00FA6079" w:rsidRDefault="00FA6079" w:rsidP="009857C1"/>
    <w:p w:rsidR="00310107" w:rsidRDefault="00310107" w:rsidP="009857C1"/>
    <w:p w:rsidR="00310107" w:rsidRDefault="00310107" w:rsidP="009857C1"/>
    <w:tbl>
      <w:tblPr>
        <w:tblW w:w="0" w:type="auto"/>
        <w:tblLayout w:type="fixed"/>
        <w:tblLook w:val="0000" w:firstRow="0" w:lastRow="0" w:firstColumn="0" w:lastColumn="0" w:noHBand="0" w:noVBand="0"/>
      </w:tblPr>
      <w:tblGrid>
        <w:gridCol w:w="1728"/>
        <w:gridCol w:w="109"/>
        <w:gridCol w:w="878"/>
        <w:gridCol w:w="6670"/>
        <w:gridCol w:w="83"/>
      </w:tblGrid>
      <w:tr w:rsidR="009857C1" w:rsidTr="00567454">
        <w:trPr>
          <w:cantSplit/>
        </w:trPr>
        <w:tc>
          <w:tcPr>
            <w:tcW w:w="1728" w:type="dxa"/>
          </w:tcPr>
          <w:p w:rsidR="009857C1" w:rsidRDefault="009857C1" w:rsidP="003F1341">
            <w:pPr>
              <w:pStyle w:val="Heading5"/>
            </w:pPr>
            <w:r>
              <w:lastRenderedPageBreak/>
              <w:t>Performing differential</w:t>
            </w:r>
          </w:p>
        </w:tc>
        <w:tc>
          <w:tcPr>
            <w:tcW w:w="7740" w:type="dxa"/>
            <w:gridSpan w:val="4"/>
          </w:tcPr>
          <w:p w:rsidR="009857C1" w:rsidRDefault="009857C1" w:rsidP="003F1341">
            <w:pPr>
              <w:pStyle w:val="BlockText"/>
            </w:pPr>
            <w:r>
              <w:t>Follow the steps below to complete the differential count on body fluids.</w:t>
            </w:r>
          </w:p>
        </w:tc>
      </w:tr>
      <w:tr w:rsidR="009857C1"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HeaderText"/>
            </w:pPr>
            <w:r>
              <w:t>Step</w:t>
            </w:r>
          </w:p>
        </w:tc>
        <w:tc>
          <w:tcPr>
            <w:tcW w:w="6670" w:type="dxa"/>
            <w:tcBorders>
              <w:top w:val="single" w:sz="6" w:space="0" w:color="auto"/>
              <w:bottom w:val="single" w:sz="6" w:space="0" w:color="auto"/>
              <w:right w:val="single" w:sz="6" w:space="0" w:color="auto"/>
            </w:tcBorders>
          </w:tcPr>
          <w:p w:rsidR="009857C1" w:rsidRDefault="009857C1" w:rsidP="003F1341">
            <w:pPr>
              <w:pStyle w:val="TableHeaderText"/>
            </w:pPr>
            <w:r>
              <w:t>Action</w:t>
            </w:r>
          </w:p>
        </w:tc>
      </w:tr>
      <w:tr w:rsidR="009857C1"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1</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 xml:space="preserve">Count 100 WBCs , perform a  5 part differential </w:t>
            </w:r>
          </w:p>
          <w:p w:rsidR="00FA6079" w:rsidRDefault="00FA6079" w:rsidP="00FA6079">
            <w:pPr>
              <w:pStyle w:val="TableText"/>
              <w:numPr>
                <w:ilvl w:val="0"/>
                <w:numId w:val="34"/>
              </w:numPr>
            </w:pPr>
            <w:proofErr w:type="spellStart"/>
            <w:r>
              <w:t>Segs</w:t>
            </w:r>
            <w:proofErr w:type="spellEnd"/>
            <w:r>
              <w:t xml:space="preserve"> </w:t>
            </w:r>
            <w:proofErr w:type="spellStart"/>
            <w:r>
              <w:t>pct</w:t>
            </w:r>
            <w:proofErr w:type="spellEnd"/>
          </w:p>
          <w:p w:rsidR="00FA6079" w:rsidRDefault="00FA6079" w:rsidP="00FA6079">
            <w:pPr>
              <w:pStyle w:val="TableText"/>
              <w:numPr>
                <w:ilvl w:val="0"/>
                <w:numId w:val="34"/>
              </w:numPr>
            </w:pPr>
            <w:proofErr w:type="spellStart"/>
            <w:r>
              <w:t>Lymphs</w:t>
            </w:r>
            <w:proofErr w:type="spellEnd"/>
            <w:r>
              <w:t xml:space="preserve"> </w:t>
            </w:r>
            <w:proofErr w:type="spellStart"/>
            <w:r>
              <w:t>pct</w:t>
            </w:r>
            <w:proofErr w:type="spellEnd"/>
          </w:p>
          <w:p w:rsidR="00FA6079" w:rsidRDefault="00FA6079" w:rsidP="00FA6079">
            <w:pPr>
              <w:pStyle w:val="TableText"/>
              <w:numPr>
                <w:ilvl w:val="0"/>
                <w:numId w:val="34"/>
              </w:numPr>
            </w:pPr>
            <w:r>
              <w:t xml:space="preserve">Mono </w:t>
            </w:r>
            <w:proofErr w:type="spellStart"/>
            <w:r>
              <w:t>pct</w:t>
            </w:r>
            <w:proofErr w:type="spellEnd"/>
            <w:r>
              <w:t>(include macrophage in the count)</w:t>
            </w:r>
          </w:p>
          <w:p w:rsidR="00FA6079" w:rsidRDefault="00FA6079" w:rsidP="00FA6079">
            <w:pPr>
              <w:pStyle w:val="TableText"/>
              <w:numPr>
                <w:ilvl w:val="0"/>
                <w:numId w:val="34"/>
              </w:numPr>
            </w:pPr>
            <w:r>
              <w:t xml:space="preserve">Eos </w:t>
            </w:r>
            <w:proofErr w:type="spellStart"/>
            <w:r>
              <w:t>pct</w:t>
            </w:r>
            <w:proofErr w:type="spellEnd"/>
          </w:p>
          <w:p w:rsidR="00FA6079" w:rsidRDefault="00FA6079" w:rsidP="00FA6079">
            <w:pPr>
              <w:pStyle w:val="TableText"/>
              <w:numPr>
                <w:ilvl w:val="0"/>
                <w:numId w:val="34"/>
              </w:numPr>
            </w:pPr>
            <w:proofErr w:type="spellStart"/>
            <w:r>
              <w:t>Baso</w:t>
            </w:r>
            <w:proofErr w:type="spellEnd"/>
            <w:r>
              <w:t xml:space="preserve"> </w:t>
            </w:r>
            <w:proofErr w:type="spellStart"/>
            <w:r>
              <w:t>pct</w:t>
            </w:r>
            <w:proofErr w:type="spellEnd"/>
          </w:p>
        </w:tc>
      </w:tr>
      <w:tr w:rsidR="009857C1"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2</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 xml:space="preserve">If less than 100 WBCs are present for differential count, calculate count to percent of the total number of WBCs differentiated. Note the </w:t>
            </w:r>
            <w:r w:rsidRPr="008B7F37">
              <w:rPr>
                <w:b/>
              </w:rPr>
              <w:t>total number of cells differentiated</w:t>
            </w:r>
            <w:r>
              <w:t xml:space="preserve"> in the comment field.</w:t>
            </w:r>
          </w:p>
        </w:tc>
      </w:tr>
      <w:tr w:rsidR="009857C1"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2</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Look for and note any abnormal cells</w:t>
            </w:r>
          </w:p>
        </w:tc>
      </w:tr>
      <w:tr w:rsidR="009857C1"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3</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If abnormal cells are present note the presence of abnormal cells on the comments section of the report.  If there is an abundance of particular type of cell, make a comment in the comments section.</w:t>
            </w:r>
          </w:p>
        </w:tc>
      </w:tr>
      <w:tr w:rsidR="009857C1"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4</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Slides will be saved for one week.</w:t>
            </w:r>
          </w:p>
        </w:tc>
      </w:tr>
    </w:tbl>
    <w:p w:rsidR="009857C1" w:rsidRDefault="009857C1" w:rsidP="009857C1">
      <w:r>
        <w:tab/>
      </w:r>
      <w:r>
        <w:tab/>
      </w:r>
    </w:p>
    <w:tbl>
      <w:tblPr>
        <w:tblW w:w="0" w:type="auto"/>
        <w:tblLayout w:type="fixed"/>
        <w:tblLook w:val="0000" w:firstRow="0" w:lastRow="0" w:firstColumn="0" w:lastColumn="0" w:noHBand="0" w:noVBand="0"/>
      </w:tblPr>
      <w:tblGrid>
        <w:gridCol w:w="1818"/>
        <w:gridCol w:w="7650"/>
      </w:tblGrid>
      <w:tr w:rsidR="009857C1" w:rsidTr="003F1341">
        <w:trPr>
          <w:cantSplit/>
        </w:trPr>
        <w:tc>
          <w:tcPr>
            <w:tcW w:w="1818" w:type="dxa"/>
          </w:tcPr>
          <w:p w:rsidR="009857C1" w:rsidRDefault="009857C1" w:rsidP="003F1341">
            <w:pPr>
              <w:pStyle w:val="Heading5"/>
            </w:pPr>
            <w:r>
              <w:t>Resulting count</w:t>
            </w:r>
          </w:p>
        </w:tc>
        <w:tc>
          <w:tcPr>
            <w:tcW w:w="7650" w:type="dxa"/>
          </w:tcPr>
          <w:p w:rsidR="009857C1" w:rsidRDefault="009857C1" w:rsidP="003F1341">
            <w:pPr>
              <w:pStyle w:val="BlockText"/>
            </w:pPr>
            <w:r>
              <w:t>Follow the steps below to complete the reporting of body fluid counts.</w:t>
            </w:r>
          </w:p>
          <w:tbl>
            <w:tblPr>
              <w:tblW w:w="7426" w:type="dxa"/>
              <w:tblLayout w:type="fixed"/>
              <w:tblLook w:val="0000" w:firstRow="0" w:lastRow="0" w:firstColumn="0" w:lastColumn="0" w:noHBand="0" w:noVBand="0"/>
            </w:tblPr>
            <w:tblGrid>
              <w:gridCol w:w="1620"/>
              <w:gridCol w:w="5806"/>
            </w:tblGrid>
            <w:tr w:rsidR="009857C1" w:rsidTr="00C31B1A">
              <w:trPr>
                <w:cantSplit/>
              </w:trPr>
              <w:tc>
                <w:tcPr>
                  <w:tcW w:w="162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HeaderText"/>
                  </w:pPr>
                  <w:r>
                    <w:t>Step</w:t>
                  </w:r>
                </w:p>
              </w:tc>
              <w:tc>
                <w:tcPr>
                  <w:tcW w:w="5806" w:type="dxa"/>
                  <w:tcBorders>
                    <w:top w:val="single" w:sz="6" w:space="0" w:color="auto"/>
                    <w:bottom w:val="single" w:sz="6" w:space="0" w:color="auto"/>
                    <w:right w:val="single" w:sz="6" w:space="0" w:color="auto"/>
                  </w:tcBorders>
                </w:tcPr>
                <w:p w:rsidR="009857C1" w:rsidRDefault="009857C1" w:rsidP="003F1341">
                  <w:pPr>
                    <w:pStyle w:val="TableHeaderText"/>
                  </w:pPr>
                  <w:r>
                    <w:t>Action</w:t>
                  </w:r>
                </w:p>
              </w:tc>
            </w:tr>
            <w:tr w:rsidR="009857C1" w:rsidTr="00C31B1A">
              <w:trPr>
                <w:cantSplit/>
              </w:trPr>
              <w:tc>
                <w:tcPr>
                  <w:tcW w:w="162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pPr>
                  <w:r>
                    <w:t>1</w:t>
                  </w:r>
                </w:p>
              </w:tc>
              <w:tc>
                <w:tcPr>
                  <w:tcW w:w="5806" w:type="dxa"/>
                  <w:tcBorders>
                    <w:top w:val="single" w:sz="6" w:space="0" w:color="auto"/>
                    <w:bottom w:val="single" w:sz="4" w:space="0" w:color="auto"/>
                    <w:right w:val="single" w:sz="6" w:space="0" w:color="auto"/>
                  </w:tcBorders>
                </w:tcPr>
                <w:p w:rsidR="009857C1" w:rsidRDefault="009857C1" w:rsidP="003F1341">
                  <w:pPr>
                    <w:pStyle w:val="TableText"/>
                  </w:pPr>
                  <w:r>
                    <w:t>Use the Body Fluid Results Log to show raw counts and calculations. See Attachment A(Body Fluid Results Log)</w:t>
                  </w:r>
                </w:p>
              </w:tc>
            </w:tr>
            <w:tr w:rsidR="009857C1" w:rsidTr="00C31B1A">
              <w:trPr>
                <w:cantSplit/>
              </w:trPr>
              <w:tc>
                <w:tcPr>
                  <w:tcW w:w="162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pPr>
                  <w:r>
                    <w:t>2</w:t>
                  </w:r>
                </w:p>
              </w:tc>
              <w:tc>
                <w:tcPr>
                  <w:tcW w:w="5806" w:type="dxa"/>
                  <w:tcBorders>
                    <w:top w:val="single" w:sz="4" w:space="0" w:color="auto"/>
                    <w:bottom w:val="single" w:sz="6" w:space="0" w:color="auto"/>
                    <w:right w:val="single" w:sz="6" w:space="0" w:color="auto"/>
                  </w:tcBorders>
                </w:tcPr>
                <w:p w:rsidR="009857C1" w:rsidRDefault="009857C1" w:rsidP="003F1341">
                  <w:pPr>
                    <w:pStyle w:val="TableText"/>
                  </w:pPr>
                  <w:r>
                    <w:t>Results to be entered are:</w:t>
                  </w:r>
                </w:p>
                <w:p w:rsidR="009857C1" w:rsidRDefault="009857C1" w:rsidP="00311D03">
                  <w:pPr>
                    <w:pStyle w:val="TableText"/>
                    <w:numPr>
                      <w:ilvl w:val="0"/>
                      <w:numId w:val="30"/>
                    </w:numPr>
                  </w:pPr>
                  <w:r>
                    <w:t>Source</w:t>
                  </w:r>
                </w:p>
                <w:p w:rsidR="009857C1" w:rsidRDefault="009857C1" w:rsidP="00311D03">
                  <w:pPr>
                    <w:pStyle w:val="TableText"/>
                    <w:numPr>
                      <w:ilvl w:val="0"/>
                      <w:numId w:val="30"/>
                    </w:numPr>
                  </w:pPr>
                  <w:r>
                    <w:t xml:space="preserve">Color: Colorless, Yellow, Pink, Red, </w:t>
                  </w:r>
                  <w:proofErr w:type="spellStart"/>
                  <w:r>
                    <w:t>Xanthochromic</w:t>
                  </w:r>
                  <w:proofErr w:type="spellEnd"/>
                </w:p>
                <w:p w:rsidR="009857C1" w:rsidRDefault="009857C1" w:rsidP="00311D03">
                  <w:pPr>
                    <w:pStyle w:val="TableText"/>
                    <w:numPr>
                      <w:ilvl w:val="0"/>
                      <w:numId w:val="30"/>
                    </w:numPr>
                  </w:pPr>
                  <w:r>
                    <w:t>Appearance: Bloody, Cloudy, Clear, Clotted, Hazy, Slightly Hazy</w:t>
                  </w:r>
                </w:p>
                <w:p w:rsidR="009857C1" w:rsidRDefault="009857C1" w:rsidP="00311D03">
                  <w:pPr>
                    <w:pStyle w:val="TableText"/>
                    <w:numPr>
                      <w:ilvl w:val="0"/>
                      <w:numId w:val="30"/>
                    </w:numPr>
                  </w:pPr>
                  <w:r>
                    <w:t>RBC</w:t>
                  </w:r>
                  <w:r w:rsidR="00311D03">
                    <w:t>(</w:t>
                  </w:r>
                  <w:r w:rsidR="00311D03" w:rsidRPr="00FA6079">
                    <w:t>cells/mm3</w:t>
                  </w:r>
                  <w:r w:rsidR="00311D03">
                    <w:t xml:space="preserve">) </w:t>
                  </w:r>
                  <w:r>
                    <w:t xml:space="preserve"> count -Calculation</w:t>
                  </w:r>
                </w:p>
                <w:p w:rsidR="009857C1" w:rsidRDefault="00311D03" w:rsidP="00311D03">
                  <w:pPr>
                    <w:pStyle w:val="TableText"/>
                    <w:numPr>
                      <w:ilvl w:val="0"/>
                      <w:numId w:val="30"/>
                    </w:numPr>
                  </w:pPr>
                  <w:r>
                    <w:t>TNC(</w:t>
                  </w:r>
                  <w:r w:rsidRPr="00FA6079">
                    <w:t>cells/mm3</w:t>
                  </w:r>
                  <w:r>
                    <w:t xml:space="preserve">)  </w:t>
                  </w:r>
                  <w:r w:rsidR="009857C1">
                    <w:t>count -Calculation</w:t>
                  </w:r>
                </w:p>
                <w:p w:rsidR="009857C1" w:rsidRDefault="009857C1" w:rsidP="00311D03">
                  <w:pPr>
                    <w:pStyle w:val="TableText"/>
                    <w:numPr>
                      <w:ilvl w:val="0"/>
                      <w:numId w:val="30"/>
                    </w:numPr>
                  </w:pPr>
                  <w:r>
                    <w:t>Differential</w:t>
                  </w:r>
                </w:p>
                <w:p w:rsidR="00311D03" w:rsidRDefault="00311D03" w:rsidP="00311D03">
                  <w:pPr>
                    <w:pStyle w:val="TableText"/>
                    <w:numPr>
                      <w:ilvl w:val="1"/>
                      <w:numId w:val="30"/>
                    </w:numPr>
                  </w:pPr>
                  <w:proofErr w:type="spellStart"/>
                  <w:r>
                    <w:t>Segs</w:t>
                  </w:r>
                  <w:proofErr w:type="spellEnd"/>
                  <w:r>
                    <w:t xml:space="preserve"> </w:t>
                  </w:r>
                  <w:proofErr w:type="spellStart"/>
                  <w:r>
                    <w:t>pct</w:t>
                  </w:r>
                  <w:proofErr w:type="spellEnd"/>
                </w:p>
                <w:p w:rsidR="00311D03" w:rsidRDefault="00311D03" w:rsidP="00311D03">
                  <w:pPr>
                    <w:pStyle w:val="TableText"/>
                    <w:numPr>
                      <w:ilvl w:val="1"/>
                      <w:numId w:val="30"/>
                    </w:numPr>
                  </w:pPr>
                  <w:proofErr w:type="spellStart"/>
                  <w:r>
                    <w:t>Lymphs</w:t>
                  </w:r>
                  <w:proofErr w:type="spellEnd"/>
                  <w:r>
                    <w:t xml:space="preserve"> </w:t>
                  </w:r>
                  <w:proofErr w:type="spellStart"/>
                  <w:r>
                    <w:t>pct</w:t>
                  </w:r>
                  <w:proofErr w:type="spellEnd"/>
                </w:p>
                <w:p w:rsidR="00311D03" w:rsidRDefault="00311D03" w:rsidP="00311D03">
                  <w:pPr>
                    <w:pStyle w:val="TableText"/>
                    <w:numPr>
                      <w:ilvl w:val="1"/>
                      <w:numId w:val="30"/>
                    </w:numPr>
                  </w:pPr>
                  <w:r>
                    <w:t xml:space="preserve">Mono </w:t>
                  </w:r>
                  <w:proofErr w:type="spellStart"/>
                  <w:r>
                    <w:t>pct</w:t>
                  </w:r>
                  <w:proofErr w:type="spellEnd"/>
                  <w:r>
                    <w:t xml:space="preserve"> (include macrophage in the count)</w:t>
                  </w:r>
                </w:p>
                <w:p w:rsidR="00311D03" w:rsidRDefault="00311D03" w:rsidP="00311D03">
                  <w:pPr>
                    <w:pStyle w:val="TableText"/>
                    <w:numPr>
                      <w:ilvl w:val="1"/>
                      <w:numId w:val="30"/>
                    </w:numPr>
                  </w:pPr>
                  <w:r>
                    <w:t xml:space="preserve">Eos </w:t>
                  </w:r>
                  <w:proofErr w:type="spellStart"/>
                  <w:r>
                    <w:t>pct</w:t>
                  </w:r>
                  <w:proofErr w:type="spellEnd"/>
                </w:p>
                <w:p w:rsidR="00311D03" w:rsidRDefault="00311D03" w:rsidP="00311D03">
                  <w:pPr>
                    <w:pStyle w:val="TableText"/>
                    <w:numPr>
                      <w:ilvl w:val="1"/>
                      <w:numId w:val="30"/>
                    </w:numPr>
                  </w:pPr>
                  <w:proofErr w:type="spellStart"/>
                  <w:r>
                    <w:t>Baso</w:t>
                  </w:r>
                  <w:proofErr w:type="spellEnd"/>
                  <w:r>
                    <w:t xml:space="preserve"> </w:t>
                  </w:r>
                  <w:proofErr w:type="spellStart"/>
                  <w:r>
                    <w:t>pct</w:t>
                  </w:r>
                  <w:proofErr w:type="spellEnd"/>
                </w:p>
                <w:p w:rsidR="00311D03" w:rsidRDefault="00311D03" w:rsidP="00311D03">
                  <w:pPr>
                    <w:pStyle w:val="TableText"/>
                    <w:numPr>
                      <w:ilvl w:val="0"/>
                      <w:numId w:val="30"/>
                    </w:numPr>
                  </w:pPr>
                  <w:r>
                    <w:t>Mesothelial cells(if present)</w:t>
                  </w:r>
                </w:p>
                <w:p w:rsidR="009857C1" w:rsidRDefault="009857C1" w:rsidP="003F1341">
                  <w:pPr>
                    <w:pStyle w:val="TableText"/>
                  </w:pPr>
                  <w:r>
                    <w:t xml:space="preserve">Indicate in the result comments the presence of </w:t>
                  </w:r>
                  <w:r w:rsidRPr="003D5D29">
                    <w:t>cell clumps</w:t>
                  </w:r>
                </w:p>
              </w:tc>
            </w:tr>
            <w:tr w:rsidR="009857C1" w:rsidTr="00C31B1A">
              <w:trPr>
                <w:cantSplit/>
              </w:trPr>
              <w:tc>
                <w:tcPr>
                  <w:tcW w:w="1620"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pPr>
                  <w:r>
                    <w:t>3</w:t>
                  </w:r>
                </w:p>
              </w:tc>
              <w:tc>
                <w:tcPr>
                  <w:tcW w:w="5806" w:type="dxa"/>
                  <w:tcBorders>
                    <w:top w:val="single" w:sz="6" w:space="0" w:color="auto"/>
                    <w:bottom w:val="single" w:sz="6" w:space="0" w:color="auto"/>
                    <w:right w:val="single" w:sz="6" w:space="0" w:color="auto"/>
                  </w:tcBorders>
                </w:tcPr>
                <w:p w:rsidR="009857C1" w:rsidRDefault="009857C1" w:rsidP="00310107">
                  <w:pPr>
                    <w:pStyle w:val="TableText"/>
                  </w:pPr>
                  <w:r>
                    <w:t xml:space="preserve">Final Results are </w:t>
                  </w:r>
                  <w:r w:rsidR="00310107">
                    <w:t xml:space="preserve">manually </w:t>
                  </w:r>
                  <w:r>
                    <w:t xml:space="preserve">entered in </w:t>
                  </w:r>
                  <w:r w:rsidR="00310107">
                    <w:t>Cerner</w:t>
                  </w:r>
                  <w:r>
                    <w:t xml:space="preserve"> </w:t>
                  </w:r>
                  <w:r w:rsidR="00310107">
                    <w:t>through Accession Result Entry</w:t>
                  </w:r>
                  <w:r w:rsidR="00311D03">
                    <w:t>. Click perform and review results entered then verify results.</w:t>
                  </w:r>
                </w:p>
              </w:tc>
            </w:tr>
          </w:tbl>
          <w:p w:rsidR="009857C1" w:rsidRDefault="009857C1" w:rsidP="003F1341">
            <w:pPr>
              <w:pStyle w:val="BlockText"/>
            </w:pPr>
          </w:p>
        </w:tc>
      </w:tr>
    </w:tbl>
    <w:p w:rsidR="009857C1" w:rsidRDefault="009857C1" w:rsidP="009857C1"/>
    <w:tbl>
      <w:tblPr>
        <w:tblW w:w="0" w:type="auto"/>
        <w:tblLayout w:type="fixed"/>
        <w:tblLook w:val="0000" w:firstRow="0" w:lastRow="0" w:firstColumn="0" w:lastColumn="0" w:noHBand="0" w:noVBand="0"/>
      </w:tblPr>
      <w:tblGrid>
        <w:gridCol w:w="1728"/>
        <w:gridCol w:w="7740"/>
      </w:tblGrid>
      <w:tr w:rsidR="009857C1" w:rsidTr="003F1341">
        <w:trPr>
          <w:cantSplit/>
        </w:trPr>
        <w:tc>
          <w:tcPr>
            <w:tcW w:w="1728" w:type="dxa"/>
          </w:tcPr>
          <w:p w:rsidR="009857C1" w:rsidRDefault="009857C1" w:rsidP="003F1341">
            <w:pPr>
              <w:pStyle w:val="Heading5"/>
            </w:pPr>
            <w:r>
              <w:t>Suspected Malignant Cells</w:t>
            </w:r>
          </w:p>
        </w:tc>
        <w:tc>
          <w:tcPr>
            <w:tcW w:w="7740" w:type="dxa"/>
          </w:tcPr>
          <w:p w:rsidR="009857C1" w:rsidRPr="00FB21EC" w:rsidRDefault="009857C1" w:rsidP="003F1341">
            <w:pPr>
              <w:rPr>
                <w:i/>
              </w:rPr>
            </w:pPr>
            <w:r>
              <w:t xml:space="preserve">Follow the steps below for suspected malignant cells, document process to </w:t>
            </w:r>
            <w:r w:rsidRPr="00FB21EC">
              <w:rPr>
                <w:b/>
              </w:rPr>
              <w:t xml:space="preserve">Attachment R1: </w:t>
            </w:r>
            <w:r w:rsidRPr="00FB21EC">
              <w:rPr>
                <w:b/>
                <w:i/>
              </w:rPr>
              <w:t>Pathologist Review for Suspicious cells Log</w:t>
            </w:r>
          </w:p>
          <w:tbl>
            <w:tblPr>
              <w:tblW w:w="7548" w:type="dxa"/>
              <w:tblLayout w:type="fixed"/>
              <w:tblLook w:val="0000" w:firstRow="0" w:lastRow="0" w:firstColumn="0" w:lastColumn="0" w:noHBand="0" w:noVBand="0"/>
            </w:tblPr>
            <w:tblGrid>
              <w:gridCol w:w="878"/>
              <w:gridCol w:w="6670"/>
            </w:tblGrid>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HeaderText"/>
                  </w:pPr>
                  <w:r>
                    <w:t>Step</w:t>
                  </w:r>
                </w:p>
              </w:tc>
              <w:tc>
                <w:tcPr>
                  <w:tcW w:w="6670" w:type="dxa"/>
                  <w:tcBorders>
                    <w:top w:val="single" w:sz="6" w:space="0" w:color="auto"/>
                    <w:bottom w:val="single" w:sz="6" w:space="0" w:color="auto"/>
                    <w:right w:val="single" w:sz="6" w:space="0" w:color="auto"/>
                  </w:tcBorders>
                </w:tcPr>
                <w:p w:rsidR="009857C1" w:rsidRDefault="009857C1" w:rsidP="003F1341">
                  <w:pPr>
                    <w:pStyle w:val="TableHeaderText"/>
                  </w:pPr>
                  <w:r>
                    <w:t>Action</w: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1</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CLS will result the differential count but will not comment on the suspicious morphology.</w: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2</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Print new accession id sticker for specimen with suspicious cells for review using print accession feature in Cerner App Bar.</w: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3</w:t>
                  </w:r>
                </w:p>
              </w:tc>
              <w:tc>
                <w:tcPr>
                  <w:tcW w:w="6670" w:type="dxa"/>
                  <w:tcBorders>
                    <w:top w:val="single" w:sz="6" w:space="0" w:color="auto"/>
                    <w:bottom w:val="single" w:sz="6" w:space="0" w:color="auto"/>
                    <w:right w:val="single" w:sz="6" w:space="0" w:color="auto"/>
                  </w:tcBorders>
                </w:tcPr>
                <w:p w:rsidR="009857C1" w:rsidRPr="00FB21EC" w:rsidRDefault="009857C1" w:rsidP="003F1341">
                  <w:pPr>
                    <w:rPr>
                      <w:i/>
                    </w:rPr>
                  </w:pPr>
                  <w:r>
                    <w:t xml:space="preserve">CLS will fill up the </w:t>
                  </w:r>
                  <w:r w:rsidRPr="00FB21EC">
                    <w:rPr>
                      <w:b/>
                      <w:i/>
                    </w:rPr>
                    <w:t>Pathologist Review for Suspicious cells Log</w:t>
                  </w:r>
                </w:p>
                <w:p w:rsidR="009857C1" w:rsidRDefault="009857C1" w:rsidP="003F1341">
                  <w:pPr>
                    <w:pStyle w:val="TableText"/>
                  </w:pPr>
                  <w:r>
                    <w:t>By entering current date, specimen id using accession id sticker, and specimen type.</w: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4</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CLS will:</w:t>
                  </w:r>
                </w:p>
                <w:p w:rsidR="009857C1" w:rsidRDefault="009857C1" w:rsidP="009857C1">
                  <w:pPr>
                    <w:pStyle w:val="TableText"/>
                    <w:numPr>
                      <w:ilvl w:val="0"/>
                      <w:numId w:val="32"/>
                    </w:numPr>
                  </w:pPr>
                  <w:r>
                    <w:t>Enter notes about the slide (suspicious cells seen)</w:t>
                  </w:r>
                </w:p>
                <w:p w:rsidR="009857C1" w:rsidRDefault="009857C1" w:rsidP="009857C1">
                  <w:pPr>
                    <w:pStyle w:val="TableText"/>
                    <w:numPr>
                      <w:ilvl w:val="0"/>
                      <w:numId w:val="31"/>
                    </w:numPr>
                  </w:pPr>
                  <w:r>
                    <w:t>Enter the X and Y coordinates of the cell(s) to be reviewed using the white circle marks found in the microscope stage.</w:t>
                  </w:r>
                </w:p>
                <w:p w:rsidR="009857C1" w:rsidRDefault="009857C1" w:rsidP="009857C1">
                  <w:pPr>
                    <w:pStyle w:val="TableText"/>
                    <w:numPr>
                      <w:ilvl w:val="0"/>
                      <w:numId w:val="31"/>
                    </w:numPr>
                  </w:pPr>
                  <w:r>
                    <w:t xml:space="preserve">Enter diagram of how the slide was clipped on the stage.  </w:t>
                  </w:r>
                </w:p>
                <w:p w:rsidR="009857C1" w:rsidRDefault="009857C1" w:rsidP="003F1341">
                  <w:pPr>
                    <w:pStyle w:val="TableText"/>
                  </w:pPr>
                  <w:r>
                    <w:object w:dxaOrig="7005" w:dyaOrig="4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45.5pt" o:ole="">
                        <v:imagedata r:id="rId8" o:title=""/>
                      </v:shape>
                      <o:OLEObject Type="Embed" ProgID="PBrush" ShapeID="_x0000_i1025" DrawAspect="Content" ObjectID="_1606629105" r:id="rId9"/>
                    </w:objec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5</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 xml:space="preserve">CLS will then send the slide with the </w:t>
                  </w:r>
                  <w:r w:rsidRPr="00E86433">
                    <w:t>Pathologist Review for Suspicious cells Log</w:t>
                  </w:r>
                  <w:r>
                    <w:t xml:space="preserve"> Binder</w:t>
                  </w:r>
                  <w:r w:rsidRPr="00E86433">
                    <w:t xml:space="preserve"> </w:t>
                  </w:r>
                  <w:r>
                    <w:t xml:space="preserve">to the Medical Director for review. </w:t>
                  </w:r>
                  <w:r w:rsidRPr="00E86433">
                    <w:rPr>
                      <w:i/>
                    </w:rPr>
                    <w:t>In the absence of the Medical Director, send the slide</w:t>
                  </w:r>
                  <w:r>
                    <w:rPr>
                      <w:i/>
                    </w:rPr>
                    <w:t xml:space="preserve"> to</w:t>
                  </w:r>
                  <w:r w:rsidRPr="00E86433">
                    <w:rPr>
                      <w:i/>
                    </w:rPr>
                    <w:t xml:space="preserve"> be reviewed to the Pathology Supervisor to forward s</w:t>
                  </w:r>
                  <w:r>
                    <w:rPr>
                      <w:i/>
                    </w:rPr>
                    <w:t>lide</w:t>
                  </w:r>
                  <w:r w:rsidRPr="00E86433">
                    <w:rPr>
                      <w:i/>
                    </w:rPr>
                    <w:t xml:space="preserve"> to a Frozen- section pathologist from Pathology department.</w: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6</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If pathologist decides cells are suspicious or malignant, CLS will issue a corrected report with the comment provided by the pathologist in Cerner result entry under result comment.</w: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7</w:t>
                  </w:r>
                </w:p>
              </w:tc>
              <w:tc>
                <w:tcPr>
                  <w:tcW w:w="6670" w:type="dxa"/>
                  <w:tcBorders>
                    <w:top w:val="single" w:sz="6" w:space="0" w:color="auto"/>
                    <w:bottom w:val="single" w:sz="6" w:space="0" w:color="auto"/>
                    <w:right w:val="single" w:sz="6" w:space="0" w:color="auto"/>
                  </w:tcBorders>
                </w:tcPr>
                <w:p w:rsidR="009857C1" w:rsidRDefault="009857C1" w:rsidP="003F1341">
                  <w:pPr>
                    <w:pStyle w:val="TableText"/>
                  </w:pPr>
                  <w:r>
                    <w:t>If pathologist decides cells are not suspicious or malignant, no corrected report is needed.</w:t>
                  </w:r>
                </w:p>
              </w:tc>
            </w:tr>
            <w:tr w:rsidR="009857C1" w:rsidTr="003F1341">
              <w:trPr>
                <w:cantSplit/>
              </w:trPr>
              <w:tc>
                <w:tcPr>
                  <w:tcW w:w="878" w:type="dxa"/>
                  <w:tcBorders>
                    <w:top w:val="single" w:sz="6" w:space="0" w:color="auto"/>
                    <w:left w:val="single" w:sz="6" w:space="0" w:color="auto"/>
                    <w:bottom w:val="single" w:sz="6" w:space="0" w:color="auto"/>
                    <w:right w:val="single" w:sz="6" w:space="0" w:color="auto"/>
                  </w:tcBorders>
                </w:tcPr>
                <w:p w:rsidR="009857C1" w:rsidRDefault="009857C1" w:rsidP="003F1341">
                  <w:pPr>
                    <w:pStyle w:val="TableText"/>
                    <w:jc w:val="center"/>
                  </w:pPr>
                  <w:r>
                    <w:t>8</w:t>
                  </w:r>
                </w:p>
              </w:tc>
              <w:tc>
                <w:tcPr>
                  <w:tcW w:w="6670" w:type="dxa"/>
                  <w:tcBorders>
                    <w:top w:val="single" w:sz="6" w:space="0" w:color="auto"/>
                    <w:bottom w:val="single" w:sz="6" w:space="0" w:color="auto"/>
                    <w:right w:val="single" w:sz="6" w:space="0" w:color="auto"/>
                  </w:tcBorders>
                </w:tcPr>
                <w:p w:rsidR="009857C1" w:rsidRPr="00E86433" w:rsidRDefault="009857C1" w:rsidP="003F1341">
                  <w:pPr>
                    <w:pStyle w:val="TableText"/>
                  </w:pPr>
                  <w:r>
                    <w:t xml:space="preserve">Document the Pathology review comment in the </w:t>
                  </w:r>
                  <w:r w:rsidRPr="00FB21EC">
                    <w:rPr>
                      <w:b/>
                      <w:i/>
                    </w:rPr>
                    <w:t>Pathologist Review for Suspicious cells</w:t>
                  </w:r>
                  <w:r>
                    <w:rPr>
                      <w:b/>
                      <w:i/>
                    </w:rPr>
                    <w:t xml:space="preserve"> Log,</w:t>
                  </w:r>
                  <w:r>
                    <w:t xml:space="preserve"> the Pathologists name who performed review, and initial of CLS performing documentation.</w:t>
                  </w:r>
                </w:p>
              </w:tc>
            </w:tr>
          </w:tbl>
          <w:p w:rsidR="009857C1" w:rsidRDefault="009857C1" w:rsidP="003F1341">
            <w:pPr>
              <w:pStyle w:val="BlockText"/>
            </w:pPr>
          </w:p>
        </w:tc>
      </w:tr>
    </w:tbl>
    <w:p w:rsidR="009857C1" w:rsidRDefault="009857C1" w:rsidP="009857C1"/>
    <w:tbl>
      <w:tblPr>
        <w:tblW w:w="9738" w:type="dxa"/>
        <w:tblLayout w:type="fixed"/>
        <w:tblLook w:val="0000" w:firstRow="0" w:lastRow="0" w:firstColumn="0" w:lastColumn="0" w:noHBand="0" w:noVBand="0"/>
      </w:tblPr>
      <w:tblGrid>
        <w:gridCol w:w="1728"/>
        <w:gridCol w:w="8010"/>
      </w:tblGrid>
      <w:tr w:rsidR="009857C1" w:rsidTr="003F1341">
        <w:trPr>
          <w:cantSplit/>
        </w:trPr>
        <w:tc>
          <w:tcPr>
            <w:tcW w:w="1728" w:type="dxa"/>
          </w:tcPr>
          <w:p w:rsidR="009857C1" w:rsidRPr="00781F79" w:rsidRDefault="009857C1" w:rsidP="003F1341">
            <w:pPr>
              <w:pStyle w:val="Heading5"/>
            </w:pPr>
            <w:r>
              <w:lastRenderedPageBreak/>
              <w:t>Controlled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9857C1" w:rsidTr="003F1341">
              <w:tc>
                <w:tcPr>
                  <w:tcW w:w="2407" w:type="dxa"/>
                  <w:shd w:val="clear" w:color="auto" w:fill="auto"/>
                </w:tcPr>
                <w:p w:rsidR="009857C1" w:rsidRPr="007D3E52" w:rsidRDefault="009857C1" w:rsidP="003F1341">
                  <w:pPr>
                    <w:pStyle w:val="BlockText"/>
                    <w:rPr>
                      <w:b/>
                    </w:rPr>
                  </w:pPr>
                  <w:r w:rsidRPr="007D3E52">
                    <w:rPr>
                      <w:b/>
                    </w:rPr>
                    <w:t>Document Number</w:t>
                  </w:r>
                </w:p>
              </w:tc>
              <w:tc>
                <w:tcPr>
                  <w:tcW w:w="5102" w:type="dxa"/>
                  <w:shd w:val="clear" w:color="auto" w:fill="auto"/>
                </w:tcPr>
                <w:p w:rsidR="009857C1" w:rsidRPr="007D3E52" w:rsidRDefault="009857C1" w:rsidP="003F1341">
                  <w:pPr>
                    <w:pStyle w:val="BlockText"/>
                    <w:rPr>
                      <w:b/>
                    </w:rPr>
                  </w:pPr>
                  <w:r w:rsidRPr="007D3E52">
                    <w:rPr>
                      <w:b/>
                    </w:rPr>
                    <w:t>Document Name</w:t>
                  </w:r>
                </w:p>
              </w:tc>
            </w:tr>
            <w:tr w:rsidR="009857C1" w:rsidTr="003F1341">
              <w:tc>
                <w:tcPr>
                  <w:tcW w:w="2407" w:type="dxa"/>
                  <w:shd w:val="clear" w:color="auto" w:fill="auto"/>
                </w:tcPr>
                <w:p w:rsidR="009857C1" w:rsidRDefault="009857C1" w:rsidP="003F1341">
                  <w:pPr>
                    <w:pStyle w:val="BlockText"/>
                  </w:pPr>
                  <w:r>
                    <w:t>LAMC-PPP-0123</w:t>
                  </w:r>
                </w:p>
              </w:tc>
              <w:tc>
                <w:tcPr>
                  <w:tcW w:w="5102" w:type="dxa"/>
                  <w:shd w:val="clear" w:color="auto" w:fill="auto"/>
                </w:tcPr>
                <w:p w:rsidR="009857C1" w:rsidRDefault="009857C1" w:rsidP="003F1341">
                  <w:pPr>
                    <w:pStyle w:val="BlockText"/>
                    <w:jc w:val="left"/>
                  </w:pPr>
                  <w:r>
                    <w:t>Safety Practices</w:t>
                  </w:r>
                </w:p>
              </w:tc>
            </w:tr>
            <w:tr w:rsidR="009857C1" w:rsidTr="003F1341">
              <w:tc>
                <w:tcPr>
                  <w:tcW w:w="2407" w:type="dxa"/>
                  <w:shd w:val="clear" w:color="auto" w:fill="auto"/>
                </w:tcPr>
                <w:p w:rsidR="009857C1" w:rsidRDefault="009857C1" w:rsidP="003F1341">
                  <w:pPr>
                    <w:jc w:val="center"/>
                  </w:pPr>
                  <w:r w:rsidRPr="00C01AA8">
                    <w:t>LAMC-PPP-012</w:t>
                  </w:r>
                  <w:r>
                    <w:t>7</w:t>
                  </w:r>
                </w:p>
              </w:tc>
              <w:tc>
                <w:tcPr>
                  <w:tcW w:w="5102" w:type="dxa"/>
                  <w:shd w:val="clear" w:color="auto" w:fill="auto"/>
                </w:tcPr>
                <w:p w:rsidR="009857C1" w:rsidRDefault="009857C1" w:rsidP="003F1341">
                  <w:pPr>
                    <w:pStyle w:val="BlockText"/>
                    <w:jc w:val="left"/>
                  </w:pPr>
                  <w:r>
                    <w:t>Infection Control</w:t>
                  </w:r>
                </w:p>
              </w:tc>
            </w:tr>
            <w:tr w:rsidR="009857C1" w:rsidTr="003F1341">
              <w:tc>
                <w:tcPr>
                  <w:tcW w:w="2407" w:type="dxa"/>
                  <w:shd w:val="clear" w:color="auto" w:fill="auto"/>
                </w:tcPr>
                <w:p w:rsidR="009857C1" w:rsidRDefault="009857C1" w:rsidP="003F1341">
                  <w:pPr>
                    <w:jc w:val="center"/>
                  </w:pPr>
                  <w:r w:rsidRPr="00C01AA8">
                    <w:t>LAMC-PPP-012</w:t>
                  </w:r>
                  <w:r>
                    <w:t>8</w:t>
                  </w:r>
                </w:p>
              </w:tc>
              <w:tc>
                <w:tcPr>
                  <w:tcW w:w="5102" w:type="dxa"/>
                  <w:shd w:val="clear" w:color="auto" w:fill="auto"/>
                </w:tcPr>
                <w:p w:rsidR="009857C1" w:rsidRDefault="009857C1" w:rsidP="003F1341">
                  <w:pPr>
                    <w:pStyle w:val="BlockText"/>
                    <w:jc w:val="left"/>
                  </w:pPr>
                  <w:r>
                    <w:t>Universal Body Substance Precaution</w:t>
                  </w:r>
                </w:p>
              </w:tc>
            </w:tr>
            <w:tr w:rsidR="009857C1" w:rsidTr="003F1341">
              <w:tc>
                <w:tcPr>
                  <w:tcW w:w="2407" w:type="dxa"/>
                  <w:shd w:val="clear" w:color="auto" w:fill="auto"/>
                </w:tcPr>
                <w:p w:rsidR="009857C1" w:rsidRDefault="009857C1" w:rsidP="003F1341">
                  <w:pPr>
                    <w:jc w:val="center"/>
                  </w:pPr>
                  <w:r w:rsidRPr="00C01AA8">
                    <w:t>LAMC-PPP-012</w:t>
                  </w:r>
                  <w:r>
                    <w:t>9</w:t>
                  </w:r>
                </w:p>
              </w:tc>
              <w:tc>
                <w:tcPr>
                  <w:tcW w:w="5102" w:type="dxa"/>
                  <w:shd w:val="clear" w:color="auto" w:fill="auto"/>
                </w:tcPr>
                <w:p w:rsidR="009857C1" w:rsidRDefault="009857C1" w:rsidP="003F1341">
                  <w:pPr>
                    <w:pStyle w:val="BlockText"/>
                    <w:jc w:val="left"/>
                  </w:pPr>
                  <w:r>
                    <w:t>Handling of Regular and Infectious Waste</w:t>
                  </w:r>
                </w:p>
              </w:tc>
            </w:tr>
            <w:tr w:rsidR="009857C1" w:rsidTr="003F1341">
              <w:tc>
                <w:tcPr>
                  <w:tcW w:w="2407" w:type="dxa"/>
                  <w:shd w:val="clear" w:color="auto" w:fill="auto"/>
                </w:tcPr>
                <w:p w:rsidR="009857C1" w:rsidRDefault="009857C1" w:rsidP="003F1341">
                  <w:pPr>
                    <w:jc w:val="center"/>
                  </w:pPr>
                  <w:r>
                    <w:t>LAMC-PPP-0130</w:t>
                  </w:r>
                </w:p>
              </w:tc>
              <w:tc>
                <w:tcPr>
                  <w:tcW w:w="5102" w:type="dxa"/>
                  <w:shd w:val="clear" w:color="auto" w:fill="auto"/>
                </w:tcPr>
                <w:p w:rsidR="009857C1" w:rsidRDefault="009857C1" w:rsidP="003F1341">
                  <w:pPr>
                    <w:pStyle w:val="BlockText"/>
                    <w:jc w:val="left"/>
                  </w:pPr>
                  <w:r>
                    <w:t>Cleaning Work Areas</w:t>
                  </w:r>
                </w:p>
              </w:tc>
            </w:tr>
            <w:tr w:rsidR="009857C1" w:rsidTr="003F1341">
              <w:tc>
                <w:tcPr>
                  <w:tcW w:w="2407" w:type="dxa"/>
                  <w:shd w:val="clear" w:color="auto" w:fill="auto"/>
                </w:tcPr>
                <w:p w:rsidR="009857C1" w:rsidRDefault="009857C1" w:rsidP="003F1341">
                  <w:pPr>
                    <w:jc w:val="center"/>
                  </w:pPr>
                  <w:r>
                    <w:t>LAMC-PPP-0132</w:t>
                  </w:r>
                </w:p>
              </w:tc>
              <w:tc>
                <w:tcPr>
                  <w:tcW w:w="5102" w:type="dxa"/>
                  <w:shd w:val="clear" w:color="auto" w:fill="auto"/>
                </w:tcPr>
                <w:p w:rsidR="009857C1" w:rsidRDefault="009857C1" w:rsidP="003F1341">
                  <w:pPr>
                    <w:pStyle w:val="BlockText"/>
                    <w:jc w:val="left"/>
                  </w:pPr>
                  <w:r>
                    <w:t>Hand-washing Policy</w:t>
                  </w:r>
                </w:p>
              </w:tc>
            </w:tr>
            <w:tr w:rsidR="009857C1" w:rsidTr="003F1341">
              <w:tc>
                <w:tcPr>
                  <w:tcW w:w="2407" w:type="dxa"/>
                  <w:shd w:val="clear" w:color="auto" w:fill="auto"/>
                </w:tcPr>
                <w:p w:rsidR="009857C1" w:rsidRDefault="009857C1" w:rsidP="003F1341">
                  <w:pPr>
                    <w:jc w:val="center"/>
                  </w:pPr>
                  <w:r>
                    <w:t>LAMC-PPP-0134</w:t>
                  </w:r>
                </w:p>
              </w:tc>
              <w:tc>
                <w:tcPr>
                  <w:tcW w:w="5102" w:type="dxa"/>
                  <w:shd w:val="clear" w:color="auto" w:fill="auto"/>
                </w:tcPr>
                <w:p w:rsidR="009857C1" w:rsidRDefault="009857C1" w:rsidP="003F1341">
                  <w:pPr>
                    <w:pStyle w:val="BlockText"/>
                    <w:jc w:val="left"/>
                  </w:pPr>
                  <w:r>
                    <w:t>Storage and Disposal of Chemical Hazardous Waste</w:t>
                  </w:r>
                </w:p>
              </w:tc>
            </w:tr>
            <w:tr w:rsidR="009857C1" w:rsidTr="003F1341">
              <w:tc>
                <w:tcPr>
                  <w:tcW w:w="2407" w:type="dxa"/>
                  <w:shd w:val="clear" w:color="auto" w:fill="auto"/>
                </w:tcPr>
                <w:p w:rsidR="009857C1" w:rsidRDefault="009857C1" w:rsidP="003F1341">
                  <w:pPr>
                    <w:pStyle w:val="Header"/>
                  </w:pPr>
                  <w:r>
                    <w:t>LAMC-PPP-0310</w:t>
                  </w:r>
                </w:p>
              </w:tc>
              <w:tc>
                <w:tcPr>
                  <w:tcW w:w="5102" w:type="dxa"/>
                  <w:shd w:val="clear" w:color="auto" w:fill="auto"/>
                </w:tcPr>
                <w:p w:rsidR="009857C1" w:rsidRDefault="009857C1" w:rsidP="003F1341">
                  <w:pPr>
                    <w:pStyle w:val="TableText"/>
                  </w:pPr>
                  <w:proofErr w:type="spellStart"/>
                  <w:r>
                    <w:t>Cytospin</w:t>
                  </w:r>
                  <w:proofErr w:type="spellEnd"/>
                  <w:r>
                    <w:t xml:space="preserve"> smear preparation using </w:t>
                  </w:r>
                  <w:proofErr w:type="spellStart"/>
                  <w:r>
                    <w:t>Thermo</w:t>
                  </w:r>
                  <w:proofErr w:type="spellEnd"/>
                  <w:r>
                    <w:t xml:space="preserve"> Scientific </w:t>
                  </w:r>
                  <w:proofErr w:type="spellStart"/>
                  <w:r>
                    <w:t>Cytospin</w:t>
                  </w:r>
                  <w:proofErr w:type="spellEnd"/>
                  <w:r>
                    <w:t xml:space="preserve"> 4</w:t>
                  </w:r>
                </w:p>
              </w:tc>
            </w:tr>
            <w:tr w:rsidR="009857C1" w:rsidTr="003F1341">
              <w:tc>
                <w:tcPr>
                  <w:tcW w:w="2407" w:type="dxa"/>
                  <w:shd w:val="clear" w:color="auto" w:fill="auto"/>
                </w:tcPr>
                <w:p w:rsidR="009857C1" w:rsidRDefault="009857C1" w:rsidP="003F1341">
                  <w:pPr>
                    <w:pStyle w:val="Header"/>
                  </w:pPr>
                  <w:r>
                    <w:t>LAMC-PPP-0304</w:t>
                  </w:r>
                </w:p>
              </w:tc>
              <w:tc>
                <w:tcPr>
                  <w:tcW w:w="5102" w:type="dxa"/>
                  <w:shd w:val="clear" w:color="auto" w:fill="auto"/>
                </w:tcPr>
                <w:p w:rsidR="009857C1" w:rsidRDefault="009857C1" w:rsidP="003F1341">
                  <w:pPr>
                    <w:pStyle w:val="TableText"/>
                  </w:pPr>
                  <w:r>
                    <w:t>Fluid Quality Control Procedure</w:t>
                  </w:r>
                </w:p>
              </w:tc>
            </w:tr>
            <w:tr w:rsidR="009857C1" w:rsidTr="003F1341">
              <w:tc>
                <w:tcPr>
                  <w:tcW w:w="2407" w:type="dxa"/>
                  <w:shd w:val="clear" w:color="auto" w:fill="auto"/>
                </w:tcPr>
                <w:p w:rsidR="009857C1" w:rsidRDefault="009857C1" w:rsidP="003F1341">
                  <w:pPr>
                    <w:pStyle w:val="Header"/>
                  </w:pPr>
                  <w:r>
                    <w:t>Attachment A</w:t>
                  </w:r>
                </w:p>
              </w:tc>
              <w:tc>
                <w:tcPr>
                  <w:tcW w:w="5102" w:type="dxa"/>
                  <w:shd w:val="clear" w:color="auto" w:fill="auto"/>
                </w:tcPr>
                <w:p w:rsidR="009857C1" w:rsidRDefault="009857C1" w:rsidP="003F1341">
                  <w:pPr>
                    <w:pStyle w:val="TableText"/>
                  </w:pPr>
                  <w:r>
                    <w:t>Body Fluid Log Form</w:t>
                  </w:r>
                </w:p>
              </w:tc>
            </w:tr>
            <w:tr w:rsidR="009857C1" w:rsidTr="003F1341">
              <w:tc>
                <w:tcPr>
                  <w:tcW w:w="2407" w:type="dxa"/>
                  <w:shd w:val="clear" w:color="auto" w:fill="auto"/>
                </w:tcPr>
                <w:p w:rsidR="009857C1" w:rsidRDefault="009857C1" w:rsidP="003F1341">
                  <w:pPr>
                    <w:pStyle w:val="Header"/>
                  </w:pPr>
                  <w:r>
                    <w:t>Attachment R1</w:t>
                  </w:r>
                </w:p>
              </w:tc>
              <w:tc>
                <w:tcPr>
                  <w:tcW w:w="5102" w:type="dxa"/>
                  <w:shd w:val="clear" w:color="auto" w:fill="auto"/>
                </w:tcPr>
                <w:p w:rsidR="009857C1" w:rsidRPr="00FB21EC" w:rsidRDefault="009857C1" w:rsidP="003F1341">
                  <w:pPr>
                    <w:pStyle w:val="TableText"/>
                  </w:pPr>
                  <w:r w:rsidRPr="00FB21EC">
                    <w:t>Pathologist Review for Suspicious cells Log</w:t>
                  </w:r>
                </w:p>
              </w:tc>
            </w:tr>
          </w:tbl>
          <w:p w:rsidR="009857C1" w:rsidRPr="00D05042" w:rsidRDefault="009857C1" w:rsidP="003F1341">
            <w:pPr>
              <w:rPr>
                <w:szCs w:val="24"/>
              </w:rPr>
            </w:pPr>
            <w:r>
              <w:t>See below the list of controlled documents</w:t>
            </w:r>
          </w:p>
        </w:tc>
      </w:tr>
      <w:tr w:rsidR="009857C1" w:rsidTr="003F1341">
        <w:trPr>
          <w:cantSplit/>
        </w:trPr>
        <w:tc>
          <w:tcPr>
            <w:tcW w:w="1728" w:type="dxa"/>
          </w:tcPr>
          <w:p w:rsidR="009857C1" w:rsidRDefault="009857C1" w:rsidP="003F1341">
            <w:pPr>
              <w:pStyle w:val="Heading5"/>
            </w:pPr>
          </w:p>
          <w:p w:rsidR="009857C1" w:rsidRPr="00781F79" w:rsidRDefault="009857C1" w:rsidP="003F1341">
            <w:pPr>
              <w:pStyle w:val="Heading5"/>
            </w:pPr>
            <w:r w:rsidRPr="00781F79">
              <w:t>A</w:t>
            </w:r>
            <w:r>
              <w:t>uthor(s)</w:t>
            </w:r>
          </w:p>
        </w:tc>
        <w:tc>
          <w:tcPr>
            <w:tcW w:w="8010" w:type="dxa"/>
          </w:tcPr>
          <w:p w:rsidR="009857C1" w:rsidRPr="00D05042" w:rsidRDefault="009857C1" w:rsidP="003F1341">
            <w:pPr>
              <w:rPr>
                <w:szCs w:val="24"/>
              </w:rPr>
            </w:pPr>
          </w:p>
          <w:p w:rsidR="009857C1" w:rsidRPr="00D05042" w:rsidRDefault="009857C1" w:rsidP="003F1341">
            <w:pPr>
              <w:rPr>
                <w:szCs w:val="24"/>
              </w:rPr>
            </w:pPr>
            <w:r>
              <w:t>Alvin Castillo</w:t>
            </w:r>
          </w:p>
        </w:tc>
      </w:tr>
    </w:tbl>
    <w:p w:rsidR="009857C1" w:rsidRDefault="009857C1" w:rsidP="009857C1"/>
    <w:p w:rsidR="009857C1" w:rsidRDefault="009857C1" w:rsidP="009857C1">
      <w:r>
        <w:br w:type="page"/>
      </w:r>
      <w:r>
        <w:rPr>
          <w:noProof/>
        </w:rPr>
        <w:lastRenderedPageBreak/>
        <w:drawing>
          <wp:inline distT="0" distB="0" distL="0" distR="0">
            <wp:extent cx="5844304" cy="7848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73" cy="7851513"/>
                    </a:xfrm>
                    <a:prstGeom prst="rect">
                      <a:avLst/>
                    </a:prstGeom>
                    <a:noFill/>
                    <a:ln>
                      <a:noFill/>
                    </a:ln>
                  </pic:spPr>
                </pic:pic>
              </a:graphicData>
            </a:graphic>
          </wp:inline>
        </w:drawing>
      </w:r>
    </w:p>
    <w:p w:rsidR="009857C1" w:rsidRDefault="009857C1" w:rsidP="009857C1"/>
    <w:p w:rsidR="00F06DB2" w:rsidRDefault="009857C1" w:rsidP="00D26AE2">
      <w:r>
        <w:rPr>
          <w:noProof/>
        </w:rPr>
        <w:drawing>
          <wp:inline distT="0" distB="0" distL="0" distR="0">
            <wp:extent cx="6019800" cy="763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0" cy="7639050"/>
                    </a:xfrm>
                    <a:prstGeom prst="rect">
                      <a:avLst/>
                    </a:prstGeom>
                    <a:noFill/>
                    <a:ln>
                      <a:noFill/>
                    </a:ln>
                  </pic:spPr>
                </pic:pic>
              </a:graphicData>
            </a:graphic>
          </wp:inline>
        </w:drawing>
      </w:r>
    </w:p>
    <w:sectPr w:rsidR="00F06DB2" w:rsidSect="00D4361C">
      <w:headerReference w:type="even" r:id="rId12"/>
      <w:headerReference w:type="default" r:id="rId13"/>
      <w:footerReference w:type="even" r:id="rId14"/>
      <w:footerReference w:type="default" r:id="rId15"/>
      <w:headerReference w:type="first" r:id="rId16"/>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82" w:rsidRDefault="004F1D82">
      <w:r>
        <w:separator/>
      </w:r>
    </w:p>
  </w:endnote>
  <w:endnote w:type="continuationSeparator" w:id="0">
    <w:p w:rsidR="004F1D82" w:rsidRDefault="004F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rsidR="00D0664E" w:rsidRPr="00637656" w:rsidRDefault="00D0664E">
    <w:pPr>
      <w:pStyle w:val="Footer"/>
      <w:ind w:right="360" w:firstLine="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F57427">
      <w:rPr>
        <w:i/>
        <w:noProof/>
        <w:snapToGrid w:val="0"/>
        <w:sz w:val="20"/>
      </w:rPr>
      <w:instrText>10</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F57427">
      <w:rPr>
        <w:i/>
        <w:noProof/>
        <w:snapToGrid w:val="0"/>
        <w:sz w:val="20"/>
      </w:rPr>
      <w:instrText>10</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Pr="00637656">
      <w:rPr>
        <w:i/>
        <w:snapToGrid w:val="0"/>
        <w:sz w:val="20"/>
      </w:rPr>
      <w:fldChar w:fldCharType="end"/>
    </w:r>
  </w:p>
  <w:p w:rsidR="00637656" w:rsidRPr="00637656" w:rsidRDefault="00637656" w:rsidP="00EC7C99">
    <w:pPr>
      <w:pStyle w:val="Footer"/>
      <w:tabs>
        <w:tab w:val="clear" w:pos="4320"/>
        <w:tab w:val="clear" w:pos="8640"/>
        <w:tab w:val="center" w:pos="4680"/>
      </w:tabs>
      <w:ind w:right="90"/>
      <w:jc w:val="right"/>
      <w:rPr>
        <w:i/>
        <w:snapToGrid w:val="0"/>
        <w:sz w:val="20"/>
      </w:rPr>
    </w:pPr>
  </w:p>
  <w:p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F57427">
      <w:rPr>
        <w:rStyle w:val="PageNumber"/>
        <w:rFonts w:ascii="Arial" w:hAnsi="Arial" w:cs="Arial"/>
        <w:noProof/>
        <w:sz w:val="20"/>
      </w:rPr>
      <w:t>10</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F57427">
      <w:rPr>
        <w:rStyle w:val="PageNumber"/>
        <w:rFonts w:ascii="Arial" w:hAnsi="Arial" w:cs="Arial"/>
        <w:noProof/>
        <w:sz w:val="20"/>
      </w:rPr>
      <w:t>10</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82" w:rsidRDefault="004F1D82">
      <w:r>
        <w:separator/>
      </w:r>
    </w:p>
  </w:footnote>
  <w:footnote w:type="continuationSeparator" w:id="0">
    <w:p w:rsidR="004F1D82" w:rsidRDefault="004F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rsidTr="008D59CB">
      <w:tc>
        <w:tcPr>
          <w:tcW w:w="2605" w:type="dxa"/>
        </w:tcPr>
        <w:p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514404" w:rsidRDefault="006C4D71" w:rsidP="009857C1">
    <w:pPr>
      <w:pStyle w:val="Heading4"/>
      <w:rPr>
        <w:szCs w:val="24"/>
      </w:rPr>
    </w:pPr>
    <w:r>
      <w:t xml:space="preserve">BODY FLUID ANALYSIS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3805DB" w:rsidRDefault="003805DB" w:rsidP="003805DB">
    <w:pPr>
      <w:pStyle w:val="Heading4"/>
    </w:pPr>
    <w:r>
      <w:t>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7"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2071503"/>
    <w:multiLevelType w:val="hybridMultilevel"/>
    <w:tmpl w:val="A08CC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1" w15:restartNumberingAfterBreak="0">
    <w:nsid w:val="2C7137D2"/>
    <w:multiLevelType w:val="hybridMultilevel"/>
    <w:tmpl w:val="6760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84058"/>
    <w:multiLevelType w:val="hybridMultilevel"/>
    <w:tmpl w:val="4C20D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8" w15:restartNumberingAfterBreak="0">
    <w:nsid w:val="43A42488"/>
    <w:multiLevelType w:val="hybridMultilevel"/>
    <w:tmpl w:val="5D0E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1" w15:restartNumberingAfterBreak="0">
    <w:nsid w:val="600B63AB"/>
    <w:multiLevelType w:val="hybridMultilevel"/>
    <w:tmpl w:val="4642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3"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5"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E26F1"/>
    <w:multiLevelType w:val="hybridMultilevel"/>
    <w:tmpl w:val="415A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9"/>
  </w:num>
  <w:num w:numId="4">
    <w:abstractNumId w:val="8"/>
  </w:num>
  <w:num w:numId="5">
    <w:abstractNumId w:val="5"/>
  </w:num>
  <w:num w:numId="6">
    <w:abstractNumId w:val="1"/>
  </w:num>
  <w:num w:numId="7">
    <w:abstractNumId w:val="27"/>
  </w:num>
  <w:num w:numId="8">
    <w:abstractNumId w:val="12"/>
  </w:num>
  <w:num w:numId="9">
    <w:abstractNumId w:val="13"/>
  </w:num>
  <w:num w:numId="10">
    <w:abstractNumId w:val="22"/>
  </w:num>
  <w:num w:numId="11">
    <w:abstractNumId w:val="23"/>
  </w:num>
  <w:num w:numId="12">
    <w:abstractNumId w:val="0"/>
  </w:num>
  <w:num w:numId="13">
    <w:abstractNumId w:val="33"/>
  </w:num>
  <w:num w:numId="14">
    <w:abstractNumId w:val="32"/>
  </w:num>
  <w:num w:numId="15">
    <w:abstractNumId w:val="25"/>
  </w:num>
  <w:num w:numId="16">
    <w:abstractNumId w:val="16"/>
  </w:num>
  <w:num w:numId="17">
    <w:abstractNumId w:val="29"/>
  </w:num>
  <w:num w:numId="18">
    <w:abstractNumId w:val="28"/>
  </w:num>
  <w:num w:numId="19">
    <w:abstractNumId w:val="30"/>
  </w:num>
  <w:num w:numId="20">
    <w:abstractNumId w:val="26"/>
  </w:num>
  <w:num w:numId="21">
    <w:abstractNumId w:val="7"/>
  </w:num>
  <w:num w:numId="22">
    <w:abstractNumId w:val="2"/>
  </w:num>
  <w:num w:numId="23">
    <w:abstractNumId w:val="4"/>
  </w:num>
  <w:num w:numId="24">
    <w:abstractNumId w:val="24"/>
  </w:num>
  <w:num w:numId="25">
    <w:abstractNumId w:val="17"/>
  </w:num>
  <w:num w:numId="26">
    <w:abstractNumId w:val="10"/>
  </w:num>
  <w:num w:numId="27">
    <w:abstractNumId w:val="6"/>
  </w:num>
  <w:num w:numId="28">
    <w:abstractNumId w:val="15"/>
  </w:num>
  <w:num w:numId="29">
    <w:abstractNumId w:val="9"/>
  </w:num>
  <w:num w:numId="30">
    <w:abstractNumId w:val="14"/>
  </w:num>
  <w:num w:numId="31">
    <w:abstractNumId w:val="11"/>
  </w:num>
  <w:num w:numId="32">
    <w:abstractNumId w:val="18"/>
  </w:num>
  <w:num w:numId="33">
    <w:abstractNumId w:val="21"/>
  </w:num>
  <w:num w:numId="34">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2"/>
    <w:rsid w:val="000107C0"/>
    <w:rsid w:val="000174C7"/>
    <w:rsid w:val="00036CF5"/>
    <w:rsid w:val="00042DAA"/>
    <w:rsid w:val="00047EF7"/>
    <w:rsid w:val="00056877"/>
    <w:rsid w:val="00066629"/>
    <w:rsid w:val="000728C4"/>
    <w:rsid w:val="0007435D"/>
    <w:rsid w:val="0009129B"/>
    <w:rsid w:val="000953A5"/>
    <w:rsid w:val="000A0D43"/>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4E3A"/>
    <w:rsid w:val="0018670E"/>
    <w:rsid w:val="00192DE5"/>
    <w:rsid w:val="001A14EE"/>
    <w:rsid w:val="00207CFE"/>
    <w:rsid w:val="00207E90"/>
    <w:rsid w:val="00211546"/>
    <w:rsid w:val="00222FE8"/>
    <w:rsid w:val="00232612"/>
    <w:rsid w:val="00232E81"/>
    <w:rsid w:val="002363E4"/>
    <w:rsid w:val="0025757B"/>
    <w:rsid w:val="00270793"/>
    <w:rsid w:val="00273CCB"/>
    <w:rsid w:val="002A0EA3"/>
    <w:rsid w:val="002A79D0"/>
    <w:rsid w:val="002B2EF9"/>
    <w:rsid w:val="002C1AC8"/>
    <w:rsid w:val="002C3C99"/>
    <w:rsid w:val="002C46A4"/>
    <w:rsid w:val="002C5FE5"/>
    <w:rsid w:val="002D5E11"/>
    <w:rsid w:val="002E0623"/>
    <w:rsid w:val="00302013"/>
    <w:rsid w:val="00310107"/>
    <w:rsid w:val="003114DA"/>
    <w:rsid w:val="00311D03"/>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B702D"/>
    <w:rsid w:val="003C508E"/>
    <w:rsid w:val="003C6786"/>
    <w:rsid w:val="003C7698"/>
    <w:rsid w:val="003E40F0"/>
    <w:rsid w:val="003F0A0D"/>
    <w:rsid w:val="00414622"/>
    <w:rsid w:val="004160B3"/>
    <w:rsid w:val="00433D1F"/>
    <w:rsid w:val="00440B6B"/>
    <w:rsid w:val="00452AA8"/>
    <w:rsid w:val="00454667"/>
    <w:rsid w:val="00471432"/>
    <w:rsid w:val="004802BC"/>
    <w:rsid w:val="00480580"/>
    <w:rsid w:val="00482A53"/>
    <w:rsid w:val="0048686C"/>
    <w:rsid w:val="004965AA"/>
    <w:rsid w:val="004A2AB4"/>
    <w:rsid w:val="004A3A65"/>
    <w:rsid w:val="004B2090"/>
    <w:rsid w:val="004C1667"/>
    <w:rsid w:val="004C1AD2"/>
    <w:rsid w:val="004C1B71"/>
    <w:rsid w:val="004F1D82"/>
    <w:rsid w:val="00504B96"/>
    <w:rsid w:val="0050518A"/>
    <w:rsid w:val="005133FE"/>
    <w:rsid w:val="00514404"/>
    <w:rsid w:val="00522809"/>
    <w:rsid w:val="005349B1"/>
    <w:rsid w:val="00544E86"/>
    <w:rsid w:val="00567454"/>
    <w:rsid w:val="00574B08"/>
    <w:rsid w:val="00595006"/>
    <w:rsid w:val="005A5B0F"/>
    <w:rsid w:val="005A6643"/>
    <w:rsid w:val="005A6EE9"/>
    <w:rsid w:val="005B1E7F"/>
    <w:rsid w:val="005F2ABD"/>
    <w:rsid w:val="005F3E96"/>
    <w:rsid w:val="005F515B"/>
    <w:rsid w:val="00605DCB"/>
    <w:rsid w:val="0061079E"/>
    <w:rsid w:val="00620A2D"/>
    <w:rsid w:val="00633012"/>
    <w:rsid w:val="00637656"/>
    <w:rsid w:val="006550C2"/>
    <w:rsid w:val="00677481"/>
    <w:rsid w:val="006A107B"/>
    <w:rsid w:val="006A5F55"/>
    <w:rsid w:val="006A72CD"/>
    <w:rsid w:val="006C4C9A"/>
    <w:rsid w:val="006C4D71"/>
    <w:rsid w:val="006D60D0"/>
    <w:rsid w:val="006E67E1"/>
    <w:rsid w:val="00700D63"/>
    <w:rsid w:val="00706B6E"/>
    <w:rsid w:val="00707CAE"/>
    <w:rsid w:val="00710C83"/>
    <w:rsid w:val="007458E4"/>
    <w:rsid w:val="0075494B"/>
    <w:rsid w:val="00760854"/>
    <w:rsid w:val="00763747"/>
    <w:rsid w:val="00774558"/>
    <w:rsid w:val="00781F79"/>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E6D"/>
    <w:rsid w:val="0082621B"/>
    <w:rsid w:val="008415B6"/>
    <w:rsid w:val="008432AD"/>
    <w:rsid w:val="0088237F"/>
    <w:rsid w:val="00883D0A"/>
    <w:rsid w:val="00883D63"/>
    <w:rsid w:val="0088433C"/>
    <w:rsid w:val="00885E0C"/>
    <w:rsid w:val="0089105A"/>
    <w:rsid w:val="008C29BB"/>
    <w:rsid w:val="008C45FE"/>
    <w:rsid w:val="008D03D1"/>
    <w:rsid w:val="008D4E7A"/>
    <w:rsid w:val="00915197"/>
    <w:rsid w:val="00936C1B"/>
    <w:rsid w:val="0094018B"/>
    <w:rsid w:val="009451A0"/>
    <w:rsid w:val="00947B7E"/>
    <w:rsid w:val="00963C28"/>
    <w:rsid w:val="00966189"/>
    <w:rsid w:val="00971F62"/>
    <w:rsid w:val="00972031"/>
    <w:rsid w:val="0097329A"/>
    <w:rsid w:val="00976FCA"/>
    <w:rsid w:val="00977422"/>
    <w:rsid w:val="00983B6D"/>
    <w:rsid w:val="009857C1"/>
    <w:rsid w:val="009A491F"/>
    <w:rsid w:val="009B088D"/>
    <w:rsid w:val="009B37C7"/>
    <w:rsid w:val="009C10D5"/>
    <w:rsid w:val="009C4605"/>
    <w:rsid w:val="009E0BB9"/>
    <w:rsid w:val="009E6162"/>
    <w:rsid w:val="00A10B4E"/>
    <w:rsid w:val="00A14DC0"/>
    <w:rsid w:val="00A14F18"/>
    <w:rsid w:val="00A2202A"/>
    <w:rsid w:val="00A3670D"/>
    <w:rsid w:val="00A37F00"/>
    <w:rsid w:val="00A60B08"/>
    <w:rsid w:val="00A6192E"/>
    <w:rsid w:val="00A66379"/>
    <w:rsid w:val="00A8143D"/>
    <w:rsid w:val="00A9592D"/>
    <w:rsid w:val="00AA2C0B"/>
    <w:rsid w:val="00AB4147"/>
    <w:rsid w:val="00AB4889"/>
    <w:rsid w:val="00AC231D"/>
    <w:rsid w:val="00AC7F63"/>
    <w:rsid w:val="00AD1CD4"/>
    <w:rsid w:val="00AD6204"/>
    <w:rsid w:val="00AD798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65B8"/>
    <w:rsid w:val="00BA7F6C"/>
    <w:rsid w:val="00BB0F09"/>
    <w:rsid w:val="00BE1ADD"/>
    <w:rsid w:val="00BF0DF7"/>
    <w:rsid w:val="00BF7178"/>
    <w:rsid w:val="00C0550A"/>
    <w:rsid w:val="00C1330E"/>
    <w:rsid w:val="00C14D20"/>
    <w:rsid w:val="00C311E2"/>
    <w:rsid w:val="00C31B1A"/>
    <w:rsid w:val="00C33311"/>
    <w:rsid w:val="00C45269"/>
    <w:rsid w:val="00C60114"/>
    <w:rsid w:val="00C604D8"/>
    <w:rsid w:val="00C66F6C"/>
    <w:rsid w:val="00C75F4B"/>
    <w:rsid w:val="00C80C96"/>
    <w:rsid w:val="00C84E28"/>
    <w:rsid w:val="00C85B6B"/>
    <w:rsid w:val="00C87487"/>
    <w:rsid w:val="00C912D0"/>
    <w:rsid w:val="00C926BC"/>
    <w:rsid w:val="00C95BA9"/>
    <w:rsid w:val="00CA0A63"/>
    <w:rsid w:val="00CA67B8"/>
    <w:rsid w:val="00CC02CC"/>
    <w:rsid w:val="00CC0ED8"/>
    <w:rsid w:val="00CC7D1A"/>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668C8"/>
    <w:rsid w:val="00D81847"/>
    <w:rsid w:val="00D8329C"/>
    <w:rsid w:val="00D90CBE"/>
    <w:rsid w:val="00DA1F32"/>
    <w:rsid w:val="00DC3744"/>
    <w:rsid w:val="00DD53EF"/>
    <w:rsid w:val="00DE223A"/>
    <w:rsid w:val="00DE2EAB"/>
    <w:rsid w:val="00DE398C"/>
    <w:rsid w:val="00E25B6E"/>
    <w:rsid w:val="00E301AE"/>
    <w:rsid w:val="00E42FE4"/>
    <w:rsid w:val="00E50BBB"/>
    <w:rsid w:val="00E51458"/>
    <w:rsid w:val="00E5453D"/>
    <w:rsid w:val="00E61CD5"/>
    <w:rsid w:val="00E733D6"/>
    <w:rsid w:val="00E75365"/>
    <w:rsid w:val="00E84DD2"/>
    <w:rsid w:val="00EB027B"/>
    <w:rsid w:val="00EB50D8"/>
    <w:rsid w:val="00EC0EFC"/>
    <w:rsid w:val="00EC7C99"/>
    <w:rsid w:val="00EE0F07"/>
    <w:rsid w:val="00EE396F"/>
    <w:rsid w:val="00EE3CFA"/>
    <w:rsid w:val="00EE6D86"/>
    <w:rsid w:val="00EF2A00"/>
    <w:rsid w:val="00F06DB2"/>
    <w:rsid w:val="00F342AB"/>
    <w:rsid w:val="00F36A3F"/>
    <w:rsid w:val="00F47F67"/>
    <w:rsid w:val="00F56C49"/>
    <w:rsid w:val="00F56EFF"/>
    <w:rsid w:val="00F57427"/>
    <w:rsid w:val="00F71526"/>
    <w:rsid w:val="00F73178"/>
    <w:rsid w:val="00F80BE8"/>
    <w:rsid w:val="00F81614"/>
    <w:rsid w:val="00F91A4D"/>
    <w:rsid w:val="00F94602"/>
    <w:rsid w:val="00FA472E"/>
    <w:rsid w:val="00FA6079"/>
    <w:rsid w:val="00FB1920"/>
    <w:rsid w:val="00FB384B"/>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 w:type="paragraph" w:styleId="BalloonText">
    <w:name w:val="Balloon Text"/>
    <w:basedOn w:val="Normal"/>
    <w:link w:val="BalloonTextChar"/>
    <w:rsid w:val="002B2EF9"/>
    <w:rPr>
      <w:rFonts w:ascii="Segoe UI" w:hAnsi="Segoe UI" w:cs="Segoe UI"/>
      <w:sz w:val="18"/>
      <w:szCs w:val="18"/>
    </w:rPr>
  </w:style>
  <w:style w:type="character" w:customStyle="1" w:styleId="BalloonTextChar">
    <w:name w:val="Balloon Text Char"/>
    <w:basedOn w:val="DefaultParagraphFont"/>
    <w:link w:val="BalloonText"/>
    <w:rsid w:val="002B2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2C"/>
    <w:rsid w:val="00013DE0"/>
    <w:rsid w:val="000F514A"/>
    <w:rsid w:val="0015439E"/>
    <w:rsid w:val="00165332"/>
    <w:rsid w:val="00177C98"/>
    <w:rsid w:val="002B3830"/>
    <w:rsid w:val="002C3A63"/>
    <w:rsid w:val="00302917"/>
    <w:rsid w:val="003302E8"/>
    <w:rsid w:val="004473BD"/>
    <w:rsid w:val="00503C9E"/>
    <w:rsid w:val="005A495C"/>
    <w:rsid w:val="007E69BB"/>
    <w:rsid w:val="00856328"/>
    <w:rsid w:val="008F2A2C"/>
    <w:rsid w:val="009E2D04"/>
    <w:rsid w:val="00A8409A"/>
    <w:rsid w:val="00B92239"/>
    <w:rsid w:val="00BA5A27"/>
    <w:rsid w:val="00C72FAB"/>
    <w:rsid w:val="00CD2384"/>
    <w:rsid w:val="00D34C02"/>
    <w:rsid w:val="00EF1C87"/>
    <w:rsid w:val="00F25834"/>
    <w:rsid w:val="00F86024"/>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238</TotalTime>
  <Pages>10</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15</cp:revision>
  <cp:lastPrinted>2018-12-17T15:19:00Z</cp:lastPrinted>
  <dcterms:created xsi:type="dcterms:W3CDTF">2018-04-11T18:10:00Z</dcterms:created>
  <dcterms:modified xsi:type="dcterms:W3CDTF">2018-12-18T17:05:00Z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