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64E" w:rsidRDefault="00D0664E">
      <w:pPr>
        <w:pStyle w:val="BlockLine"/>
        <w:rPr>
          <w:rFonts w:ascii="Arial" w:hAnsi="Arial"/>
          <w:szCs w:val="24"/>
        </w:rPr>
      </w:pPr>
    </w:p>
    <w:tbl>
      <w:tblPr>
        <w:tblW w:w="9468" w:type="dxa"/>
        <w:tblInd w:w="-108" w:type="dxa"/>
        <w:tblLayout w:type="fixed"/>
        <w:tblLook w:val="0000" w:firstRow="0" w:lastRow="0" w:firstColumn="0" w:lastColumn="0" w:noHBand="0" w:noVBand="0"/>
      </w:tblPr>
      <w:tblGrid>
        <w:gridCol w:w="1728"/>
        <w:gridCol w:w="7740"/>
      </w:tblGrid>
      <w:tr w:rsidR="00FB384B" w:rsidTr="00EB399A">
        <w:trPr>
          <w:cantSplit/>
        </w:trPr>
        <w:tc>
          <w:tcPr>
            <w:tcW w:w="1728" w:type="dxa"/>
          </w:tcPr>
          <w:p w:rsidR="00FB384B" w:rsidRDefault="00FB384B" w:rsidP="00026546">
            <w:pPr>
              <w:pStyle w:val="Heading5"/>
            </w:pPr>
            <w:r>
              <w:t>Purpose</w:t>
            </w:r>
          </w:p>
        </w:tc>
        <w:tc>
          <w:tcPr>
            <w:tcW w:w="7740" w:type="dxa"/>
          </w:tcPr>
          <w:p w:rsidR="00FB384B" w:rsidRDefault="00EB399A" w:rsidP="00EB399A">
            <w:pPr>
              <w:pStyle w:val="BlockText"/>
              <w:jc w:val="left"/>
            </w:pPr>
            <w:r>
              <w:t>The purpose is to provide complete instructions for India ink preparation.  India detects presence of Cryptococcus neoformans (encapsulated yeast). The capsules surrounding the yeast are clearly visible in the India ink preparations.</w:t>
            </w:r>
          </w:p>
        </w:tc>
      </w:tr>
    </w:tbl>
    <w:p w:rsidR="006A107B" w:rsidRDefault="006A107B" w:rsidP="00EB399A">
      <w:pPr>
        <w:pStyle w:val="BlockLine"/>
        <w:ind w:left="0"/>
      </w:pPr>
    </w:p>
    <w:tbl>
      <w:tblPr>
        <w:tblW w:w="9738" w:type="dxa"/>
        <w:tblLayout w:type="fixed"/>
        <w:tblLook w:val="0000" w:firstRow="0" w:lastRow="0" w:firstColumn="0" w:lastColumn="0" w:noHBand="0" w:noVBand="0"/>
      </w:tblPr>
      <w:tblGrid>
        <w:gridCol w:w="1728"/>
        <w:gridCol w:w="8010"/>
      </w:tblGrid>
      <w:tr w:rsidR="00C85B6B"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rsidTr="003B6D53">
              <w:trPr>
                <w:cantSplit/>
              </w:trPr>
              <w:tc>
                <w:tcPr>
                  <w:tcW w:w="1728" w:type="dxa"/>
                </w:tcPr>
                <w:p w:rsidR="00C85B6B" w:rsidRPr="008D03D1" w:rsidRDefault="00C85B6B" w:rsidP="00C85B6B">
                  <w:pPr>
                    <w:pStyle w:val="Heading5"/>
                    <w:rPr>
                      <w:szCs w:val="22"/>
                    </w:rPr>
                  </w:pPr>
                  <w:r w:rsidRPr="008D03D1">
                    <w:rPr>
                      <w:szCs w:val="22"/>
                    </w:rPr>
                    <w:t>Workplace Safety</w:t>
                  </w:r>
                </w:p>
              </w:tc>
              <w:tc>
                <w:tcPr>
                  <w:tcW w:w="8010" w:type="dxa"/>
                </w:tcPr>
                <w:p w:rsidR="00C85B6B" w:rsidRPr="008D03D1" w:rsidRDefault="00C85B6B" w:rsidP="00C85B6B">
                  <w:pPr>
                    <w:rPr>
                      <w:sz w:val="22"/>
                      <w:szCs w:val="22"/>
                    </w:rPr>
                  </w:pPr>
                </w:p>
                <w:p w:rsidR="00C85B6B" w:rsidRPr="008D03D1" w:rsidRDefault="00C85B6B" w:rsidP="00C85B6B">
                  <w:pPr>
                    <w:rPr>
                      <w:sz w:val="22"/>
                      <w:szCs w:val="22"/>
                    </w:rPr>
                  </w:pPr>
                </w:p>
              </w:tc>
            </w:tr>
          </w:tbl>
          <w:p w:rsidR="00C85B6B" w:rsidRPr="008D03D1" w:rsidRDefault="00C85B6B" w:rsidP="00C85B6B">
            <w:pPr>
              <w:pStyle w:val="Heading5"/>
              <w:rPr>
                <w:szCs w:val="22"/>
              </w:rPr>
            </w:pPr>
          </w:p>
        </w:tc>
        <w:tc>
          <w:tcPr>
            <w:tcW w:w="8010" w:type="dxa"/>
          </w:tcPr>
          <w:p w:rsidR="00C85B6B" w:rsidRPr="008D03D1" w:rsidRDefault="00C85B6B" w:rsidP="00C85B6B">
            <w:pPr>
              <w:pStyle w:val="BlockText"/>
              <w:tabs>
                <w:tab w:val="left" w:pos="162"/>
              </w:tabs>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standard precautions and safety practices in the laboratory;  see </w:t>
            </w:r>
            <w:r w:rsidRPr="008D03D1">
              <w:rPr>
                <w:b/>
                <w:sz w:val="22"/>
                <w:szCs w:val="22"/>
              </w:rPr>
              <w:t>Safety Practices</w:t>
            </w:r>
            <w:r w:rsidRPr="008D03D1">
              <w:rPr>
                <w:sz w:val="22"/>
                <w:szCs w:val="22"/>
              </w:rPr>
              <w:t>, specifically, but not limited to, equipment safety, proper body mechanics, sharps exposure and proper use of personal protective equipment (PPE).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Universal Body Substance precautions, see </w:t>
            </w:r>
            <w:r w:rsidRPr="008D03D1">
              <w:rPr>
                <w:b/>
                <w:sz w:val="22"/>
                <w:szCs w:val="22"/>
              </w:rPr>
              <w:t>Universal Body Substance Precautions</w:t>
            </w:r>
            <w:r w:rsidRPr="008D03D1">
              <w:rPr>
                <w:sz w:val="22"/>
                <w:szCs w:val="22"/>
              </w:rPr>
              <w:t>, specifically, but not limited to, exposure to body fluids.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hand-washing, see </w:t>
            </w:r>
            <w:r w:rsidRPr="008D03D1">
              <w:rPr>
                <w:b/>
                <w:sz w:val="22"/>
                <w:szCs w:val="22"/>
              </w:rPr>
              <w:t>Hand washing Policy</w:t>
            </w:r>
            <w:r w:rsidRPr="008D03D1">
              <w:rPr>
                <w:sz w:val="22"/>
                <w:szCs w:val="22"/>
              </w:rPr>
              <w:t>, specifically, not limited to, proper hand-washing.</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infection control, see </w:t>
            </w:r>
            <w:r w:rsidRPr="008D03D1">
              <w:rPr>
                <w:b/>
                <w:sz w:val="22"/>
                <w:szCs w:val="22"/>
              </w:rPr>
              <w:t>Infection Control</w:t>
            </w:r>
            <w:r w:rsidRPr="008D03D1">
              <w:rPr>
                <w:sz w:val="22"/>
                <w:szCs w:val="22"/>
              </w:rPr>
              <w:t>, specifically, but not limited to, proper use of gloves.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handling of regular and infectious waste, see </w:t>
            </w:r>
            <w:r w:rsidRPr="008D03D1">
              <w:rPr>
                <w:b/>
                <w:sz w:val="22"/>
                <w:szCs w:val="22"/>
              </w:rPr>
              <w:t>Handling of Regular and Infectious Waste</w:t>
            </w:r>
            <w:r w:rsidRPr="008D03D1">
              <w:rPr>
                <w:sz w:val="22"/>
                <w:szCs w:val="22"/>
              </w:rPr>
              <w:t>, specifically, but not limited to, proper disposal of regular and biohazardous waste.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cleaning of work area, see </w:t>
            </w:r>
            <w:r w:rsidRPr="008D03D1">
              <w:rPr>
                <w:b/>
                <w:sz w:val="22"/>
                <w:szCs w:val="22"/>
              </w:rPr>
              <w:t>Cleaning Work Areas</w:t>
            </w:r>
            <w:r w:rsidRPr="008D03D1">
              <w:rPr>
                <w:sz w:val="22"/>
                <w:szCs w:val="22"/>
              </w:rPr>
              <w:t>.</w:t>
            </w:r>
          </w:p>
          <w:p w:rsidR="00C85B6B" w:rsidRPr="008D03D1" w:rsidRDefault="00C85B6B" w:rsidP="00C85B6B">
            <w:pPr>
              <w:pStyle w:val="BlockText"/>
              <w:numPr>
                <w:ilvl w:val="0"/>
                <w:numId w:val="20"/>
              </w:numPr>
              <w:ind w:left="523"/>
              <w:jc w:val="both"/>
              <w:rPr>
                <w:sz w:val="22"/>
                <w:szCs w:val="22"/>
              </w:rPr>
            </w:pPr>
            <w:r w:rsidRPr="008D03D1">
              <w:rPr>
                <w:sz w:val="22"/>
                <w:szCs w:val="22"/>
              </w:rPr>
              <w:t>For proper handling of chemicals and reagents, see the Chemical Hygiene Plan.</w:t>
            </w:r>
          </w:p>
          <w:p w:rsidR="00A01584" w:rsidRDefault="00C85B6B" w:rsidP="00C85B6B">
            <w:pPr>
              <w:pStyle w:val="BlockText"/>
              <w:numPr>
                <w:ilvl w:val="0"/>
                <w:numId w:val="20"/>
              </w:numPr>
              <w:tabs>
                <w:tab w:val="left" w:pos="162"/>
              </w:tabs>
              <w:ind w:left="523"/>
              <w:jc w:val="both"/>
              <w:rPr>
                <w:sz w:val="22"/>
                <w:szCs w:val="22"/>
              </w:rPr>
            </w:pPr>
            <w:r w:rsidRPr="008D03D1">
              <w:rPr>
                <w:sz w:val="22"/>
                <w:szCs w:val="22"/>
              </w:rPr>
              <w:t xml:space="preserve">For proper storage and disposal of chemical hazardous waste, see </w:t>
            </w:r>
            <w:r w:rsidRPr="008D03D1">
              <w:rPr>
                <w:b/>
                <w:sz w:val="22"/>
                <w:szCs w:val="22"/>
              </w:rPr>
              <w:t>Storage &amp; Disposal of Chemical Hazardous Waste</w:t>
            </w:r>
            <w:r w:rsidRPr="008D03D1">
              <w:rPr>
                <w:sz w:val="22"/>
                <w:szCs w:val="22"/>
              </w:rPr>
              <w:t xml:space="preserve">. </w:t>
            </w:r>
          </w:p>
          <w:p w:rsidR="00C85B6B" w:rsidRPr="008D03D1" w:rsidRDefault="00C85B6B" w:rsidP="00A01584">
            <w:pPr>
              <w:pStyle w:val="BlockText"/>
              <w:tabs>
                <w:tab w:val="left" w:pos="162"/>
              </w:tabs>
              <w:ind w:left="163"/>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rsidR="00D0664E" w:rsidRDefault="00D0664E">
      <w:pPr>
        <w:pStyle w:val="BlockLine"/>
      </w:pPr>
    </w:p>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FB384B" w:rsidRDefault="00FB384B" w:rsidP="000A0D43"/>
    <w:p w:rsidR="00FB384B" w:rsidRDefault="00FB384B" w:rsidP="000A0D43"/>
    <w:p w:rsidR="00FB384B" w:rsidRDefault="00FB384B" w:rsidP="000A0D43"/>
    <w:p w:rsidR="00FB384B" w:rsidRDefault="00FB384B" w:rsidP="000A0D43"/>
    <w:p w:rsidR="00FB384B" w:rsidRDefault="00FB384B" w:rsidP="000A0D43"/>
    <w:tbl>
      <w:tblPr>
        <w:tblW w:w="0" w:type="auto"/>
        <w:tblLayout w:type="fixed"/>
        <w:tblLook w:val="0000" w:firstRow="0" w:lastRow="0" w:firstColumn="0" w:lastColumn="0" w:noHBand="0" w:noVBand="0"/>
      </w:tblPr>
      <w:tblGrid>
        <w:gridCol w:w="1728"/>
        <w:gridCol w:w="7740"/>
      </w:tblGrid>
      <w:tr w:rsidR="00DA456B" w:rsidTr="00FD3B7C">
        <w:trPr>
          <w:cantSplit/>
        </w:trPr>
        <w:tc>
          <w:tcPr>
            <w:tcW w:w="1728" w:type="dxa"/>
          </w:tcPr>
          <w:p w:rsidR="00DA456B" w:rsidRDefault="00DA456B" w:rsidP="002B4269">
            <w:pPr>
              <w:pStyle w:val="Heading5"/>
            </w:pPr>
            <w:r>
              <w:lastRenderedPageBreak/>
              <w:t>Reagents and supplies</w:t>
            </w:r>
          </w:p>
        </w:tc>
        <w:tc>
          <w:tcPr>
            <w:tcW w:w="7740" w:type="dxa"/>
          </w:tcPr>
          <w:p w:rsidR="00DA456B" w:rsidRDefault="00DA456B" w:rsidP="00DA456B">
            <w:pPr>
              <w:pStyle w:val="BlockText"/>
              <w:jc w:val="left"/>
            </w:pPr>
            <w:r>
              <w:t>See below the list of reagents and supplies required.</w:t>
            </w:r>
          </w:p>
          <w:p w:rsidR="00DA456B" w:rsidRDefault="00DA456B" w:rsidP="00DA456B">
            <w:pPr>
              <w:pStyle w:val="BlockText"/>
              <w:jc w:val="left"/>
            </w:pPr>
            <w:proofErr w:type="spellStart"/>
            <w:r>
              <w:t>Micrsocope</w:t>
            </w:r>
            <w:proofErr w:type="spellEnd"/>
            <w:r>
              <w:t xml:space="preserve"> slides</w:t>
            </w:r>
          </w:p>
          <w:p w:rsidR="00DA456B" w:rsidRDefault="00DA456B" w:rsidP="00DA456B">
            <w:pPr>
              <w:pStyle w:val="BlockText"/>
              <w:jc w:val="left"/>
            </w:pPr>
            <w:r>
              <w:t>Coverslips</w:t>
            </w:r>
          </w:p>
          <w:p w:rsidR="00DA456B" w:rsidRDefault="00DA456B" w:rsidP="00DA456B">
            <w:pPr>
              <w:pStyle w:val="BlockText"/>
              <w:jc w:val="left"/>
            </w:pPr>
            <w:r>
              <w:t>Cotton swabs</w:t>
            </w:r>
          </w:p>
          <w:p w:rsidR="00DA456B" w:rsidRDefault="00DA456B" w:rsidP="00DA456B">
            <w:pPr>
              <w:pStyle w:val="BlockText"/>
              <w:jc w:val="left"/>
            </w:pPr>
            <w:r>
              <w:t>Pipettes</w:t>
            </w:r>
          </w:p>
          <w:p w:rsidR="00DA456B" w:rsidRDefault="00DA456B" w:rsidP="00DA456B">
            <w:pPr>
              <w:pStyle w:val="BlockText"/>
              <w:jc w:val="left"/>
            </w:pPr>
            <w:r>
              <w:t xml:space="preserve">India ink Control kit (positive and negative quality control) </w:t>
            </w:r>
          </w:p>
          <w:p w:rsidR="00DA456B" w:rsidRDefault="00DA456B" w:rsidP="00DA456B">
            <w:pPr>
              <w:pStyle w:val="BlockText"/>
              <w:jc w:val="left"/>
            </w:pPr>
            <w:r>
              <w:t xml:space="preserve">Higgins Waterproof India Ink (drawing ink), </w:t>
            </w:r>
            <w:proofErr w:type="spellStart"/>
            <w:r>
              <w:t>Pelikan</w:t>
            </w:r>
            <w:proofErr w:type="spellEnd"/>
            <w:r>
              <w:t xml:space="preserve"> Drawing Ink, No 17 (black) or comparable</w:t>
            </w:r>
          </w:p>
        </w:tc>
      </w:tr>
      <w:tr w:rsidR="00FD3B7C" w:rsidTr="00FD3B7C">
        <w:trPr>
          <w:cantSplit/>
        </w:trPr>
        <w:tc>
          <w:tcPr>
            <w:tcW w:w="1728" w:type="dxa"/>
          </w:tcPr>
          <w:p w:rsidR="00FD3B7C" w:rsidRDefault="00FD3B7C" w:rsidP="00045246">
            <w:pPr>
              <w:pStyle w:val="Heading5"/>
            </w:pPr>
            <w:r>
              <w:t>Specimen Stability</w:t>
            </w:r>
          </w:p>
        </w:tc>
        <w:tc>
          <w:tcPr>
            <w:tcW w:w="7740" w:type="dxa"/>
          </w:tcPr>
          <w:p w:rsidR="00FD3B7C" w:rsidRDefault="00FD3B7C" w:rsidP="00045246">
            <w:pPr>
              <w:pStyle w:val="BlockText"/>
              <w:jc w:val="left"/>
            </w:pPr>
            <w:r>
              <w:t>24 hours from time of collection – ambient temperature</w:t>
            </w:r>
          </w:p>
        </w:tc>
      </w:tr>
    </w:tbl>
    <w:p w:rsidR="00FD3B7C" w:rsidRDefault="00FD3B7C"/>
    <w:tbl>
      <w:tblPr>
        <w:tblW w:w="0" w:type="auto"/>
        <w:tblInd w:w="-108" w:type="dxa"/>
        <w:tblLayout w:type="fixed"/>
        <w:tblLook w:val="0000" w:firstRow="0" w:lastRow="0" w:firstColumn="0" w:lastColumn="0" w:noHBand="0" w:noVBand="0"/>
      </w:tblPr>
      <w:tblGrid>
        <w:gridCol w:w="1728"/>
        <w:gridCol w:w="7740"/>
      </w:tblGrid>
      <w:tr w:rsidR="00DA456B" w:rsidTr="00DA456B">
        <w:trPr>
          <w:cantSplit/>
        </w:trPr>
        <w:tc>
          <w:tcPr>
            <w:tcW w:w="1728" w:type="dxa"/>
          </w:tcPr>
          <w:p w:rsidR="00DA456B" w:rsidRDefault="00DA456B" w:rsidP="00FD3B7C">
            <w:pPr>
              <w:pStyle w:val="Heading5"/>
              <w:ind w:left="90"/>
            </w:pPr>
            <w:r>
              <w:t xml:space="preserve">Procedure </w:t>
            </w:r>
          </w:p>
        </w:tc>
        <w:tc>
          <w:tcPr>
            <w:tcW w:w="7740" w:type="dxa"/>
          </w:tcPr>
          <w:p w:rsidR="00DA456B" w:rsidRDefault="00DA456B" w:rsidP="00DA456B">
            <w:pPr>
              <w:pStyle w:val="BlockText"/>
              <w:jc w:val="left"/>
            </w:pPr>
            <w:r>
              <w:t xml:space="preserve">CSF, sputum, other </w:t>
            </w:r>
            <w:proofErr w:type="spellStart"/>
            <w:r>
              <w:t>excudates</w:t>
            </w:r>
            <w:proofErr w:type="spellEnd"/>
            <w:r>
              <w:t xml:space="preserve"> and tissue are suitable specimens for India ink preparations.  Follow the directions outlined below to make an India ink preparation.</w:t>
            </w:r>
          </w:p>
        </w:tc>
      </w:tr>
    </w:tbl>
    <w:p w:rsidR="00DA456B" w:rsidRPr="005905C6" w:rsidRDefault="00DA456B" w:rsidP="00DA456B"/>
    <w:tbl>
      <w:tblPr>
        <w:tblW w:w="0" w:type="auto"/>
        <w:tblInd w:w="1829" w:type="dxa"/>
        <w:tblLayout w:type="fixed"/>
        <w:tblLook w:val="0000" w:firstRow="0" w:lastRow="0" w:firstColumn="0" w:lastColumn="0" w:noHBand="0" w:noVBand="0"/>
      </w:tblPr>
      <w:tblGrid>
        <w:gridCol w:w="878"/>
        <w:gridCol w:w="6670"/>
      </w:tblGrid>
      <w:tr w:rsidR="00DA456B" w:rsidTr="002B4269">
        <w:trPr>
          <w:cantSplit/>
          <w:trHeight w:val="327"/>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HeaderText"/>
            </w:pPr>
            <w:r>
              <w:t>Step</w:t>
            </w:r>
          </w:p>
        </w:tc>
        <w:tc>
          <w:tcPr>
            <w:tcW w:w="6670" w:type="dxa"/>
            <w:tcBorders>
              <w:top w:val="single" w:sz="6" w:space="0" w:color="auto"/>
              <w:bottom w:val="single" w:sz="6" w:space="0" w:color="auto"/>
              <w:right w:val="single" w:sz="6" w:space="0" w:color="auto"/>
            </w:tcBorders>
          </w:tcPr>
          <w:p w:rsidR="00DA456B" w:rsidRDefault="00DA456B" w:rsidP="002B4269">
            <w:pPr>
              <w:pStyle w:val="TableHeaderText"/>
            </w:pPr>
            <w:r>
              <w:t>Action</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Pr="009E14C6" w:rsidRDefault="00DA456B" w:rsidP="002B4269">
            <w:pPr>
              <w:pStyle w:val="TableHeaderText"/>
              <w:rPr>
                <w:b w:val="0"/>
              </w:rPr>
            </w:pPr>
            <w:r>
              <w:rPr>
                <w:b w:val="0"/>
              </w:rPr>
              <w:t xml:space="preserve">A </w:t>
            </w:r>
          </w:p>
        </w:tc>
        <w:tc>
          <w:tcPr>
            <w:tcW w:w="6670" w:type="dxa"/>
            <w:tcBorders>
              <w:top w:val="single" w:sz="6" w:space="0" w:color="auto"/>
              <w:bottom w:val="single" w:sz="6" w:space="0" w:color="auto"/>
              <w:right w:val="single" w:sz="6" w:space="0" w:color="auto"/>
            </w:tcBorders>
          </w:tcPr>
          <w:p w:rsidR="00DA456B" w:rsidRDefault="00DA456B" w:rsidP="002B4269">
            <w:pPr>
              <w:pStyle w:val="TableHeaderText"/>
              <w:jc w:val="left"/>
              <w:rPr>
                <w:b w:val="0"/>
              </w:rPr>
            </w:pPr>
            <w:r>
              <w:rPr>
                <w:b w:val="0"/>
              </w:rPr>
              <w:t>Verify that controls have been run on the day of testing.  If not run controls prior to reporting patients.</w:t>
            </w:r>
          </w:p>
          <w:p w:rsidR="00DA456B" w:rsidRDefault="00DA456B" w:rsidP="002B4269">
            <w:pPr>
              <w:pStyle w:val="TableHeaderText"/>
              <w:jc w:val="left"/>
              <w:rPr>
                <w:b w:val="0"/>
              </w:rPr>
            </w:pPr>
            <w:r>
              <w:rPr>
                <w:b w:val="0"/>
              </w:rPr>
              <w:t>Note: You can run additional control with each sample if desired to aid test interpretation if desired.</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Pr="009E14C6" w:rsidRDefault="00DA456B" w:rsidP="002B4269">
            <w:pPr>
              <w:pStyle w:val="TableHeaderText"/>
              <w:rPr>
                <w:b w:val="0"/>
              </w:rPr>
            </w:pPr>
            <w:r w:rsidRPr="009E14C6">
              <w:rPr>
                <w:b w:val="0"/>
              </w:rPr>
              <w:t>A</w:t>
            </w:r>
          </w:p>
        </w:tc>
        <w:tc>
          <w:tcPr>
            <w:tcW w:w="6670" w:type="dxa"/>
            <w:tcBorders>
              <w:top w:val="single" w:sz="6" w:space="0" w:color="auto"/>
              <w:bottom w:val="single" w:sz="6" w:space="0" w:color="auto"/>
              <w:right w:val="single" w:sz="6" w:space="0" w:color="auto"/>
            </w:tcBorders>
          </w:tcPr>
          <w:p w:rsidR="00DA456B" w:rsidRPr="009E14C6" w:rsidRDefault="00DA456B" w:rsidP="002B4269">
            <w:pPr>
              <w:pStyle w:val="TableHeaderText"/>
              <w:jc w:val="left"/>
              <w:rPr>
                <w:b w:val="0"/>
              </w:rPr>
            </w:pPr>
            <w:r>
              <w:rPr>
                <w:b w:val="0"/>
              </w:rPr>
              <w:t xml:space="preserve">Mix a small amount of specimen with a small drop of India ink on a clean slide.  </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B</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Cover with 22x40 mm glass coverslip</w:t>
            </w:r>
          </w:p>
        </w:tc>
      </w:tr>
      <w:tr w:rsidR="00DA456B" w:rsidTr="002B4269">
        <w:trPr>
          <w:cantSplit/>
          <w:trHeight w:val="507"/>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C</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The preparation should be thin.  If necessary apply gentle pressure to obtain a thin slide.</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D</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Scan under low power, using reduced light.</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E</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 xml:space="preserve">Switch to high power to examine for presence of encapsulated yeast cells.  The mucoid capsules appear as a clear halo that surrounds the yeast cell or lies between the cell wall and the surrounding black mass of India Ink particles.  Capsules may be broad or narrow.  The yeast cells </w:t>
            </w:r>
            <w:proofErr w:type="spellStart"/>
            <w:r>
              <w:t>my</w:t>
            </w:r>
            <w:proofErr w:type="spellEnd"/>
            <w:r>
              <w:t xml:space="preserve"> be oval, round or elongated.  Buds may be absent, single or rarely multiple.  The buds may be detached from the mother cell, but enclosed in a common capsule.</w:t>
            </w:r>
          </w:p>
        </w:tc>
      </w:tr>
    </w:tbl>
    <w:p w:rsidR="00DA456B" w:rsidRDefault="00DA456B" w:rsidP="00DA456B">
      <w:pPr>
        <w:pStyle w:val="BlockLine"/>
      </w:pPr>
      <w:r>
        <w:t xml:space="preserve"> </w:t>
      </w:r>
    </w:p>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tbl>
      <w:tblPr>
        <w:tblW w:w="0" w:type="auto"/>
        <w:tblLayout w:type="fixed"/>
        <w:tblLook w:val="0000" w:firstRow="0" w:lastRow="0" w:firstColumn="0" w:lastColumn="0" w:noHBand="0" w:noVBand="0"/>
      </w:tblPr>
      <w:tblGrid>
        <w:gridCol w:w="1728"/>
        <w:gridCol w:w="7740"/>
      </w:tblGrid>
      <w:tr w:rsidR="00DA456B" w:rsidTr="002B4269">
        <w:trPr>
          <w:cantSplit/>
        </w:trPr>
        <w:tc>
          <w:tcPr>
            <w:tcW w:w="1728" w:type="dxa"/>
          </w:tcPr>
          <w:p w:rsidR="00DA456B" w:rsidRDefault="00DA456B" w:rsidP="002B4269">
            <w:pPr>
              <w:pStyle w:val="Heading5"/>
            </w:pPr>
            <w:bookmarkStart w:id="0" w:name="_GoBack"/>
            <w:bookmarkEnd w:id="0"/>
            <w:r>
              <w:t>Resulting and Interpretation</w:t>
            </w:r>
          </w:p>
        </w:tc>
        <w:tc>
          <w:tcPr>
            <w:tcW w:w="7740" w:type="dxa"/>
          </w:tcPr>
          <w:p w:rsidR="00DA456B" w:rsidRDefault="00DA456B" w:rsidP="002B4269">
            <w:pPr>
              <w:pStyle w:val="BlockText"/>
            </w:pPr>
          </w:p>
          <w:tbl>
            <w:tblPr>
              <w:tblW w:w="7548" w:type="dxa"/>
              <w:tblLayout w:type="fixed"/>
              <w:tblLook w:val="0000" w:firstRow="0" w:lastRow="0" w:firstColumn="0" w:lastColumn="0" w:noHBand="0" w:noVBand="0"/>
            </w:tblPr>
            <w:tblGrid>
              <w:gridCol w:w="878"/>
              <w:gridCol w:w="6670"/>
            </w:tblGrid>
            <w:tr w:rsidR="00DA456B" w:rsidTr="002B4269">
              <w:trPr>
                <w:cantSplit/>
                <w:trHeight w:val="327"/>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HeaderText"/>
                  </w:pPr>
                  <w:r>
                    <w:t>Step</w:t>
                  </w:r>
                </w:p>
              </w:tc>
              <w:tc>
                <w:tcPr>
                  <w:tcW w:w="6670" w:type="dxa"/>
                  <w:tcBorders>
                    <w:top w:val="single" w:sz="6" w:space="0" w:color="auto"/>
                    <w:bottom w:val="single" w:sz="6" w:space="0" w:color="auto"/>
                    <w:right w:val="single" w:sz="6" w:space="0" w:color="auto"/>
                  </w:tcBorders>
                </w:tcPr>
                <w:p w:rsidR="00DA456B" w:rsidRDefault="00DA456B" w:rsidP="002B4269">
                  <w:pPr>
                    <w:pStyle w:val="TableHeaderText"/>
                  </w:pPr>
                  <w:r>
                    <w:t>Action</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Pr="009E14C6" w:rsidRDefault="00DA456B" w:rsidP="002B4269">
                  <w:pPr>
                    <w:pStyle w:val="TableHeaderText"/>
                    <w:rPr>
                      <w:b w:val="0"/>
                    </w:rPr>
                  </w:pPr>
                  <w:r>
                    <w:rPr>
                      <w:b w:val="0"/>
                    </w:rPr>
                    <w:t>1</w:t>
                  </w:r>
                </w:p>
              </w:tc>
              <w:tc>
                <w:tcPr>
                  <w:tcW w:w="6670" w:type="dxa"/>
                  <w:tcBorders>
                    <w:top w:val="single" w:sz="6" w:space="0" w:color="auto"/>
                    <w:bottom w:val="single" w:sz="6" w:space="0" w:color="auto"/>
                    <w:right w:val="single" w:sz="6" w:space="0" w:color="auto"/>
                  </w:tcBorders>
                </w:tcPr>
                <w:p w:rsidR="00DA456B" w:rsidRDefault="00DA456B" w:rsidP="002B4269">
                  <w:pPr>
                    <w:pStyle w:val="BlockText"/>
                  </w:pPr>
                  <w:r>
                    <w:t xml:space="preserve">Report results in Cerner using the Microbiology Result Entry app  </w:t>
                  </w:r>
                  <w:r>
                    <w:object w:dxaOrig="6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PBrush" ShapeID="_x0000_i1025" DrawAspect="Content" ObjectID="_1640415520" r:id="rId8"/>
                    </w:object>
                  </w:r>
                </w:p>
                <w:p w:rsidR="00DA456B" w:rsidRDefault="00DA456B" w:rsidP="002B4269">
                  <w:pPr>
                    <w:pStyle w:val="TableHeaderText"/>
                    <w:jc w:val="left"/>
                    <w:rPr>
                      <w:b w:val="0"/>
                    </w:rPr>
                  </w:pP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Pr="009E14C6" w:rsidRDefault="00DA456B" w:rsidP="002B4269">
                  <w:pPr>
                    <w:pStyle w:val="TableHeaderText"/>
                    <w:rPr>
                      <w:b w:val="0"/>
                    </w:rPr>
                  </w:pPr>
                  <w:r>
                    <w:rPr>
                      <w:b w:val="0"/>
                    </w:rPr>
                    <w:t>2</w:t>
                  </w:r>
                </w:p>
              </w:tc>
              <w:tc>
                <w:tcPr>
                  <w:tcW w:w="6670" w:type="dxa"/>
                  <w:tcBorders>
                    <w:top w:val="single" w:sz="6" w:space="0" w:color="auto"/>
                    <w:bottom w:val="single" w:sz="6" w:space="0" w:color="auto"/>
                    <w:right w:val="single" w:sz="6" w:space="0" w:color="auto"/>
                  </w:tcBorders>
                </w:tcPr>
                <w:p w:rsidR="00DA456B" w:rsidRPr="009E14C6" w:rsidRDefault="00DA456B" w:rsidP="002B4269">
                  <w:pPr>
                    <w:pStyle w:val="TableHeaderText"/>
                    <w:jc w:val="left"/>
                    <w:rPr>
                      <w:b w:val="0"/>
                    </w:rPr>
                  </w:pPr>
                  <w:r>
                    <w:rPr>
                      <w:b w:val="0"/>
                    </w:rPr>
                    <w:t>Enter “FIN” in entry field for final reporting, a Final Report window will pop out.</w: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3a</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 xml:space="preserve">For </w:t>
                  </w:r>
                  <w:r w:rsidRPr="00ED5B4A">
                    <w:rPr>
                      <w:b/>
                    </w:rPr>
                    <w:t>positive encapsulated yeast cell(s)</w:t>
                  </w:r>
                  <w:r>
                    <w:t xml:space="preserve"> seen, enter result codes on cells provided: EYS. These codes will create chart result as </w:t>
                  </w:r>
                  <w:proofErr w:type="gramStart"/>
                  <w:r>
                    <w:t>“ Encapsulated</w:t>
                  </w:r>
                  <w:proofErr w:type="gramEnd"/>
                  <w:r>
                    <w:t xml:space="preserve"> yeast seen.</w:t>
                  </w:r>
                  <w:r w:rsidR="008350C7">
                    <w:t>”</w:t>
                  </w:r>
                </w:p>
                <w:p w:rsidR="00DA456B" w:rsidRDefault="008350C7" w:rsidP="002B4269">
                  <w:pPr>
                    <w:pStyle w:val="TableText"/>
                  </w:pPr>
                  <w:r>
                    <w:object w:dxaOrig="4905" w:dyaOrig="5580">
                      <v:shape id="_x0000_i1029" type="#_x0000_t75" style="width:195pt;height:222pt" o:ole="">
                        <v:imagedata r:id="rId9" o:title=""/>
                      </v:shape>
                      <o:OLEObject Type="Embed" ProgID="PBrush" ShapeID="_x0000_i1029" DrawAspect="Content" ObjectID="_1640415521" r:id="rId10"/>
                    </w:object>
                  </w:r>
                </w:p>
              </w:tc>
            </w:tr>
          </w:tbl>
          <w:p w:rsidR="00DA456B" w:rsidRDefault="00DA456B" w:rsidP="002B4269"/>
          <w:p w:rsidR="00DA456B" w:rsidRDefault="00DA456B" w:rsidP="002B4269"/>
          <w:p w:rsidR="00DA456B" w:rsidRDefault="00DA456B" w:rsidP="002B4269"/>
          <w:p w:rsidR="00DA456B" w:rsidRDefault="00DA456B" w:rsidP="002B4269"/>
          <w:p w:rsidR="00DA456B" w:rsidRDefault="00DA456B" w:rsidP="002B4269"/>
          <w:p w:rsidR="00DA456B" w:rsidRDefault="00DA456B" w:rsidP="002B4269"/>
          <w:p w:rsidR="00DA456B" w:rsidRDefault="00DA456B" w:rsidP="002B4269"/>
          <w:p w:rsidR="00DA456B" w:rsidRDefault="00DA456B" w:rsidP="002B4269"/>
          <w:p w:rsidR="00DA456B" w:rsidRDefault="00DA456B" w:rsidP="002B4269">
            <w:pPr>
              <w:pStyle w:val="BlockText"/>
            </w:pPr>
          </w:p>
        </w:tc>
      </w:tr>
    </w:tbl>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p w:rsidR="00DA456B" w:rsidRDefault="00DA456B" w:rsidP="00DA456B"/>
    <w:tbl>
      <w:tblPr>
        <w:tblW w:w="0" w:type="auto"/>
        <w:tblLayout w:type="fixed"/>
        <w:tblLook w:val="0000" w:firstRow="0" w:lastRow="0" w:firstColumn="0" w:lastColumn="0" w:noHBand="0" w:noVBand="0"/>
      </w:tblPr>
      <w:tblGrid>
        <w:gridCol w:w="1728"/>
        <w:gridCol w:w="7740"/>
      </w:tblGrid>
      <w:tr w:rsidR="00DA456B" w:rsidTr="002B4269">
        <w:trPr>
          <w:cantSplit/>
        </w:trPr>
        <w:tc>
          <w:tcPr>
            <w:tcW w:w="1728" w:type="dxa"/>
          </w:tcPr>
          <w:p w:rsidR="00DA456B" w:rsidRDefault="00DA456B" w:rsidP="002B4269">
            <w:pPr>
              <w:pStyle w:val="Heading5"/>
            </w:pPr>
            <w:r>
              <w:t xml:space="preserve">Resulting and Interpretation, </w:t>
            </w:r>
            <w:r w:rsidRPr="00B150D3">
              <w:rPr>
                <w:b w:val="0"/>
              </w:rPr>
              <w:t>continued</w:t>
            </w:r>
          </w:p>
        </w:tc>
        <w:tc>
          <w:tcPr>
            <w:tcW w:w="7740" w:type="dxa"/>
          </w:tcPr>
          <w:p w:rsidR="00DA456B" w:rsidRDefault="00DA456B" w:rsidP="002B4269"/>
          <w:tbl>
            <w:tblPr>
              <w:tblW w:w="7548" w:type="dxa"/>
              <w:tblLayout w:type="fixed"/>
              <w:tblLook w:val="0000" w:firstRow="0" w:lastRow="0" w:firstColumn="0" w:lastColumn="0" w:noHBand="0" w:noVBand="0"/>
            </w:tblPr>
            <w:tblGrid>
              <w:gridCol w:w="878"/>
              <w:gridCol w:w="6670"/>
            </w:tblGrid>
            <w:tr w:rsidR="00DA456B" w:rsidTr="002B4269">
              <w:trPr>
                <w:cantSplit/>
                <w:trHeight w:val="507"/>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3b</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 xml:space="preserve">For </w:t>
                  </w:r>
                  <w:r w:rsidRPr="00ED5B4A">
                    <w:rPr>
                      <w:b/>
                    </w:rPr>
                    <w:t>negative encapsulated yeast cell(s)</w:t>
                  </w:r>
                  <w:r>
                    <w:t xml:space="preserve"> seen, enter result codes on cells provided:  NEYS. These codes will create chart result as “ No Encapsulated yeast seen”</w:t>
                  </w:r>
                </w:p>
                <w:p w:rsidR="00DA456B" w:rsidRDefault="00DA456B" w:rsidP="002B4269">
                  <w:pPr>
                    <w:pStyle w:val="TableText"/>
                  </w:pPr>
                  <w:r>
                    <w:object w:dxaOrig="3465" w:dyaOrig="4500">
                      <v:shape id="_x0000_i1027" type="#_x0000_t75" style="width:173.25pt;height:225pt" o:ole="">
                        <v:imagedata r:id="rId11" o:title=""/>
                      </v:shape>
                      <o:OLEObject Type="Embed" ProgID="PBrush" ShapeID="_x0000_i1027" DrawAspect="Content" ObjectID="_1640415522" r:id="rId12"/>
                    </w:object>
                  </w:r>
                </w:p>
              </w:tc>
            </w:tr>
            <w:tr w:rsidR="00DA456B" w:rsidTr="002B4269">
              <w:trPr>
                <w:cantSplit/>
              </w:trPr>
              <w:tc>
                <w:tcPr>
                  <w:tcW w:w="878" w:type="dxa"/>
                  <w:tcBorders>
                    <w:top w:val="single" w:sz="6" w:space="0" w:color="auto"/>
                    <w:left w:val="single" w:sz="6" w:space="0" w:color="auto"/>
                    <w:bottom w:val="single" w:sz="6" w:space="0" w:color="auto"/>
                    <w:right w:val="single" w:sz="6" w:space="0" w:color="auto"/>
                  </w:tcBorders>
                </w:tcPr>
                <w:p w:rsidR="00DA456B" w:rsidRDefault="00DA456B" w:rsidP="002B4269">
                  <w:pPr>
                    <w:pStyle w:val="TableText"/>
                    <w:jc w:val="center"/>
                  </w:pPr>
                  <w:r>
                    <w:t>4</w:t>
                  </w:r>
                </w:p>
              </w:tc>
              <w:tc>
                <w:tcPr>
                  <w:tcW w:w="6670" w:type="dxa"/>
                  <w:tcBorders>
                    <w:top w:val="single" w:sz="6" w:space="0" w:color="auto"/>
                    <w:bottom w:val="single" w:sz="6" w:space="0" w:color="auto"/>
                    <w:right w:val="single" w:sz="6" w:space="0" w:color="auto"/>
                  </w:tcBorders>
                </w:tcPr>
                <w:p w:rsidR="00DA456B" w:rsidRDefault="00DA456B" w:rsidP="002B4269">
                  <w:pPr>
                    <w:pStyle w:val="TableText"/>
                  </w:pPr>
                  <w:r>
                    <w:t xml:space="preserve">Click </w:t>
                  </w:r>
                  <w:r w:rsidRPr="00710102">
                    <w:rPr>
                      <w:b/>
                    </w:rPr>
                    <w:t>Verify</w:t>
                  </w:r>
                  <w:r>
                    <w:t xml:space="preserve"> to report desired results. </w:t>
                  </w:r>
                </w:p>
                <w:p w:rsidR="00DA456B" w:rsidRDefault="00DA456B" w:rsidP="002B4269">
                  <w:pPr>
                    <w:pStyle w:val="TableText"/>
                  </w:pPr>
                  <w:r w:rsidRPr="00710102">
                    <w:rPr>
                      <w:i/>
                    </w:rPr>
                    <w:t xml:space="preserve">Note: You can Press F2 to see </w:t>
                  </w:r>
                  <w:r>
                    <w:rPr>
                      <w:i/>
                    </w:rPr>
                    <w:t>Result Responses(Result Codes</w:t>
                  </w:r>
                  <w:r w:rsidRPr="00710102">
                    <w:rPr>
                      <w:i/>
                    </w:rPr>
                    <w:t>)</w:t>
                  </w:r>
                  <w:r>
                    <w:rPr>
                      <w:i/>
                    </w:rPr>
                    <w:t>during Final Reporting</w:t>
                  </w:r>
                </w:p>
              </w:tc>
            </w:tr>
          </w:tbl>
          <w:p w:rsidR="00DA456B" w:rsidRDefault="00DA456B" w:rsidP="002B4269">
            <w:pPr>
              <w:pStyle w:val="BlockText"/>
            </w:pPr>
          </w:p>
        </w:tc>
      </w:tr>
    </w:tbl>
    <w:p w:rsidR="00DA456B" w:rsidRDefault="00DA456B" w:rsidP="00DA456B"/>
    <w:p w:rsidR="00710C83" w:rsidRPr="00710C83" w:rsidRDefault="00710C83" w:rsidP="00710C83"/>
    <w:tbl>
      <w:tblPr>
        <w:tblW w:w="9738" w:type="dxa"/>
        <w:tblLayout w:type="fixed"/>
        <w:tblLook w:val="0000" w:firstRow="0" w:lastRow="0" w:firstColumn="0" w:lastColumn="0" w:noHBand="0" w:noVBand="0"/>
      </w:tblPr>
      <w:tblGrid>
        <w:gridCol w:w="1728"/>
        <w:gridCol w:w="8010"/>
      </w:tblGrid>
      <w:tr w:rsidR="00A9592D" w:rsidTr="00A9592D">
        <w:trPr>
          <w:cantSplit/>
        </w:trPr>
        <w:tc>
          <w:tcPr>
            <w:tcW w:w="1728" w:type="dxa"/>
          </w:tcPr>
          <w:p w:rsidR="00A9592D" w:rsidRPr="00781F79" w:rsidRDefault="00710C83" w:rsidP="003B6D53">
            <w:pPr>
              <w:pStyle w:val="Heading5"/>
            </w:pPr>
            <w:r>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9592D" w:rsidTr="00710C83">
              <w:tc>
                <w:tcPr>
                  <w:tcW w:w="2407" w:type="dxa"/>
                  <w:shd w:val="clear" w:color="auto" w:fill="auto"/>
                </w:tcPr>
                <w:p w:rsidR="00A9592D" w:rsidRPr="007D3E52" w:rsidRDefault="00A9592D" w:rsidP="003B6D53">
                  <w:pPr>
                    <w:pStyle w:val="BlockText"/>
                    <w:rPr>
                      <w:b/>
                    </w:rPr>
                  </w:pPr>
                  <w:r w:rsidRPr="007D3E52">
                    <w:rPr>
                      <w:b/>
                    </w:rPr>
                    <w:t>Document Number</w:t>
                  </w:r>
                </w:p>
              </w:tc>
              <w:tc>
                <w:tcPr>
                  <w:tcW w:w="5102" w:type="dxa"/>
                  <w:shd w:val="clear" w:color="auto" w:fill="auto"/>
                </w:tcPr>
                <w:p w:rsidR="00A9592D" w:rsidRPr="007D3E52" w:rsidRDefault="00A9592D" w:rsidP="003B6D53">
                  <w:pPr>
                    <w:pStyle w:val="BlockText"/>
                    <w:rPr>
                      <w:b/>
                    </w:rPr>
                  </w:pPr>
                  <w:r w:rsidRPr="007D3E52">
                    <w:rPr>
                      <w:b/>
                    </w:rPr>
                    <w:t>Document Name</w:t>
                  </w:r>
                </w:p>
              </w:tc>
            </w:tr>
            <w:tr w:rsidR="00A9592D" w:rsidTr="00710C83">
              <w:tc>
                <w:tcPr>
                  <w:tcW w:w="2407" w:type="dxa"/>
                  <w:shd w:val="clear" w:color="auto" w:fill="auto"/>
                </w:tcPr>
                <w:p w:rsidR="00A9592D" w:rsidRDefault="00A9592D" w:rsidP="003B6D53">
                  <w:pPr>
                    <w:pStyle w:val="BlockText"/>
                  </w:pPr>
                  <w:r>
                    <w:t>LAMC-PPP-0123</w:t>
                  </w:r>
                </w:p>
              </w:tc>
              <w:tc>
                <w:tcPr>
                  <w:tcW w:w="5102" w:type="dxa"/>
                  <w:shd w:val="clear" w:color="auto" w:fill="auto"/>
                </w:tcPr>
                <w:p w:rsidR="00A9592D" w:rsidRDefault="00A9592D" w:rsidP="003B6D53">
                  <w:pPr>
                    <w:pStyle w:val="BlockText"/>
                    <w:jc w:val="left"/>
                  </w:pPr>
                  <w:r>
                    <w:t>Safety Practices</w:t>
                  </w:r>
                </w:p>
              </w:tc>
            </w:tr>
            <w:tr w:rsidR="00A9592D" w:rsidTr="00710C83">
              <w:tc>
                <w:tcPr>
                  <w:tcW w:w="2407" w:type="dxa"/>
                  <w:shd w:val="clear" w:color="auto" w:fill="auto"/>
                </w:tcPr>
                <w:p w:rsidR="00A9592D" w:rsidRDefault="00A9592D" w:rsidP="003B6D53">
                  <w:pPr>
                    <w:jc w:val="center"/>
                  </w:pPr>
                  <w:r w:rsidRPr="00C01AA8">
                    <w:t>LAMC-PPP-012</w:t>
                  </w:r>
                  <w:r>
                    <w:t>7</w:t>
                  </w:r>
                </w:p>
              </w:tc>
              <w:tc>
                <w:tcPr>
                  <w:tcW w:w="5102" w:type="dxa"/>
                  <w:shd w:val="clear" w:color="auto" w:fill="auto"/>
                </w:tcPr>
                <w:p w:rsidR="00A9592D" w:rsidRDefault="00A9592D" w:rsidP="003B6D53">
                  <w:pPr>
                    <w:pStyle w:val="BlockText"/>
                    <w:jc w:val="left"/>
                  </w:pPr>
                  <w:r>
                    <w:t>Infection Control</w:t>
                  </w:r>
                </w:p>
              </w:tc>
            </w:tr>
            <w:tr w:rsidR="00A9592D" w:rsidTr="00710C83">
              <w:tc>
                <w:tcPr>
                  <w:tcW w:w="2407" w:type="dxa"/>
                  <w:shd w:val="clear" w:color="auto" w:fill="auto"/>
                </w:tcPr>
                <w:p w:rsidR="00A9592D" w:rsidRDefault="00A9592D" w:rsidP="003B6D53">
                  <w:pPr>
                    <w:jc w:val="center"/>
                  </w:pPr>
                  <w:r w:rsidRPr="00C01AA8">
                    <w:t>LAMC-PPP-012</w:t>
                  </w:r>
                  <w:r>
                    <w:t>8</w:t>
                  </w:r>
                </w:p>
              </w:tc>
              <w:tc>
                <w:tcPr>
                  <w:tcW w:w="5102" w:type="dxa"/>
                  <w:shd w:val="clear" w:color="auto" w:fill="auto"/>
                </w:tcPr>
                <w:p w:rsidR="00A9592D" w:rsidRDefault="00A9592D" w:rsidP="003B6D53">
                  <w:pPr>
                    <w:pStyle w:val="BlockText"/>
                    <w:jc w:val="left"/>
                  </w:pPr>
                  <w:r>
                    <w:t>Universal Body Substance Precaution</w:t>
                  </w:r>
                </w:p>
              </w:tc>
            </w:tr>
            <w:tr w:rsidR="00A9592D" w:rsidTr="00710C83">
              <w:tc>
                <w:tcPr>
                  <w:tcW w:w="2407" w:type="dxa"/>
                  <w:shd w:val="clear" w:color="auto" w:fill="auto"/>
                </w:tcPr>
                <w:p w:rsidR="00A9592D" w:rsidRDefault="00A9592D" w:rsidP="003B6D53">
                  <w:pPr>
                    <w:jc w:val="center"/>
                  </w:pPr>
                  <w:r w:rsidRPr="00C01AA8">
                    <w:t>LAMC-PPP-012</w:t>
                  </w:r>
                  <w:r>
                    <w:t>9</w:t>
                  </w:r>
                </w:p>
              </w:tc>
              <w:tc>
                <w:tcPr>
                  <w:tcW w:w="5102" w:type="dxa"/>
                  <w:shd w:val="clear" w:color="auto" w:fill="auto"/>
                </w:tcPr>
                <w:p w:rsidR="00A9592D" w:rsidRDefault="00A9592D" w:rsidP="003B6D53">
                  <w:pPr>
                    <w:pStyle w:val="BlockText"/>
                    <w:jc w:val="left"/>
                  </w:pPr>
                  <w:r>
                    <w:t>Handling of Regular and Infectious Waste</w:t>
                  </w:r>
                </w:p>
              </w:tc>
            </w:tr>
            <w:tr w:rsidR="00A9592D" w:rsidTr="00710C83">
              <w:tc>
                <w:tcPr>
                  <w:tcW w:w="2407" w:type="dxa"/>
                  <w:shd w:val="clear" w:color="auto" w:fill="auto"/>
                </w:tcPr>
                <w:p w:rsidR="00A9592D" w:rsidRDefault="00A9592D" w:rsidP="003B6D53">
                  <w:pPr>
                    <w:jc w:val="center"/>
                  </w:pPr>
                  <w:r>
                    <w:t>LAMC-PPP-0130</w:t>
                  </w:r>
                </w:p>
              </w:tc>
              <w:tc>
                <w:tcPr>
                  <w:tcW w:w="5102" w:type="dxa"/>
                  <w:shd w:val="clear" w:color="auto" w:fill="auto"/>
                </w:tcPr>
                <w:p w:rsidR="00A9592D" w:rsidRDefault="00A9592D" w:rsidP="003B6D53">
                  <w:pPr>
                    <w:pStyle w:val="BlockText"/>
                    <w:jc w:val="left"/>
                  </w:pPr>
                  <w:r>
                    <w:t>Cleaning Work Areas</w:t>
                  </w:r>
                </w:p>
              </w:tc>
            </w:tr>
            <w:tr w:rsidR="00A9592D" w:rsidTr="00710C83">
              <w:tc>
                <w:tcPr>
                  <w:tcW w:w="2407" w:type="dxa"/>
                  <w:shd w:val="clear" w:color="auto" w:fill="auto"/>
                </w:tcPr>
                <w:p w:rsidR="00A9592D" w:rsidRDefault="00A9592D" w:rsidP="003B6D53">
                  <w:pPr>
                    <w:jc w:val="center"/>
                  </w:pPr>
                  <w:r>
                    <w:t>LAMC-PPP-0132</w:t>
                  </w:r>
                </w:p>
              </w:tc>
              <w:tc>
                <w:tcPr>
                  <w:tcW w:w="5102" w:type="dxa"/>
                  <w:shd w:val="clear" w:color="auto" w:fill="auto"/>
                </w:tcPr>
                <w:p w:rsidR="00A9592D" w:rsidRDefault="00A9592D" w:rsidP="003B6D53">
                  <w:pPr>
                    <w:pStyle w:val="BlockText"/>
                    <w:jc w:val="left"/>
                  </w:pPr>
                  <w:r>
                    <w:t>Hand-washing Policy</w:t>
                  </w:r>
                </w:p>
              </w:tc>
            </w:tr>
            <w:tr w:rsidR="00A9592D" w:rsidTr="00710C83">
              <w:tc>
                <w:tcPr>
                  <w:tcW w:w="2407" w:type="dxa"/>
                  <w:shd w:val="clear" w:color="auto" w:fill="auto"/>
                </w:tcPr>
                <w:p w:rsidR="00A9592D" w:rsidRDefault="00A9592D" w:rsidP="003B6D53">
                  <w:pPr>
                    <w:jc w:val="center"/>
                  </w:pPr>
                  <w:r>
                    <w:t>LAMC-PPP-0134</w:t>
                  </w:r>
                </w:p>
              </w:tc>
              <w:tc>
                <w:tcPr>
                  <w:tcW w:w="5102" w:type="dxa"/>
                  <w:shd w:val="clear" w:color="auto" w:fill="auto"/>
                </w:tcPr>
                <w:p w:rsidR="00A9592D" w:rsidRDefault="00A9592D" w:rsidP="003B6D53">
                  <w:pPr>
                    <w:pStyle w:val="BlockText"/>
                    <w:jc w:val="left"/>
                  </w:pPr>
                  <w:r>
                    <w:t>Storage and Disposal of Chemical Hazardous Waste</w:t>
                  </w:r>
                </w:p>
              </w:tc>
            </w:tr>
          </w:tbl>
          <w:p w:rsidR="00A9592D" w:rsidRPr="00D05042" w:rsidRDefault="00710C83" w:rsidP="003B6D53">
            <w:pPr>
              <w:rPr>
                <w:szCs w:val="24"/>
              </w:rPr>
            </w:pPr>
            <w:r>
              <w:t>See below the list of controlled documents</w:t>
            </w:r>
          </w:p>
        </w:tc>
      </w:tr>
      <w:tr w:rsidR="00F06DB2" w:rsidTr="00A9592D">
        <w:trPr>
          <w:cantSplit/>
        </w:trPr>
        <w:tc>
          <w:tcPr>
            <w:tcW w:w="1728" w:type="dxa"/>
          </w:tcPr>
          <w:p w:rsidR="00A9592D" w:rsidRDefault="00A9592D" w:rsidP="00F06DB2">
            <w:pPr>
              <w:pStyle w:val="Heading5"/>
            </w:pPr>
          </w:p>
          <w:p w:rsidR="00F06DB2" w:rsidRPr="00781F79" w:rsidRDefault="00F06DB2" w:rsidP="00F06DB2">
            <w:pPr>
              <w:pStyle w:val="Heading5"/>
            </w:pPr>
            <w:r w:rsidRPr="00781F79">
              <w:t>A</w:t>
            </w:r>
            <w:r>
              <w:t>uthor</w:t>
            </w:r>
            <w:r w:rsidR="00D32C36">
              <w:t>(s)</w:t>
            </w:r>
          </w:p>
        </w:tc>
        <w:tc>
          <w:tcPr>
            <w:tcW w:w="8010" w:type="dxa"/>
          </w:tcPr>
          <w:p w:rsidR="00F06DB2" w:rsidRPr="00D05042" w:rsidRDefault="00F06DB2" w:rsidP="00F06DB2">
            <w:pPr>
              <w:rPr>
                <w:szCs w:val="24"/>
              </w:rPr>
            </w:pPr>
          </w:p>
          <w:p w:rsidR="00A9592D" w:rsidRPr="00D05042" w:rsidRDefault="00A9592D" w:rsidP="00F06DB2">
            <w:pPr>
              <w:rPr>
                <w:szCs w:val="24"/>
              </w:rPr>
            </w:pPr>
            <w:r>
              <w:t>Alvin Castill</w:t>
            </w:r>
            <w:r w:rsidR="00717385">
              <w:t>o</w:t>
            </w:r>
          </w:p>
        </w:tc>
      </w:tr>
    </w:tbl>
    <w:p w:rsidR="00D26AE2" w:rsidRDefault="00D26AE2" w:rsidP="00D26AE2">
      <w:pPr>
        <w:pStyle w:val="BlockLine"/>
      </w:pPr>
    </w:p>
    <w:p w:rsidR="00F06DB2" w:rsidRDefault="00F06DB2" w:rsidP="00D26AE2"/>
    <w:sectPr w:rsidR="00F06DB2" w:rsidSect="00D4361C">
      <w:headerReference w:type="even" r:id="rId13"/>
      <w:headerReference w:type="default" r:id="rId14"/>
      <w:footerReference w:type="even" r:id="rId15"/>
      <w:footerReference w:type="default" r:id="rId16"/>
      <w:headerReference w:type="first" r:id="rId17"/>
      <w:footerReference w:type="first" r:id="rId18"/>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F5F" w:rsidRDefault="00122F5F">
      <w:r>
        <w:separator/>
      </w:r>
    </w:p>
  </w:endnote>
  <w:endnote w:type="continuationSeparator" w:id="0">
    <w:p w:rsidR="00122F5F" w:rsidRDefault="0012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FD3B7C">
      <w:rPr>
        <w:i/>
        <w:noProof/>
        <w:snapToGrid w:val="0"/>
        <w:sz w:val="20"/>
      </w:rPr>
      <w:instrText>5</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FD3B7C">
      <w:rPr>
        <w:i/>
        <w:noProof/>
        <w:snapToGrid w:val="0"/>
        <w:sz w:val="20"/>
      </w:rPr>
      <w:instrText>5</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2016BB">
      <w:rPr>
        <w:rStyle w:val="PageNumber"/>
        <w:rFonts w:ascii="Arial" w:hAnsi="Arial" w:cs="Arial"/>
        <w:noProof/>
        <w:sz w:val="20"/>
      </w:rPr>
      <w:t>1</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2016BB">
      <w:rPr>
        <w:rStyle w:val="PageNumber"/>
        <w:rFonts w:ascii="Arial" w:hAnsi="Arial" w:cs="Arial"/>
        <w:noProof/>
        <w:sz w:val="20"/>
      </w:rPr>
      <w:t>4</w:t>
    </w:r>
    <w:r w:rsidRPr="00C95BA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BB" w:rsidRDefault="0020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F5F" w:rsidRDefault="00122F5F">
      <w:r>
        <w:separator/>
      </w:r>
    </w:p>
  </w:footnote>
  <w:footnote w:type="continuationSeparator" w:id="0">
    <w:p w:rsidR="00122F5F" w:rsidRDefault="0012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58374F" w:rsidRDefault="0058374F" w:rsidP="0058374F">
    <w:pPr>
      <w:pStyle w:val="Heading4"/>
    </w:pPr>
    <w:r>
      <w:t xml:space="preserve">INDIA INK PREPARATION </w:t>
    </w:r>
    <w:r w:rsidR="002016BB">
      <w:t>AND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7"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8"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0"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8"/>
  </w:num>
  <w:num w:numId="5">
    <w:abstractNumId w:val="5"/>
  </w:num>
  <w:num w:numId="6">
    <w:abstractNumId w:val="1"/>
  </w:num>
  <w:num w:numId="7">
    <w:abstractNumId w:val="22"/>
  </w:num>
  <w:num w:numId="8">
    <w:abstractNumId w:val="10"/>
  </w:num>
  <w:num w:numId="9">
    <w:abstractNumId w:val="11"/>
  </w:num>
  <w:num w:numId="10">
    <w:abstractNumId w:val="17"/>
  </w:num>
  <w:num w:numId="11">
    <w:abstractNumId w:val="18"/>
  </w:num>
  <w:num w:numId="12">
    <w:abstractNumId w:val="0"/>
  </w:num>
  <w:num w:numId="13">
    <w:abstractNumId w:val="27"/>
  </w:num>
  <w:num w:numId="14">
    <w:abstractNumId w:val="26"/>
  </w:num>
  <w:num w:numId="15">
    <w:abstractNumId w:val="20"/>
  </w:num>
  <w:num w:numId="16">
    <w:abstractNumId w:val="13"/>
  </w:num>
  <w:num w:numId="17">
    <w:abstractNumId w:val="24"/>
  </w:num>
  <w:num w:numId="18">
    <w:abstractNumId w:val="23"/>
  </w:num>
  <w:num w:numId="19">
    <w:abstractNumId w:val="25"/>
  </w:num>
  <w:num w:numId="20">
    <w:abstractNumId w:val="21"/>
  </w:num>
  <w:num w:numId="21">
    <w:abstractNumId w:val="7"/>
  </w:num>
  <w:num w:numId="22">
    <w:abstractNumId w:val="2"/>
  </w:num>
  <w:num w:numId="23">
    <w:abstractNumId w:val="4"/>
  </w:num>
  <w:num w:numId="24">
    <w:abstractNumId w:val="19"/>
  </w:num>
  <w:num w:numId="25">
    <w:abstractNumId w:val="14"/>
  </w:num>
  <w:num w:numId="26">
    <w:abstractNumId w:val="9"/>
  </w:num>
  <w:num w:numId="27">
    <w:abstractNumId w:val="6"/>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6CF5"/>
    <w:rsid w:val="00042DAA"/>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2F5F"/>
    <w:rsid w:val="00125C60"/>
    <w:rsid w:val="00130C26"/>
    <w:rsid w:val="00130D9F"/>
    <w:rsid w:val="00133FA5"/>
    <w:rsid w:val="00134C53"/>
    <w:rsid w:val="00137FEF"/>
    <w:rsid w:val="001406A5"/>
    <w:rsid w:val="00144E3A"/>
    <w:rsid w:val="0018670E"/>
    <w:rsid w:val="00192DE5"/>
    <w:rsid w:val="001A14EE"/>
    <w:rsid w:val="002016BB"/>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B702D"/>
    <w:rsid w:val="003C508E"/>
    <w:rsid w:val="003C6786"/>
    <w:rsid w:val="003C7698"/>
    <w:rsid w:val="003E40F0"/>
    <w:rsid w:val="003F0A0D"/>
    <w:rsid w:val="004160B3"/>
    <w:rsid w:val="00433D1F"/>
    <w:rsid w:val="00440B6B"/>
    <w:rsid w:val="00452AA8"/>
    <w:rsid w:val="00454667"/>
    <w:rsid w:val="00471432"/>
    <w:rsid w:val="004802BC"/>
    <w:rsid w:val="00480580"/>
    <w:rsid w:val="00482A53"/>
    <w:rsid w:val="0048686C"/>
    <w:rsid w:val="004965AA"/>
    <w:rsid w:val="004A2AB4"/>
    <w:rsid w:val="004B2090"/>
    <w:rsid w:val="004C1667"/>
    <w:rsid w:val="004C1AD2"/>
    <w:rsid w:val="004C1B71"/>
    <w:rsid w:val="00504B96"/>
    <w:rsid w:val="0050518A"/>
    <w:rsid w:val="005133FE"/>
    <w:rsid w:val="00514404"/>
    <w:rsid w:val="00522809"/>
    <w:rsid w:val="005349B1"/>
    <w:rsid w:val="00544E86"/>
    <w:rsid w:val="00574B08"/>
    <w:rsid w:val="0058374F"/>
    <w:rsid w:val="00595006"/>
    <w:rsid w:val="005A6643"/>
    <w:rsid w:val="005A6EE9"/>
    <w:rsid w:val="005B1E7F"/>
    <w:rsid w:val="005F2ABD"/>
    <w:rsid w:val="005F3E96"/>
    <w:rsid w:val="00605DCB"/>
    <w:rsid w:val="0061079E"/>
    <w:rsid w:val="00620A2D"/>
    <w:rsid w:val="00633012"/>
    <w:rsid w:val="00637656"/>
    <w:rsid w:val="00677481"/>
    <w:rsid w:val="006A107B"/>
    <w:rsid w:val="006A5F55"/>
    <w:rsid w:val="006A72CD"/>
    <w:rsid w:val="006C4C9A"/>
    <w:rsid w:val="006C5126"/>
    <w:rsid w:val="006D60D0"/>
    <w:rsid w:val="006E67E1"/>
    <w:rsid w:val="00700D63"/>
    <w:rsid w:val="00706B6E"/>
    <w:rsid w:val="00707CAE"/>
    <w:rsid w:val="00710C83"/>
    <w:rsid w:val="00717385"/>
    <w:rsid w:val="007458E4"/>
    <w:rsid w:val="00746341"/>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350C7"/>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5071"/>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5B6B"/>
    <w:rsid w:val="00C87487"/>
    <w:rsid w:val="00C95BA9"/>
    <w:rsid w:val="00CA0A63"/>
    <w:rsid w:val="00CA67B8"/>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71AFE"/>
    <w:rsid w:val="00D81847"/>
    <w:rsid w:val="00D8329C"/>
    <w:rsid w:val="00D90CBE"/>
    <w:rsid w:val="00DA1F32"/>
    <w:rsid w:val="00DA456B"/>
    <w:rsid w:val="00DC3744"/>
    <w:rsid w:val="00DD53EF"/>
    <w:rsid w:val="00DE223A"/>
    <w:rsid w:val="00DE398C"/>
    <w:rsid w:val="00E301AE"/>
    <w:rsid w:val="00E42FE4"/>
    <w:rsid w:val="00E50BBB"/>
    <w:rsid w:val="00E51458"/>
    <w:rsid w:val="00E5453D"/>
    <w:rsid w:val="00E61CD5"/>
    <w:rsid w:val="00E733D6"/>
    <w:rsid w:val="00E75365"/>
    <w:rsid w:val="00E84DD2"/>
    <w:rsid w:val="00EB027B"/>
    <w:rsid w:val="00EB399A"/>
    <w:rsid w:val="00EB50D8"/>
    <w:rsid w:val="00EC0EFC"/>
    <w:rsid w:val="00EC7C99"/>
    <w:rsid w:val="00EE0F07"/>
    <w:rsid w:val="00EE396F"/>
    <w:rsid w:val="00EE3CFA"/>
    <w:rsid w:val="00EE6D86"/>
    <w:rsid w:val="00EF2A00"/>
    <w:rsid w:val="00F06DB2"/>
    <w:rsid w:val="00F342AB"/>
    <w:rsid w:val="00F36A3F"/>
    <w:rsid w:val="00F47F67"/>
    <w:rsid w:val="00F56C49"/>
    <w:rsid w:val="00F56EFF"/>
    <w:rsid w:val="00F73178"/>
    <w:rsid w:val="00F80BE8"/>
    <w:rsid w:val="00F81614"/>
    <w:rsid w:val="00F91A4D"/>
    <w:rsid w:val="00F94602"/>
    <w:rsid w:val="00FA472E"/>
    <w:rsid w:val="00FB1920"/>
    <w:rsid w:val="00FB384B"/>
    <w:rsid w:val="00FC47C8"/>
    <w:rsid w:val="00FD3B7C"/>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77A00"/>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05126F"/>
    <w:rsid w:val="0015439E"/>
    <w:rsid w:val="00165332"/>
    <w:rsid w:val="002B3830"/>
    <w:rsid w:val="002C3A63"/>
    <w:rsid w:val="00302917"/>
    <w:rsid w:val="00503C9E"/>
    <w:rsid w:val="005A495C"/>
    <w:rsid w:val="007E69BB"/>
    <w:rsid w:val="00856328"/>
    <w:rsid w:val="008F2A2C"/>
    <w:rsid w:val="009E2D04"/>
    <w:rsid w:val="009F6287"/>
    <w:rsid w:val="00A8409A"/>
    <w:rsid w:val="00BA5A27"/>
    <w:rsid w:val="00CD2384"/>
    <w:rsid w:val="00E10F7D"/>
    <w:rsid w:val="00EF1C87"/>
    <w:rsid w:val="00FB77E8"/>
    <w:rsid w:val="00FC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12</TotalTime>
  <Pages>5</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5</cp:revision>
  <cp:lastPrinted>2011-03-21T23:09:00Z</cp:lastPrinted>
  <dcterms:created xsi:type="dcterms:W3CDTF">2020-01-13T18:00:00Z</dcterms:created>
  <dcterms:modified xsi:type="dcterms:W3CDTF">2020-01-13T18:12:00Z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