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0E09" w14:textId="3B37204A" w:rsidR="006F7CCC" w:rsidRPr="00C86923" w:rsidRDefault="009F2840" w:rsidP="006F7CCC">
      <w:r w:rsidRPr="009F2840">
        <w:rPr>
          <w:rFonts w:ascii="Arial" w:hAnsi="Arial"/>
          <w:b/>
          <w:sz w:val="32"/>
        </w:rPr>
        <w:t>COBAS LIAT</w:t>
      </w:r>
      <w:r>
        <w:rPr>
          <w:rFonts w:ascii="Arial" w:hAnsi="Arial"/>
          <w:b/>
          <w:sz w:val="32"/>
        </w:rPr>
        <w:t>:</w:t>
      </w:r>
      <w:r w:rsidRPr="009F2840">
        <w:rPr>
          <w:rFonts w:ascii="Arial" w:hAnsi="Arial"/>
          <w:b/>
          <w:sz w:val="32"/>
        </w:rPr>
        <w:t xml:space="preserve"> Multi-analyte</w:t>
      </w:r>
      <w:r w:rsidR="00A82AF4">
        <w:rPr>
          <w:rFonts w:ascii="Arial" w:hAnsi="Arial"/>
          <w:b/>
          <w:sz w:val="32"/>
        </w:rPr>
        <w:t xml:space="preserve"> &amp; Questionable</w:t>
      </w:r>
      <w:r w:rsidRPr="009F2840">
        <w:rPr>
          <w:rFonts w:ascii="Arial" w:hAnsi="Arial"/>
          <w:b/>
          <w:sz w:val="32"/>
        </w:rPr>
        <w:t xml:space="preserve"> Positive results</w:t>
      </w:r>
    </w:p>
    <w:p w14:paraId="1ED15CBE" w14:textId="77777777" w:rsidR="006F7CCC" w:rsidRDefault="006F7CCC" w:rsidP="006F7CCC">
      <w:pPr>
        <w:pStyle w:val="BlockLine"/>
        <w:spacing w:before="0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7727"/>
      </w:tblGrid>
      <w:tr w:rsidR="006F7CCC" w14:paraId="638F9E45" w14:textId="77777777" w:rsidTr="00F32C38">
        <w:trPr>
          <w:cantSplit/>
          <w:trHeight w:val="277"/>
        </w:trPr>
        <w:tc>
          <w:tcPr>
            <w:tcW w:w="1725" w:type="dxa"/>
          </w:tcPr>
          <w:p w14:paraId="60DFA6F5" w14:textId="77777777" w:rsidR="006F7CCC" w:rsidRDefault="006F7CCC" w:rsidP="00F32C38">
            <w:pPr>
              <w:pStyle w:val="Heading5"/>
            </w:pPr>
            <w:r>
              <w:t>Purpose</w:t>
            </w:r>
          </w:p>
        </w:tc>
        <w:tc>
          <w:tcPr>
            <w:tcW w:w="7727" w:type="dxa"/>
          </w:tcPr>
          <w:p w14:paraId="7F14FF35" w14:textId="5B9FEF22" w:rsidR="006F7CCC" w:rsidRDefault="006F7CCC" w:rsidP="00F32C38">
            <w:pPr>
              <w:pStyle w:val="BlockText"/>
            </w:pPr>
            <w:r>
              <w:t xml:space="preserve">To define the process of </w:t>
            </w:r>
            <w:r w:rsidR="009F2840">
              <w:t>resulting questionable analyte positive results using Cobas SARS-CoV-2 &amp; Influenza A/B Nucleic Acid Test</w:t>
            </w:r>
          </w:p>
        </w:tc>
      </w:tr>
    </w:tbl>
    <w:p w14:paraId="17B7AD63" w14:textId="77777777" w:rsidR="006F7CCC" w:rsidRDefault="006F7CCC" w:rsidP="006F7CCC">
      <w:pPr>
        <w:pStyle w:val="BlockLine"/>
        <w:spacing w:before="0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4"/>
        <w:gridCol w:w="7813"/>
      </w:tblGrid>
      <w:tr w:rsidR="006F7CCC" w14:paraId="0C90A2BE" w14:textId="77777777" w:rsidTr="00F32C38">
        <w:trPr>
          <w:cantSplit/>
          <w:trHeight w:val="1904"/>
        </w:trPr>
        <w:tc>
          <w:tcPr>
            <w:tcW w:w="1744" w:type="dxa"/>
          </w:tcPr>
          <w:p w14:paraId="7C836D27" w14:textId="77777777" w:rsidR="006F7CCC" w:rsidRDefault="006F7CCC" w:rsidP="00F32C38">
            <w:pPr>
              <w:pStyle w:val="Heading5"/>
            </w:pPr>
            <w:r>
              <w:t>Policy</w:t>
            </w:r>
          </w:p>
        </w:tc>
        <w:tc>
          <w:tcPr>
            <w:tcW w:w="7813" w:type="dxa"/>
          </w:tcPr>
          <w:p w14:paraId="47D1677A" w14:textId="77777777" w:rsidR="006F7CCC" w:rsidRDefault="009F2840" w:rsidP="006F7CCC">
            <w:pPr>
              <w:pStyle w:val="BlockText"/>
              <w:numPr>
                <w:ilvl w:val="0"/>
                <w:numId w:val="1"/>
              </w:numPr>
            </w:pPr>
            <w:r>
              <w:t xml:space="preserve">Monitor for unexpected clusters of positive Flu B results, as this may indicate the </w:t>
            </w:r>
            <w:proofErr w:type="spellStart"/>
            <w:r>
              <w:t>cobas</w:t>
            </w:r>
            <w:proofErr w:type="spellEnd"/>
            <w:r>
              <w:t xml:space="preserve"> </w:t>
            </w:r>
            <w:proofErr w:type="spellStart"/>
            <w:r>
              <w:t>Liat</w:t>
            </w:r>
            <w:proofErr w:type="spellEnd"/>
            <w:r>
              <w:t xml:space="preserve"> System has experienced a tube leak.</w:t>
            </w:r>
            <w:r w:rsidR="009220DB">
              <w:t xml:space="preserve"> Repeat test.</w:t>
            </w:r>
          </w:p>
          <w:p w14:paraId="5A7AE536" w14:textId="77777777" w:rsidR="009220DB" w:rsidRDefault="009220DB" w:rsidP="006F7CCC">
            <w:pPr>
              <w:pStyle w:val="BlockText"/>
              <w:numPr>
                <w:ilvl w:val="0"/>
                <w:numId w:val="1"/>
              </w:numPr>
            </w:pPr>
            <w:r>
              <w:t>Repeat tests when two or three analytes are positive. Different results on the repeat test may indicate abnormal PCR cycling.</w:t>
            </w:r>
          </w:p>
          <w:p w14:paraId="2D82C371" w14:textId="0EAD93A2" w:rsidR="009220DB" w:rsidRDefault="009220DB" w:rsidP="009220DB">
            <w:pPr>
              <w:pStyle w:val="BlockText"/>
              <w:numPr>
                <w:ilvl w:val="0"/>
                <w:numId w:val="1"/>
              </w:numPr>
            </w:pPr>
            <w:r>
              <w:t xml:space="preserve">Send repeatedly multi-analyte positive results to the RRL for confirmation testing by way of the following assay: SARS-COV-2 (COVID-19), INFLUENZA A, INFLUENZA B, MULTIPLEX NAA, HIGH THROUGHPUT [258971].  </w:t>
            </w:r>
          </w:p>
        </w:tc>
      </w:tr>
    </w:tbl>
    <w:p w14:paraId="23BFFA96" w14:textId="77777777" w:rsidR="006F7CCC" w:rsidRDefault="006F7CCC" w:rsidP="006F7CCC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9"/>
        <w:gridCol w:w="8014"/>
      </w:tblGrid>
      <w:tr w:rsidR="006F7CCC" w14:paraId="2143DE20" w14:textId="77777777" w:rsidTr="00F32C38">
        <w:trPr>
          <w:cantSplit/>
          <w:trHeight w:val="972"/>
        </w:trPr>
        <w:tc>
          <w:tcPr>
            <w:tcW w:w="170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8010"/>
            </w:tblGrid>
            <w:tr w:rsidR="006F7CCC" w:rsidRPr="00781F79" w14:paraId="04D15988" w14:textId="77777777" w:rsidTr="00F32C38">
              <w:trPr>
                <w:cantSplit/>
              </w:trPr>
              <w:tc>
                <w:tcPr>
                  <w:tcW w:w="1728" w:type="dxa"/>
                </w:tcPr>
                <w:p w14:paraId="16FD22BD" w14:textId="77777777" w:rsidR="006F7CCC" w:rsidRPr="006A107B" w:rsidRDefault="006F7CCC" w:rsidP="00F32C38">
                  <w:pPr>
                    <w:pStyle w:val="Heading5"/>
                    <w:ind w:left="-36"/>
                  </w:pPr>
                  <w:r>
                    <w:t>Safety or Special Safety Precautions</w:t>
                  </w:r>
                </w:p>
              </w:tc>
              <w:tc>
                <w:tcPr>
                  <w:tcW w:w="8010" w:type="dxa"/>
                </w:tcPr>
                <w:p w14:paraId="082A62C3" w14:textId="77777777" w:rsidR="006F7CCC" w:rsidRDefault="006F7CCC" w:rsidP="00F32C38">
                  <w:pPr>
                    <w:rPr>
                      <w:szCs w:val="24"/>
                    </w:rPr>
                  </w:pPr>
                </w:p>
                <w:p w14:paraId="5D1B8BDC" w14:textId="77777777" w:rsidR="006F7CCC" w:rsidRPr="00781F79" w:rsidRDefault="006F7CCC" w:rsidP="00F32C38">
                  <w:pPr>
                    <w:rPr>
                      <w:szCs w:val="24"/>
                    </w:rPr>
                  </w:pPr>
                </w:p>
              </w:tc>
            </w:tr>
          </w:tbl>
          <w:p w14:paraId="6E646B61" w14:textId="77777777" w:rsidR="006F7CCC" w:rsidRDefault="006F7CCC" w:rsidP="00F32C38">
            <w:pPr>
              <w:pStyle w:val="Heading5"/>
            </w:pPr>
          </w:p>
        </w:tc>
        <w:tc>
          <w:tcPr>
            <w:tcW w:w="8014" w:type="dxa"/>
          </w:tcPr>
          <w:p w14:paraId="1D785230" w14:textId="77777777" w:rsidR="006F7CCC" w:rsidRDefault="006F7CCC" w:rsidP="00F32C38">
            <w:pPr>
              <w:pStyle w:val="BlockText"/>
              <w:tabs>
                <w:tab w:val="left" w:pos="162"/>
              </w:tabs>
              <w:jc w:val="both"/>
            </w:pPr>
            <w:r>
              <w:t>All laboratory employees are expected to maintain a safe working environment and an injury-free workplace. Laboratory employees are responsible for their own safety, the safety of others and adhering to all departmental and medical center safety policies and procedures.</w:t>
            </w:r>
          </w:p>
          <w:p w14:paraId="2BF5CF49" w14:textId="4AE7A531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standard precautions and safety practices in the laboratory; see </w:t>
            </w:r>
            <w:r w:rsidRPr="00D531D1">
              <w:rPr>
                <w:b/>
              </w:rPr>
              <w:t>Safety Practices</w:t>
            </w:r>
            <w:r>
              <w:t>, specifically, but not limited to, equipment safety, proper body mechanics, sharps exposure and proper use of personal protective equipment (PPE).</w:t>
            </w:r>
          </w:p>
          <w:p w14:paraId="101DE0D0" w14:textId="77777777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Universal Body Substance precautions, see </w:t>
            </w:r>
            <w:r w:rsidRPr="00D531D1">
              <w:rPr>
                <w:b/>
              </w:rPr>
              <w:t>Universal Body Substance Precautions</w:t>
            </w:r>
            <w:r>
              <w:t>, specifically, but not limited to, exposure to body fluids.</w:t>
            </w:r>
          </w:p>
          <w:p w14:paraId="6546555D" w14:textId="4FD8C836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proper handwashing, see </w:t>
            </w:r>
            <w:r w:rsidRPr="00D531D1">
              <w:rPr>
                <w:b/>
              </w:rPr>
              <w:t>Hand</w:t>
            </w:r>
            <w:r>
              <w:rPr>
                <w:b/>
              </w:rPr>
              <w:t xml:space="preserve"> </w:t>
            </w:r>
            <w:r w:rsidRPr="00D531D1">
              <w:rPr>
                <w:b/>
              </w:rPr>
              <w:t>washing Policy</w:t>
            </w:r>
            <w:r>
              <w:t>, specifically, not limited to, proper handwashing.</w:t>
            </w:r>
          </w:p>
          <w:p w14:paraId="5645CDC4" w14:textId="77777777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proper infection control, see </w:t>
            </w:r>
            <w:r w:rsidRPr="00D531D1">
              <w:rPr>
                <w:b/>
              </w:rPr>
              <w:t>Infection Control</w:t>
            </w:r>
            <w:r>
              <w:t>, specifically, but not limited to, proper use of gloves.</w:t>
            </w:r>
          </w:p>
          <w:p w14:paraId="4EF3B124" w14:textId="155FCE7C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proper handling of regular and infectious waste, see </w:t>
            </w:r>
            <w:r w:rsidRPr="00D531D1">
              <w:rPr>
                <w:b/>
              </w:rPr>
              <w:t>Handling of Regular and Infectious Waste</w:t>
            </w:r>
            <w:r>
              <w:t>, specifically, but not limited to, proper disposal of regular and biohazardous waste.</w:t>
            </w:r>
          </w:p>
          <w:p w14:paraId="75DFA338" w14:textId="77777777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proper cleaning of work area, see </w:t>
            </w:r>
            <w:r w:rsidRPr="00D531D1">
              <w:rPr>
                <w:b/>
              </w:rPr>
              <w:t>Cleaning Work Areas</w:t>
            </w:r>
            <w:r>
              <w:t>.</w:t>
            </w:r>
          </w:p>
          <w:p w14:paraId="1F857FD3" w14:textId="77777777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>For proper handling of chemicals and reagents, see the Chemical Hygiene Plan.</w:t>
            </w:r>
          </w:p>
          <w:p w14:paraId="5F858B75" w14:textId="77777777" w:rsidR="006F7CCC" w:rsidRDefault="006F7CCC" w:rsidP="006F7CCC">
            <w:pPr>
              <w:pStyle w:val="BlockText"/>
              <w:numPr>
                <w:ilvl w:val="0"/>
                <w:numId w:val="2"/>
              </w:numPr>
              <w:tabs>
                <w:tab w:val="left" w:pos="162"/>
              </w:tabs>
              <w:ind w:left="523"/>
              <w:jc w:val="both"/>
            </w:pPr>
            <w:r>
              <w:t xml:space="preserve">For proper storage and disposal of chemical hazardous waste, see </w:t>
            </w:r>
            <w:r w:rsidRPr="00D531D1">
              <w:rPr>
                <w:b/>
              </w:rPr>
              <w:t>Storage &amp; Disposal of Chemical Hazardous Waste</w:t>
            </w:r>
            <w:r>
              <w:t>. All laboratory employees are expected to maintain a safe working environment and an injury-free workplace.  Laboratory employees are responsible for their own safety, the safety of others and adhering to all departmental and medical center safety policies and procedures.</w:t>
            </w:r>
          </w:p>
        </w:tc>
      </w:tr>
    </w:tbl>
    <w:p w14:paraId="43AD2434" w14:textId="77777777" w:rsidR="006F7CCC" w:rsidRDefault="006F7CCC" w:rsidP="006F7CCC">
      <w:pPr>
        <w:pStyle w:val="BlockLine"/>
      </w:pPr>
      <w:r>
        <w:t xml:space="preserve"> </w:t>
      </w:r>
    </w:p>
    <w:p w14:paraId="6452A9AB" w14:textId="728ADE19" w:rsidR="006F7CCC" w:rsidRDefault="006F7CCC" w:rsidP="006F7CCC"/>
    <w:p w14:paraId="54776283" w14:textId="030B1821" w:rsidR="008060F5" w:rsidRDefault="008060F5" w:rsidP="006F7CCC"/>
    <w:p w14:paraId="5BA969FA" w14:textId="77777777" w:rsidR="008060F5" w:rsidRDefault="008060F5" w:rsidP="006F7CCC"/>
    <w:p w14:paraId="0A013E09" w14:textId="77777777" w:rsidR="00A82AF4" w:rsidRPr="00C86923" w:rsidRDefault="00A82AF4" w:rsidP="00A82AF4">
      <w:r w:rsidRPr="009F2840">
        <w:rPr>
          <w:rFonts w:ascii="Arial" w:hAnsi="Arial"/>
          <w:b/>
          <w:sz w:val="32"/>
        </w:rPr>
        <w:lastRenderedPageBreak/>
        <w:t>COBAS LIAT</w:t>
      </w:r>
      <w:r>
        <w:rPr>
          <w:rFonts w:ascii="Arial" w:hAnsi="Arial"/>
          <w:b/>
          <w:sz w:val="32"/>
        </w:rPr>
        <w:t>:</w:t>
      </w:r>
      <w:r w:rsidRPr="009F2840">
        <w:rPr>
          <w:rFonts w:ascii="Arial" w:hAnsi="Arial"/>
          <w:b/>
          <w:sz w:val="32"/>
        </w:rPr>
        <w:t xml:space="preserve"> Multi-analyte</w:t>
      </w:r>
      <w:r>
        <w:rPr>
          <w:rFonts w:ascii="Arial" w:hAnsi="Arial"/>
          <w:b/>
          <w:sz w:val="32"/>
        </w:rPr>
        <w:t xml:space="preserve"> &amp; Questionable</w:t>
      </w:r>
      <w:r w:rsidRPr="009F2840">
        <w:rPr>
          <w:rFonts w:ascii="Arial" w:hAnsi="Arial"/>
          <w:b/>
          <w:sz w:val="32"/>
        </w:rPr>
        <w:t xml:space="preserve"> Positive results</w:t>
      </w:r>
    </w:p>
    <w:p w14:paraId="5B52F67F" w14:textId="77777777" w:rsidR="006F7CCC" w:rsidRPr="002B0705" w:rsidRDefault="006F7CCC" w:rsidP="006F7CCC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458"/>
        <w:gridCol w:w="270"/>
        <w:gridCol w:w="979"/>
        <w:gridCol w:w="6761"/>
        <w:gridCol w:w="90"/>
      </w:tblGrid>
      <w:tr w:rsidR="006F7CCC" w14:paraId="07DB2377" w14:textId="77777777" w:rsidTr="000F6020">
        <w:trPr>
          <w:gridAfter w:val="1"/>
          <w:wAfter w:w="90" w:type="dxa"/>
          <w:cantSplit/>
        </w:trPr>
        <w:tc>
          <w:tcPr>
            <w:tcW w:w="1728" w:type="dxa"/>
            <w:gridSpan w:val="2"/>
          </w:tcPr>
          <w:p w14:paraId="18C74333" w14:textId="34056A05" w:rsidR="006F7CCC" w:rsidRDefault="006F7CCC" w:rsidP="00F32C38">
            <w:pPr>
              <w:pStyle w:val="Heading5"/>
            </w:pPr>
          </w:p>
        </w:tc>
        <w:tc>
          <w:tcPr>
            <w:tcW w:w="7740" w:type="dxa"/>
            <w:gridSpan w:val="2"/>
          </w:tcPr>
          <w:p w14:paraId="2F69C5EF" w14:textId="658A76E1" w:rsidR="006F7CCC" w:rsidRDefault="006F7CCC" w:rsidP="00F32C38">
            <w:pPr>
              <w:pStyle w:val="BlockText"/>
            </w:pPr>
            <w:r>
              <w:t xml:space="preserve">Follow the steps below </w:t>
            </w:r>
            <w:r w:rsidR="002310E2">
              <w:t>in resulting unexpected</w:t>
            </w:r>
            <w:r w:rsidR="009220DB">
              <w:t>/questionable Flu A or B result</w:t>
            </w:r>
            <w:r w:rsidR="002310E2">
              <w:t xml:space="preserve"> using Cobas SARS-CoV-2 &amp; Influenza A/B Nucleic Acid Test</w:t>
            </w:r>
          </w:p>
        </w:tc>
      </w:tr>
      <w:tr w:rsidR="006F7CCC" w14:paraId="3FE70494" w14:textId="77777777" w:rsidTr="000F6020"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4433" w14:textId="77777777" w:rsidR="006F7CCC" w:rsidRDefault="006F7CCC" w:rsidP="00F32C38">
            <w:pPr>
              <w:pStyle w:val="TableHeaderText"/>
            </w:pPr>
            <w:r>
              <w:t>Step</w:t>
            </w:r>
          </w:p>
        </w:tc>
        <w:tc>
          <w:tcPr>
            <w:tcW w:w="68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4CAB" w14:textId="77777777" w:rsidR="006F7CCC" w:rsidRDefault="006F7CCC" w:rsidP="00F32C38">
            <w:pPr>
              <w:pStyle w:val="TableHeaderText"/>
            </w:pPr>
            <w:r>
              <w:t>Action</w:t>
            </w:r>
          </w:p>
        </w:tc>
      </w:tr>
      <w:tr w:rsidR="006F7CCC" w14:paraId="00F34F75" w14:textId="77777777" w:rsidTr="000F6020"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6E0C" w14:textId="6221B132" w:rsidR="006F7CCC" w:rsidRDefault="002310E2" w:rsidP="002310E2">
            <w:pPr>
              <w:pStyle w:val="TableText"/>
              <w:ind w:left="360"/>
              <w:jc w:val="center"/>
            </w:pPr>
            <w:r>
              <w:t>1.</w:t>
            </w:r>
          </w:p>
        </w:tc>
        <w:tc>
          <w:tcPr>
            <w:tcW w:w="68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08EE" w14:textId="277A4519" w:rsidR="006F7CCC" w:rsidRDefault="009220DB" w:rsidP="002310E2">
            <w:pPr>
              <w:pStyle w:val="TableText"/>
              <w:ind w:left="61"/>
            </w:pPr>
            <w:r>
              <w:t>Repeat test using a different Cobas LIAT instrument when encountered with</w:t>
            </w:r>
            <w:r w:rsidR="002310E2">
              <w:t xml:space="preserve"> a questionable positive result.</w:t>
            </w:r>
          </w:p>
        </w:tc>
      </w:tr>
      <w:tr w:rsidR="006F7CCC" w14:paraId="713CEE8A" w14:textId="77777777" w:rsidTr="000F6020"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BE970" w14:textId="4747FCCC" w:rsidR="006F7CCC" w:rsidRDefault="002310E2" w:rsidP="002310E2">
            <w:pPr>
              <w:pStyle w:val="TableText"/>
              <w:ind w:left="360"/>
              <w:jc w:val="center"/>
            </w:pPr>
            <w:r>
              <w:t>2a.</w:t>
            </w:r>
          </w:p>
        </w:tc>
        <w:tc>
          <w:tcPr>
            <w:tcW w:w="685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2772E6D" w14:textId="575154EE" w:rsidR="006F7CCC" w:rsidRDefault="002310E2" w:rsidP="00F32C38">
            <w:pPr>
              <w:pStyle w:val="TableText"/>
            </w:pPr>
            <w:r>
              <w:t>If repeated result is still positive, report positive result with comment ‘Result verified with repeat analysis’</w:t>
            </w:r>
          </w:p>
        </w:tc>
      </w:tr>
      <w:tr w:rsidR="006F7CCC" w14:paraId="02CE3C1D" w14:textId="77777777" w:rsidTr="000F6020">
        <w:tblPrEx>
          <w:tblCellMar>
            <w:left w:w="79" w:type="dxa"/>
            <w:right w:w="79" w:type="dxa"/>
          </w:tblCellMar>
        </w:tblPrEx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980BAF" w14:textId="0F721409" w:rsidR="006F7CCC" w:rsidRDefault="002310E2" w:rsidP="002310E2">
            <w:pPr>
              <w:pStyle w:val="EmbeddedText"/>
              <w:ind w:left="360"/>
              <w:jc w:val="center"/>
            </w:pPr>
            <w:r>
              <w:t>2b.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39C" w14:textId="120A94EC" w:rsidR="006F7CCC" w:rsidRDefault="002310E2" w:rsidP="00F32C38">
            <w:pPr>
              <w:pStyle w:val="TableText"/>
              <w:ind w:left="22"/>
            </w:pPr>
            <w:r>
              <w:t>If repeated result is negative</w:t>
            </w:r>
            <w:r w:rsidR="008060F5">
              <w:t xml:space="preserve"> and is no longer questionable,</w:t>
            </w:r>
            <w:r>
              <w:t xml:space="preserve"> report negative result and notify manager for possible false positive result.</w:t>
            </w:r>
          </w:p>
        </w:tc>
      </w:tr>
    </w:tbl>
    <w:p w14:paraId="0E582BE9" w14:textId="77777777" w:rsidR="006F7CCC" w:rsidRDefault="006F7CCC" w:rsidP="006F7CCC">
      <w:pPr>
        <w:pStyle w:val="BlockLine"/>
      </w:pPr>
      <w:r>
        <w:t xml:space="preserve"> 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458"/>
        <w:gridCol w:w="270"/>
        <w:gridCol w:w="979"/>
        <w:gridCol w:w="6761"/>
        <w:gridCol w:w="90"/>
      </w:tblGrid>
      <w:tr w:rsidR="002310E2" w14:paraId="6515D622" w14:textId="77777777" w:rsidTr="00216514">
        <w:trPr>
          <w:gridAfter w:val="1"/>
          <w:wAfter w:w="90" w:type="dxa"/>
          <w:cantSplit/>
        </w:trPr>
        <w:tc>
          <w:tcPr>
            <w:tcW w:w="1728" w:type="dxa"/>
            <w:gridSpan w:val="2"/>
          </w:tcPr>
          <w:p w14:paraId="5D17AAE5" w14:textId="77777777" w:rsidR="002310E2" w:rsidRDefault="002310E2" w:rsidP="00216514">
            <w:pPr>
              <w:pStyle w:val="Heading5"/>
            </w:pPr>
          </w:p>
        </w:tc>
        <w:tc>
          <w:tcPr>
            <w:tcW w:w="7740" w:type="dxa"/>
            <w:gridSpan w:val="2"/>
          </w:tcPr>
          <w:p w14:paraId="700403E2" w14:textId="1236FA1A" w:rsidR="002310E2" w:rsidRDefault="002310E2" w:rsidP="00216514">
            <w:pPr>
              <w:pStyle w:val="BlockText"/>
            </w:pPr>
            <w:r>
              <w:t>Follow the steps below in resulting multi-analyte positive results using Cobas SARS-CoV-2 &amp; Influenza A/B Nucleic Acid Test</w:t>
            </w:r>
          </w:p>
        </w:tc>
      </w:tr>
      <w:tr w:rsidR="002310E2" w14:paraId="60CE0BA9" w14:textId="77777777" w:rsidTr="00216514"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B8E3" w14:textId="77777777" w:rsidR="002310E2" w:rsidRDefault="002310E2" w:rsidP="00216514">
            <w:pPr>
              <w:pStyle w:val="TableHeaderText"/>
            </w:pPr>
            <w:r>
              <w:t>Step</w:t>
            </w:r>
          </w:p>
        </w:tc>
        <w:tc>
          <w:tcPr>
            <w:tcW w:w="68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8A79" w14:textId="77777777" w:rsidR="002310E2" w:rsidRDefault="002310E2" w:rsidP="00216514">
            <w:pPr>
              <w:pStyle w:val="TableHeaderText"/>
            </w:pPr>
            <w:r>
              <w:t>Action</w:t>
            </w:r>
          </w:p>
        </w:tc>
      </w:tr>
      <w:tr w:rsidR="002310E2" w14:paraId="427B5F84" w14:textId="77777777" w:rsidTr="00216514"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4C14" w14:textId="77777777" w:rsidR="002310E2" w:rsidRDefault="002310E2" w:rsidP="00216514">
            <w:pPr>
              <w:pStyle w:val="TableText"/>
              <w:ind w:left="360"/>
              <w:jc w:val="center"/>
            </w:pPr>
            <w:r>
              <w:t>1.</w:t>
            </w:r>
          </w:p>
        </w:tc>
        <w:tc>
          <w:tcPr>
            <w:tcW w:w="68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7480" w14:textId="6837739D" w:rsidR="002310E2" w:rsidRDefault="002310E2" w:rsidP="00216514">
            <w:pPr>
              <w:pStyle w:val="TableText"/>
              <w:ind w:left="61"/>
            </w:pPr>
            <w:r>
              <w:t>Repeat test using a different Cobas LIAT instrument when two or three analytes are positive.</w:t>
            </w:r>
          </w:p>
        </w:tc>
      </w:tr>
      <w:tr w:rsidR="002310E2" w14:paraId="2614DF92" w14:textId="77777777" w:rsidTr="00216514"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0C1F1A" w14:textId="77777777" w:rsidR="002310E2" w:rsidRDefault="002310E2" w:rsidP="00216514">
            <w:pPr>
              <w:pStyle w:val="TableText"/>
              <w:ind w:left="360"/>
              <w:jc w:val="center"/>
            </w:pPr>
            <w:r>
              <w:t>2a.</w:t>
            </w:r>
          </w:p>
        </w:tc>
        <w:tc>
          <w:tcPr>
            <w:tcW w:w="685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611DB3E" w14:textId="28A62C7B" w:rsidR="002310E2" w:rsidRDefault="002310E2" w:rsidP="00216514">
            <w:pPr>
              <w:pStyle w:val="TableText"/>
            </w:pPr>
            <w:r>
              <w:t xml:space="preserve">If repeated result is still the same with two or three positive analytes, do not report test. </w:t>
            </w:r>
            <w:r w:rsidR="00101C28">
              <w:t>Proceed to step 3.</w:t>
            </w:r>
          </w:p>
        </w:tc>
      </w:tr>
      <w:tr w:rsidR="002310E2" w14:paraId="7A83A5F0" w14:textId="77777777" w:rsidTr="00216514">
        <w:tblPrEx>
          <w:tblCellMar>
            <w:left w:w="79" w:type="dxa"/>
            <w:right w:w="79" w:type="dxa"/>
          </w:tblCellMar>
        </w:tblPrEx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D1BC3C" w14:textId="77777777" w:rsidR="002310E2" w:rsidRDefault="002310E2" w:rsidP="00216514">
            <w:pPr>
              <w:pStyle w:val="EmbeddedText"/>
              <w:ind w:left="360"/>
              <w:jc w:val="center"/>
            </w:pPr>
            <w:r>
              <w:t>2b.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F541" w14:textId="65C63425" w:rsidR="002310E2" w:rsidRDefault="002310E2" w:rsidP="00216514">
            <w:pPr>
              <w:pStyle w:val="TableText"/>
              <w:ind w:left="22"/>
            </w:pPr>
            <w:r>
              <w:t>If repeat</w:t>
            </w:r>
            <w:r w:rsidR="00101C28">
              <w:t>ed</w:t>
            </w:r>
            <w:r>
              <w:t xml:space="preserve"> result is </w:t>
            </w:r>
            <w:r w:rsidR="00101C28">
              <w:t>different</w:t>
            </w:r>
            <w:r>
              <w:t xml:space="preserve">, </w:t>
            </w:r>
            <w:r w:rsidR="00101C28">
              <w:t>and is no longer questionable, report correct result with comment ‘Result verified with repeat analysis’. Skip steps 3,4, &amp;5.</w:t>
            </w:r>
            <w:r w:rsidR="002F40DA">
              <w:t xml:space="preserve"> Notify manager for possible false positive results.</w:t>
            </w:r>
          </w:p>
        </w:tc>
      </w:tr>
      <w:tr w:rsidR="002310E2" w14:paraId="462EB043" w14:textId="77777777" w:rsidTr="00216514">
        <w:tblPrEx>
          <w:tblCellMar>
            <w:left w:w="79" w:type="dxa"/>
            <w:right w:w="79" w:type="dxa"/>
          </w:tblCellMar>
        </w:tblPrEx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1D3A08" w14:textId="5CAADB08" w:rsidR="002310E2" w:rsidRDefault="002310E2" w:rsidP="00216514">
            <w:pPr>
              <w:pStyle w:val="EmbeddedText"/>
              <w:ind w:left="360"/>
              <w:jc w:val="center"/>
            </w:pPr>
            <w:r>
              <w:t>3</w:t>
            </w:r>
            <w:r w:rsidR="00101C28">
              <w:t>.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53A" w14:textId="4BEF600D" w:rsidR="002310E2" w:rsidRDefault="00101C28" w:rsidP="00216514">
            <w:pPr>
              <w:pStyle w:val="TableText"/>
              <w:ind w:left="22"/>
            </w:pPr>
            <w:r>
              <w:t>Notify provider about delayed resulting for sending out sample for verification.</w:t>
            </w:r>
          </w:p>
        </w:tc>
      </w:tr>
      <w:tr w:rsidR="00101C28" w14:paraId="4293DE5C" w14:textId="77777777" w:rsidTr="00216514">
        <w:tblPrEx>
          <w:tblCellMar>
            <w:left w:w="79" w:type="dxa"/>
            <w:right w:w="79" w:type="dxa"/>
          </w:tblCellMar>
        </w:tblPrEx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4E1C30" w14:textId="7AAAA45F" w:rsidR="00101C28" w:rsidRDefault="00101C28" w:rsidP="00216514">
            <w:pPr>
              <w:pStyle w:val="EmbeddedText"/>
              <w:ind w:left="360"/>
              <w:jc w:val="center"/>
            </w:pPr>
            <w:r>
              <w:t>4.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1C4" w14:textId="66257AAA" w:rsidR="00101C28" w:rsidRDefault="00101C28" w:rsidP="00216514">
            <w:pPr>
              <w:pStyle w:val="TableText"/>
              <w:ind w:left="22"/>
            </w:pPr>
            <w:r>
              <w:t xml:space="preserve">Send specimen for verification to RRL by ordering SARS-COV-2 (COVID-19), INFLUENZA A, INFLUENZA B, MULTIPLEX NAA, HIGH THROUGHPUT [258971]. </w:t>
            </w:r>
          </w:p>
        </w:tc>
      </w:tr>
      <w:tr w:rsidR="00101C28" w14:paraId="70131AA4" w14:textId="77777777" w:rsidTr="00216514">
        <w:tblPrEx>
          <w:tblCellMar>
            <w:left w:w="79" w:type="dxa"/>
            <w:right w:w="79" w:type="dxa"/>
          </w:tblCellMar>
        </w:tblPrEx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27FBAC" w14:textId="09D1E70C" w:rsidR="00101C28" w:rsidRDefault="00101C28" w:rsidP="00216514">
            <w:pPr>
              <w:pStyle w:val="EmbeddedText"/>
              <w:ind w:left="360"/>
              <w:jc w:val="center"/>
            </w:pPr>
            <w:r>
              <w:t>5.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BF3" w14:textId="6C6167EE" w:rsidR="00101C28" w:rsidRDefault="00101C28" w:rsidP="00216514">
            <w:pPr>
              <w:pStyle w:val="TableText"/>
              <w:ind w:left="22"/>
            </w:pPr>
            <w:r>
              <w:t xml:space="preserve">Cancel </w:t>
            </w:r>
            <w:proofErr w:type="spellStart"/>
            <w:r>
              <w:t>COVFlu_MC</w:t>
            </w:r>
            <w:proofErr w:type="spellEnd"/>
            <w:r>
              <w:t xml:space="preserve"> as ‘Conf by Another Method’. Follow cancellation of test protocol.</w:t>
            </w:r>
          </w:p>
        </w:tc>
      </w:tr>
    </w:tbl>
    <w:p w14:paraId="67994C1B" w14:textId="1861AEDC" w:rsidR="006F7CCC" w:rsidRDefault="006F7CCC" w:rsidP="006F7CCC"/>
    <w:p w14:paraId="767DE5E4" w14:textId="56E94FF7" w:rsidR="000F6020" w:rsidRDefault="000F6020" w:rsidP="006F7CCC"/>
    <w:p w14:paraId="4FADA58C" w14:textId="53B4DE80" w:rsidR="000F6020" w:rsidRDefault="000F6020" w:rsidP="006F7CCC"/>
    <w:p w14:paraId="5CC8AAE4" w14:textId="1950D73B" w:rsidR="000F6020" w:rsidRDefault="000F6020" w:rsidP="006F7CCC"/>
    <w:p w14:paraId="7F098611" w14:textId="77777777" w:rsidR="006F7CCC" w:rsidRDefault="006F7CCC" w:rsidP="006F7CCC"/>
    <w:p w14:paraId="2B692759" w14:textId="77777777" w:rsidR="006F7CCC" w:rsidRDefault="006F7CCC" w:rsidP="006F7CCC"/>
    <w:p w14:paraId="7C174DD5" w14:textId="77777777" w:rsidR="006F7CCC" w:rsidRDefault="006F7CCC" w:rsidP="006F7CCC"/>
    <w:p w14:paraId="2511CFAE" w14:textId="77777777" w:rsidR="006F7CCC" w:rsidRDefault="006F7CCC" w:rsidP="006F7CCC"/>
    <w:p w14:paraId="3758FDE2" w14:textId="77777777" w:rsidR="006F7CCC" w:rsidRDefault="006F7CCC" w:rsidP="006F7CCC"/>
    <w:p w14:paraId="6C109F5D" w14:textId="77777777" w:rsidR="006F7CCC" w:rsidRDefault="006F7CCC" w:rsidP="006F7CCC"/>
    <w:p w14:paraId="54BEB1F0" w14:textId="77777777" w:rsidR="006F7CCC" w:rsidRDefault="006F7CCC" w:rsidP="006F7CCC"/>
    <w:p w14:paraId="32BD2778" w14:textId="77777777" w:rsidR="006F7CCC" w:rsidRDefault="006F7CCC" w:rsidP="006F7CCC"/>
    <w:p w14:paraId="1D9FF3EC" w14:textId="77777777" w:rsidR="006F7CCC" w:rsidRDefault="006F7CCC" w:rsidP="006F7CCC"/>
    <w:p w14:paraId="1C5D6999" w14:textId="77777777" w:rsidR="006F7CCC" w:rsidRDefault="006F7CCC" w:rsidP="006F7CCC"/>
    <w:p w14:paraId="46A8C349" w14:textId="77777777" w:rsidR="006F7CCC" w:rsidRDefault="006F7CCC" w:rsidP="006F7CCC"/>
    <w:p w14:paraId="5358A3E8" w14:textId="77777777" w:rsidR="006F7CCC" w:rsidRDefault="006F7CCC" w:rsidP="006F7CCC"/>
    <w:p w14:paraId="6CB5A6AC" w14:textId="77777777" w:rsidR="00A82AF4" w:rsidRPr="00C86923" w:rsidRDefault="00A82AF4" w:rsidP="00A82AF4">
      <w:r w:rsidRPr="009F2840">
        <w:rPr>
          <w:rFonts w:ascii="Arial" w:hAnsi="Arial"/>
          <w:b/>
          <w:sz w:val="32"/>
        </w:rPr>
        <w:t>COBAS LIAT</w:t>
      </w:r>
      <w:r>
        <w:rPr>
          <w:rFonts w:ascii="Arial" w:hAnsi="Arial"/>
          <w:b/>
          <w:sz w:val="32"/>
        </w:rPr>
        <w:t>:</w:t>
      </w:r>
      <w:r w:rsidRPr="009F2840">
        <w:rPr>
          <w:rFonts w:ascii="Arial" w:hAnsi="Arial"/>
          <w:b/>
          <w:sz w:val="32"/>
        </w:rPr>
        <w:t xml:space="preserve"> Multi-analyte</w:t>
      </w:r>
      <w:r>
        <w:rPr>
          <w:rFonts w:ascii="Arial" w:hAnsi="Arial"/>
          <w:b/>
          <w:sz w:val="32"/>
        </w:rPr>
        <w:t xml:space="preserve"> &amp; Questionable</w:t>
      </w:r>
      <w:r w:rsidRPr="009F2840">
        <w:rPr>
          <w:rFonts w:ascii="Arial" w:hAnsi="Arial"/>
          <w:b/>
          <w:sz w:val="32"/>
        </w:rPr>
        <w:t xml:space="preserve"> Positive results</w:t>
      </w:r>
    </w:p>
    <w:p w14:paraId="73EEE94A" w14:textId="77777777" w:rsidR="006F7CCC" w:rsidRDefault="006F7CCC" w:rsidP="006F7CCC"/>
    <w:p w14:paraId="49EC089E" w14:textId="77777777" w:rsidR="006F7CCC" w:rsidRPr="00FC2A34" w:rsidRDefault="006F7CCC" w:rsidP="006F7CCC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F7CCC" w14:paraId="00AC7C8D" w14:textId="77777777" w:rsidTr="00F32C38">
        <w:trPr>
          <w:cantSplit/>
        </w:trPr>
        <w:tc>
          <w:tcPr>
            <w:tcW w:w="1728" w:type="dxa"/>
          </w:tcPr>
          <w:p w14:paraId="7F136F9C" w14:textId="77777777" w:rsidR="006F7CCC" w:rsidRPr="00AD55B2" w:rsidRDefault="006F7CCC" w:rsidP="00F32C38"/>
          <w:p w14:paraId="27ADA830" w14:textId="77777777" w:rsidR="006F7CCC" w:rsidRDefault="006F7CCC" w:rsidP="00F32C38">
            <w:pPr>
              <w:pStyle w:val="Heading5"/>
            </w:pPr>
          </w:p>
          <w:p w14:paraId="4C19FE4C" w14:textId="77777777" w:rsidR="006F7CCC" w:rsidRPr="00781F79" w:rsidRDefault="006F7CCC" w:rsidP="00F32C38">
            <w:pPr>
              <w:pStyle w:val="Heading5"/>
            </w:pPr>
            <w:r>
              <w:t>Reference</w:t>
            </w:r>
          </w:p>
        </w:tc>
        <w:tc>
          <w:tcPr>
            <w:tcW w:w="8010" w:type="dxa"/>
          </w:tcPr>
          <w:p w14:paraId="1C3D80AE" w14:textId="77777777" w:rsidR="006F7CCC" w:rsidRDefault="006F7CCC" w:rsidP="00F32C38"/>
          <w:p w14:paraId="7E7E493B" w14:textId="77777777" w:rsidR="006F7CCC" w:rsidRDefault="006F7CCC" w:rsidP="00F32C3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5102"/>
            </w:tblGrid>
            <w:tr w:rsidR="006F7CCC" w14:paraId="6910C3EE" w14:textId="77777777" w:rsidTr="00F32C38">
              <w:tc>
                <w:tcPr>
                  <w:tcW w:w="2407" w:type="dxa"/>
                  <w:shd w:val="clear" w:color="auto" w:fill="auto"/>
                </w:tcPr>
                <w:p w14:paraId="4DCC5B36" w14:textId="77777777" w:rsidR="006F7CCC" w:rsidRPr="007D3E52" w:rsidRDefault="006F7CCC" w:rsidP="00F32C38">
                  <w:pPr>
                    <w:pStyle w:val="BlockText"/>
                    <w:rPr>
                      <w:b/>
                    </w:rPr>
                  </w:pPr>
                  <w:r w:rsidRPr="007D3E52">
                    <w:rPr>
                      <w:b/>
                    </w:rPr>
                    <w:t>Document Number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33D40D58" w14:textId="77777777" w:rsidR="006F7CCC" w:rsidRPr="007D3E52" w:rsidRDefault="006F7CCC" w:rsidP="00F32C38">
                  <w:pPr>
                    <w:pStyle w:val="BlockText"/>
                    <w:rPr>
                      <w:b/>
                    </w:rPr>
                  </w:pPr>
                  <w:r w:rsidRPr="007D3E52">
                    <w:rPr>
                      <w:b/>
                    </w:rPr>
                    <w:t>Document Name</w:t>
                  </w:r>
                </w:p>
              </w:tc>
            </w:tr>
            <w:tr w:rsidR="006F7CCC" w14:paraId="71C874AF" w14:textId="77777777" w:rsidTr="00F32C38">
              <w:tc>
                <w:tcPr>
                  <w:tcW w:w="2407" w:type="dxa"/>
                  <w:shd w:val="clear" w:color="auto" w:fill="auto"/>
                </w:tcPr>
                <w:p w14:paraId="43396EEE" w14:textId="77777777" w:rsidR="006F7CCC" w:rsidRDefault="006F7CCC" w:rsidP="00F32C38">
                  <w:pPr>
                    <w:pStyle w:val="BlockText"/>
                  </w:pPr>
                  <w:r>
                    <w:t>LAMC-PPP-0123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0D6188C4" w14:textId="77777777" w:rsidR="006F7CCC" w:rsidRDefault="006F7CCC" w:rsidP="00F32C38">
                  <w:pPr>
                    <w:pStyle w:val="BlockText"/>
                  </w:pPr>
                  <w:r>
                    <w:t>Safety Practices</w:t>
                  </w:r>
                </w:p>
              </w:tc>
            </w:tr>
            <w:tr w:rsidR="006F7CCC" w14:paraId="6C864084" w14:textId="77777777" w:rsidTr="00F32C38">
              <w:tc>
                <w:tcPr>
                  <w:tcW w:w="2407" w:type="dxa"/>
                  <w:shd w:val="clear" w:color="auto" w:fill="auto"/>
                </w:tcPr>
                <w:p w14:paraId="3231413B" w14:textId="77777777" w:rsidR="006F7CCC" w:rsidRDefault="006F7CCC" w:rsidP="00F32C38">
                  <w:pPr>
                    <w:jc w:val="center"/>
                  </w:pPr>
                  <w:r w:rsidRPr="00C01AA8">
                    <w:t>LAMC-PPP-012</w:t>
                  </w:r>
                  <w:r>
                    <w:t>7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6A03E64" w14:textId="77777777" w:rsidR="006F7CCC" w:rsidRDefault="006F7CCC" w:rsidP="00F32C38">
                  <w:pPr>
                    <w:pStyle w:val="BlockText"/>
                  </w:pPr>
                  <w:r>
                    <w:t>Infection Control</w:t>
                  </w:r>
                </w:p>
              </w:tc>
            </w:tr>
            <w:tr w:rsidR="006F7CCC" w14:paraId="2742E591" w14:textId="77777777" w:rsidTr="00F32C38">
              <w:tc>
                <w:tcPr>
                  <w:tcW w:w="2407" w:type="dxa"/>
                  <w:shd w:val="clear" w:color="auto" w:fill="auto"/>
                </w:tcPr>
                <w:p w14:paraId="7565FF03" w14:textId="77777777" w:rsidR="006F7CCC" w:rsidRDefault="006F7CCC" w:rsidP="00F32C38">
                  <w:pPr>
                    <w:jc w:val="center"/>
                  </w:pPr>
                  <w:r w:rsidRPr="00C01AA8">
                    <w:t>LAMC-PPP-012</w:t>
                  </w:r>
                  <w:r>
                    <w:t>8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64F5080E" w14:textId="77777777" w:rsidR="006F7CCC" w:rsidRDefault="006F7CCC" w:rsidP="00F32C38">
                  <w:pPr>
                    <w:pStyle w:val="BlockText"/>
                  </w:pPr>
                  <w:r>
                    <w:t>Universal Body Substance Precaution</w:t>
                  </w:r>
                </w:p>
              </w:tc>
            </w:tr>
            <w:tr w:rsidR="006F7CCC" w14:paraId="37302706" w14:textId="77777777" w:rsidTr="00F32C38">
              <w:tc>
                <w:tcPr>
                  <w:tcW w:w="2407" w:type="dxa"/>
                  <w:shd w:val="clear" w:color="auto" w:fill="auto"/>
                </w:tcPr>
                <w:p w14:paraId="4C6DB568" w14:textId="77777777" w:rsidR="006F7CCC" w:rsidRDefault="006F7CCC" w:rsidP="00F32C38">
                  <w:pPr>
                    <w:jc w:val="center"/>
                  </w:pPr>
                  <w:r w:rsidRPr="00C01AA8">
                    <w:t>LAMC-PPP-012</w:t>
                  </w:r>
                  <w:r>
                    <w:t>9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7D5266F" w14:textId="77777777" w:rsidR="006F7CCC" w:rsidRDefault="006F7CCC" w:rsidP="00F32C38">
                  <w:pPr>
                    <w:pStyle w:val="BlockText"/>
                  </w:pPr>
                  <w:r>
                    <w:t>Handling of Regular and Infectious Waste</w:t>
                  </w:r>
                </w:p>
              </w:tc>
            </w:tr>
            <w:tr w:rsidR="006F7CCC" w14:paraId="31DE8F53" w14:textId="77777777" w:rsidTr="00F32C38">
              <w:tc>
                <w:tcPr>
                  <w:tcW w:w="2407" w:type="dxa"/>
                  <w:shd w:val="clear" w:color="auto" w:fill="auto"/>
                </w:tcPr>
                <w:p w14:paraId="4D55DB95" w14:textId="77777777" w:rsidR="006F7CCC" w:rsidRDefault="006F7CCC" w:rsidP="00F32C38">
                  <w:pPr>
                    <w:jc w:val="center"/>
                  </w:pPr>
                  <w:r>
                    <w:t>LAMC-PPP-0130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71D5CB20" w14:textId="77777777" w:rsidR="006F7CCC" w:rsidRDefault="006F7CCC" w:rsidP="00F32C38">
                  <w:pPr>
                    <w:pStyle w:val="BlockText"/>
                  </w:pPr>
                  <w:r>
                    <w:t>Cleaning Work Areas</w:t>
                  </w:r>
                </w:p>
              </w:tc>
            </w:tr>
            <w:tr w:rsidR="006F7CCC" w14:paraId="3CE0C7CC" w14:textId="77777777" w:rsidTr="00F32C38">
              <w:tc>
                <w:tcPr>
                  <w:tcW w:w="2407" w:type="dxa"/>
                  <w:shd w:val="clear" w:color="auto" w:fill="auto"/>
                </w:tcPr>
                <w:p w14:paraId="422D3101" w14:textId="77777777" w:rsidR="006F7CCC" w:rsidRDefault="006F7CCC" w:rsidP="00F32C38">
                  <w:pPr>
                    <w:jc w:val="center"/>
                  </w:pPr>
                  <w:r>
                    <w:t>LAMC-PPP-0132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5ABDC2A3" w14:textId="77777777" w:rsidR="006F7CCC" w:rsidRDefault="006F7CCC" w:rsidP="00F32C38">
                  <w:pPr>
                    <w:pStyle w:val="BlockText"/>
                  </w:pPr>
                  <w:r>
                    <w:t>Hand-washing Policy</w:t>
                  </w:r>
                </w:p>
              </w:tc>
            </w:tr>
            <w:tr w:rsidR="006F7CCC" w14:paraId="0CC22320" w14:textId="77777777" w:rsidTr="00F32C38">
              <w:tc>
                <w:tcPr>
                  <w:tcW w:w="2407" w:type="dxa"/>
                  <w:shd w:val="clear" w:color="auto" w:fill="auto"/>
                </w:tcPr>
                <w:p w14:paraId="165DBC1F" w14:textId="77777777" w:rsidR="006F7CCC" w:rsidRDefault="006F7CCC" w:rsidP="00F32C38">
                  <w:pPr>
                    <w:jc w:val="center"/>
                  </w:pPr>
                  <w:r>
                    <w:t>LAMC-PPP-0134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506B107" w14:textId="77777777" w:rsidR="006F7CCC" w:rsidRDefault="006F7CCC" w:rsidP="00F32C38">
                  <w:pPr>
                    <w:pStyle w:val="BlockText"/>
                  </w:pPr>
                  <w:r>
                    <w:t>Storage and Disposal of Chemical Hazardous Waste</w:t>
                  </w:r>
                </w:p>
              </w:tc>
            </w:tr>
          </w:tbl>
          <w:p w14:paraId="0ECA4457" w14:textId="77777777" w:rsidR="006F7CCC" w:rsidRPr="00D05042" w:rsidRDefault="006F7CCC" w:rsidP="00F32C38">
            <w:pPr>
              <w:rPr>
                <w:szCs w:val="24"/>
              </w:rPr>
            </w:pPr>
          </w:p>
        </w:tc>
      </w:tr>
    </w:tbl>
    <w:p w14:paraId="7432D083" w14:textId="77777777" w:rsidR="006F7CCC" w:rsidRDefault="006F7CCC" w:rsidP="006F7CCC">
      <w:pPr>
        <w:pStyle w:val="ContinuedOnNextPa"/>
        <w:ind w:left="0"/>
        <w:jc w:val="left"/>
        <w:sectPr w:rsidR="006F7CCC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C7620A2" w14:textId="77777777" w:rsidR="006F7CCC" w:rsidRDefault="006F7CCC" w:rsidP="006F7CCC">
      <w:pPr>
        <w:pStyle w:val="MapTitleContinued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F7CCC" w14:paraId="6CCBC14B" w14:textId="77777777" w:rsidTr="00F32C38">
        <w:trPr>
          <w:cantSplit/>
          <w:trHeight w:val="198"/>
        </w:trPr>
        <w:tc>
          <w:tcPr>
            <w:tcW w:w="1728" w:type="dxa"/>
          </w:tcPr>
          <w:p w14:paraId="3ACED393" w14:textId="77777777" w:rsidR="006F7CCC" w:rsidRPr="00781F79" w:rsidRDefault="006F7CCC" w:rsidP="00F32C38">
            <w:pPr>
              <w:pStyle w:val="Heading5"/>
            </w:pPr>
            <w:r w:rsidRPr="00781F79">
              <w:t>A</w:t>
            </w:r>
            <w:r>
              <w:t>uthor(s)</w:t>
            </w:r>
          </w:p>
        </w:tc>
        <w:tc>
          <w:tcPr>
            <w:tcW w:w="8010" w:type="dxa"/>
          </w:tcPr>
          <w:p w14:paraId="2B977762" w14:textId="77777777" w:rsidR="006F7CCC" w:rsidRPr="00D05042" w:rsidRDefault="006F7CCC" w:rsidP="00F32C38">
            <w:pPr>
              <w:rPr>
                <w:szCs w:val="24"/>
              </w:rPr>
            </w:pPr>
            <w:r>
              <w:rPr>
                <w:szCs w:val="24"/>
              </w:rPr>
              <w:t>Alvin Castillo</w:t>
            </w:r>
          </w:p>
        </w:tc>
      </w:tr>
    </w:tbl>
    <w:p w14:paraId="5FC33A27" w14:textId="77777777" w:rsidR="006F7CCC" w:rsidRDefault="006F7CCC" w:rsidP="006F7CCC">
      <w:pPr>
        <w:pStyle w:val="MapTitleContinued"/>
      </w:pPr>
    </w:p>
    <w:p w14:paraId="5FF4F324" w14:textId="6EF57E1F" w:rsidR="006F7CCC" w:rsidRDefault="006F7CCC"/>
    <w:sectPr w:rsidR="006F7CCC" w:rsidSect="00EE758D">
      <w:footerReference w:type="default" r:id="rId11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E77AA" w14:textId="77777777" w:rsidR="00C503AB" w:rsidRDefault="00C503AB">
      <w:r>
        <w:separator/>
      </w:r>
    </w:p>
  </w:endnote>
  <w:endnote w:type="continuationSeparator" w:id="0">
    <w:p w14:paraId="70595869" w14:textId="77777777" w:rsidR="00C503AB" w:rsidRDefault="00C5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BCBE2" w14:textId="77777777" w:rsidR="00136E1B" w:rsidRDefault="000F602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5985ED" w14:textId="77777777" w:rsidR="00136E1B" w:rsidRDefault="00E6469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973A" w14:textId="68EB3444" w:rsidR="00136E1B" w:rsidRDefault="000F602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sz w:val="20"/>
      </w:rPr>
    </w:pPr>
    <w:r>
      <w:rPr>
        <w:sz w:val="20"/>
      </w:rPr>
      <w:t>Document No.: LAMC-PPP-</w:t>
    </w:r>
    <w:r w:rsidR="00E64699">
      <w:rPr>
        <w:sz w:val="20"/>
      </w:rPr>
      <w:t>1335</w:t>
    </w:r>
    <w:r>
      <w:rPr>
        <w:sz w:val="20"/>
      </w:rPr>
      <w:tab/>
      <w:t>QSE: Process Control</w:t>
    </w:r>
    <w:r>
      <w:rPr>
        <w:sz w:val="20"/>
      </w:rPr>
      <w:tab/>
    </w:r>
    <w:r>
      <w:rPr>
        <w:sz w:val="20"/>
      </w:rPr>
      <w:tab/>
      <w:t xml:space="preserve">                         </w:t>
    </w:r>
    <w:r>
      <w:rPr>
        <w:snapToGrid w:val="0"/>
        <w:sz w:val="20"/>
      </w:rPr>
      <w:t xml:space="preserve">Page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of </w:t>
    </w:r>
    <w:r w:rsidR="00E64699">
      <w:rPr>
        <w:snapToGrid w:val="0"/>
        <w:sz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8232" w14:textId="77777777" w:rsidR="00EE758D" w:rsidRDefault="000F602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sz w:val="20"/>
      </w:rPr>
    </w:pPr>
    <w:r>
      <w:rPr>
        <w:sz w:val="20"/>
      </w:rPr>
      <w:t>Document No.: LGM 2031</w:t>
    </w:r>
    <w:r>
      <w:rPr>
        <w:sz w:val="20"/>
      </w:rPr>
      <w:tab/>
      <w:t>QSE: Process Control</w:t>
    </w:r>
    <w:r>
      <w:rPr>
        <w:sz w:val="20"/>
      </w:rPr>
      <w:tab/>
    </w:r>
    <w:r>
      <w:rPr>
        <w:sz w:val="20"/>
      </w:rPr>
      <w:tab/>
    </w:r>
    <w:r>
      <w:rPr>
        <w:snapToGrid w:val="0"/>
        <w:sz w:val="20"/>
      </w:rPr>
      <w:t xml:space="preserve">                </w:t>
    </w:r>
    <w:r>
      <w:rPr>
        <w:sz w:val="20"/>
      </w:rPr>
      <w:tab/>
      <w:t>Version No.: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BA2F9" w14:textId="77777777" w:rsidR="00C503AB" w:rsidRDefault="00C503AB">
      <w:r>
        <w:separator/>
      </w:r>
    </w:p>
  </w:footnote>
  <w:footnote w:type="continuationSeparator" w:id="0">
    <w:p w14:paraId="5A95120F" w14:textId="77777777" w:rsidR="00C503AB" w:rsidRDefault="00C5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AD730" w14:textId="77777777" w:rsidR="00136E1B" w:rsidRDefault="000F60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23E314A" w14:textId="77777777" w:rsidR="00136E1B" w:rsidRDefault="00E64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D38D" w14:textId="77777777" w:rsidR="00136E1B" w:rsidRDefault="000F602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>Kaiser Permanente</w:t>
    </w:r>
    <w:r>
      <w:rPr>
        <w:sz w:val="20"/>
      </w:rPr>
      <w:tab/>
    </w:r>
    <w:r>
      <w:rPr>
        <w:sz w:val="20"/>
      </w:rPr>
      <w:tab/>
      <w:t>SCPMG Laboratory System</w:t>
    </w:r>
  </w:p>
  <w:p w14:paraId="44A280CB" w14:textId="77777777" w:rsidR="00136E1B" w:rsidRDefault="000F602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>Medical Care Program</w:t>
    </w:r>
    <w:r>
      <w:rPr>
        <w:sz w:val="20"/>
      </w:rPr>
      <w:tab/>
    </w:r>
    <w:r>
      <w:rPr>
        <w:sz w:val="20"/>
      </w:rPr>
      <w:tab/>
      <w:t>Process Control</w:t>
    </w:r>
  </w:p>
  <w:p w14:paraId="2933CAE8" w14:textId="77777777" w:rsidR="00136E1B" w:rsidRDefault="000F602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smartTag w:uri="urn:schemas-microsoft-com:office:smarttags" w:element="State">
      <w:r>
        <w:rPr>
          <w:sz w:val="20"/>
        </w:rPr>
        <w:t>California</w:t>
      </w:r>
    </w:smartTag>
    <w:r>
      <w:rPr>
        <w:sz w:val="20"/>
      </w:rPr>
      <w:t xml:space="preserve"> Division – South -</w:t>
    </w:r>
    <w:smartTag w:uri="urn:schemas-microsoft-com:office:smarttags" w:element="place">
      <w:smartTag w:uri="urn:schemas-microsoft-com:office:smarttags" w:element="PlaceName">
        <w:r>
          <w:rPr>
            <w:sz w:val="20"/>
          </w:rPr>
          <w:t>Los Angeles</w:t>
        </w:r>
      </w:smartTag>
      <w:r>
        <w:rPr>
          <w:sz w:val="20"/>
        </w:rPr>
        <w:t xml:space="preserve"> </w:t>
      </w:r>
      <w:smartTag w:uri="urn:schemas-microsoft-com:office:smarttags" w:element="PlaceName">
        <w:r>
          <w:rPr>
            <w:sz w:val="20"/>
          </w:rPr>
          <w:t>Medical</w:t>
        </w:r>
      </w:smartTag>
      <w:r>
        <w:rPr>
          <w:sz w:val="20"/>
        </w:rPr>
        <w:t xml:space="preserve"> </w:t>
      </w:r>
      <w:smartTag w:uri="urn:schemas-microsoft-com:office:smarttags" w:element="PlaceType">
        <w:r>
          <w:rPr>
            <w:sz w:val="20"/>
          </w:rPr>
          <w:t>Center</w:t>
        </w:r>
      </w:smartTag>
    </w:smartTag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156CE"/>
    <w:multiLevelType w:val="hybridMultilevel"/>
    <w:tmpl w:val="B89CC7D2"/>
    <w:lvl w:ilvl="0" w:tplc="20B66F48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6E4D"/>
    <w:multiLevelType w:val="hybridMultilevel"/>
    <w:tmpl w:val="B8A8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B0280"/>
    <w:multiLevelType w:val="hybridMultilevel"/>
    <w:tmpl w:val="1C0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C"/>
    <w:rsid w:val="0001401E"/>
    <w:rsid w:val="000F6020"/>
    <w:rsid w:val="00101C28"/>
    <w:rsid w:val="002310E2"/>
    <w:rsid w:val="002F40DA"/>
    <w:rsid w:val="004B2593"/>
    <w:rsid w:val="00550305"/>
    <w:rsid w:val="005612A5"/>
    <w:rsid w:val="005B2FA0"/>
    <w:rsid w:val="005E4C0C"/>
    <w:rsid w:val="005F2DB6"/>
    <w:rsid w:val="006F7CCC"/>
    <w:rsid w:val="00703A7E"/>
    <w:rsid w:val="008060F5"/>
    <w:rsid w:val="008F52D5"/>
    <w:rsid w:val="009220DB"/>
    <w:rsid w:val="009A4600"/>
    <w:rsid w:val="009B5436"/>
    <w:rsid w:val="009F2840"/>
    <w:rsid w:val="00A536D5"/>
    <w:rsid w:val="00A82AF4"/>
    <w:rsid w:val="00B30A3F"/>
    <w:rsid w:val="00C503AB"/>
    <w:rsid w:val="00C55484"/>
    <w:rsid w:val="00CA1DE7"/>
    <w:rsid w:val="00E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2E94C98"/>
  <w15:chartTrackingRefBased/>
  <w15:docId w15:val="{76E935BA-1408-4015-B67D-EDBE6FB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6F7CCC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6F7CCC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basedOn w:val="DefaultParagraphFont"/>
    <w:link w:val="Heading4"/>
    <w:rsid w:val="006F7CCC"/>
    <w:rPr>
      <w:rFonts w:ascii="Arial" w:eastAsia="Times New Roman" w:hAnsi="Arial" w:cs="Times New Roman"/>
      <w:b/>
      <w:sz w:val="32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6F7CCC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6F7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CCC"/>
    <w:rPr>
      <w:rFonts w:ascii="Times New Roman" w:eastAsia="Times New Roman" w:hAnsi="Times New Roman" w:cs="Times New Roman"/>
      <w:sz w:val="24"/>
      <w:szCs w:val="20"/>
    </w:rPr>
  </w:style>
  <w:style w:type="paragraph" w:customStyle="1" w:styleId="BlockLine">
    <w:name w:val="Block Line"/>
    <w:basedOn w:val="Normal"/>
    <w:next w:val="Normal"/>
    <w:rsid w:val="006F7CCC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6F7CCC"/>
  </w:style>
  <w:style w:type="paragraph" w:customStyle="1" w:styleId="ContinuedOnNextPa">
    <w:name w:val="Continued On Next Pa"/>
    <w:basedOn w:val="Normal"/>
    <w:next w:val="Normal"/>
    <w:rsid w:val="006F7CCC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MapTitleContinued">
    <w:name w:val="Map Title. Continued"/>
    <w:basedOn w:val="Normal"/>
    <w:rsid w:val="006F7CCC"/>
    <w:pPr>
      <w:spacing w:after="24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rsid w:val="006F7C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7CC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6F7CCC"/>
  </w:style>
  <w:style w:type="paragraph" w:customStyle="1" w:styleId="TableText">
    <w:name w:val="Table Text"/>
    <w:basedOn w:val="Normal"/>
    <w:rsid w:val="006F7CCC"/>
  </w:style>
  <w:style w:type="paragraph" w:customStyle="1" w:styleId="TableHeaderText">
    <w:name w:val="Table Header Text"/>
    <w:basedOn w:val="TableText"/>
    <w:rsid w:val="006F7CCC"/>
    <w:pPr>
      <w:jc w:val="center"/>
    </w:pPr>
    <w:rPr>
      <w:b/>
    </w:rPr>
  </w:style>
  <w:style w:type="paragraph" w:customStyle="1" w:styleId="EmbeddedText">
    <w:name w:val="Embedded Text"/>
    <w:basedOn w:val="TableText"/>
    <w:rsid w:val="006F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7</cp:revision>
  <cp:lastPrinted>2021-09-09T15:28:00Z</cp:lastPrinted>
  <dcterms:created xsi:type="dcterms:W3CDTF">2021-07-29T17:52:00Z</dcterms:created>
  <dcterms:modified xsi:type="dcterms:W3CDTF">2021-09-09T15:34:00Z</dcterms:modified>
</cp:coreProperties>
</file>