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ayout w:type="fixed"/>
        <w:tblLook w:val="0000" w:firstRow="0" w:lastRow="0" w:firstColumn="0" w:lastColumn="0" w:noHBand="0" w:noVBand="0"/>
      </w:tblPr>
      <w:tblGrid>
        <w:gridCol w:w="1620"/>
        <w:gridCol w:w="7740"/>
      </w:tblGrid>
      <w:tr w:rsidR="00FB384B" w:rsidRPr="006A62C2" w14:paraId="51A2CA6B" w14:textId="77777777" w:rsidTr="006A62C2">
        <w:trPr>
          <w:cantSplit/>
        </w:trPr>
        <w:tc>
          <w:tcPr>
            <w:tcW w:w="1620" w:type="dxa"/>
          </w:tcPr>
          <w:p w14:paraId="17FF7C70" w14:textId="77777777" w:rsidR="00FB384B" w:rsidRPr="006A62C2" w:rsidRDefault="00FB384B" w:rsidP="006A62C2">
            <w:pPr>
              <w:pStyle w:val="Heading5"/>
              <w:rPr>
                <w:rFonts w:ascii="Arial" w:hAnsi="Arial" w:cs="Arial"/>
                <w:sz w:val="24"/>
                <w:szCs w:val="24"/>
              </w:rPr>
            </w:pPr>
            <w:r w:rsidRPr="006A62C2">
              <w:rPr>
                <w:rFonts w:ascii="Arial" w:hAnsi="Arial" w:cs="Arial"/>
                <w:sz w:val="24"/>
                <w:szCs w:val="24"/>
              </w:rPr>
              <w:t>Purpose</w:t>
            </w:r>
          </w:p>
        </w:tc>
        <w:tc>
          <w:tcPr>
            <w:tcW w:w="7740" w:type="dxa"/>
          </w:tcPr>
          <w:p w14:paraId="3F559786" w14:textId="28CCB439" w:rsidR="00FB384B" w:rsidRPr="006A62C2" w:rsidRDefault="009857C1" w:rsidP="00FA6079">
            <w:pPr>
              <w:pStyle w:val="BlockText"/>
              <w:jc w:val="left"/>
              <w:rPr>
                <w:rFonts w:ascii="Arial" w:hAnsi="Arial" w:cs="Arial"/>
                <w:szCs w:val="24"/>
              </w:rPr>
            </w:pPr>
            <w:r w:rsidRPr="006A62C2">
              <w:rPr>
                <w:rFonts w:ascii="Arial" w:hAnsi="Arial" w:cs="Arial"/>
                <w:szCs w:val="24"/>
              </w:rPr>
              <w:t xml:space="preserve">The purpose of this procedure is to provide instructions in </w:t>
            </w:r>
            <w:r w:rsidR="008A47A4" w:rsidRPr="006A62C2">
              <w:rPr>
                <w:rFonts w:ascii="Arial" w:hAnsi="Arial" w:cs="Arial"/>
                <w:szCs w:val="24"/>
              </w:rPr>
              <w:t>setting up verified new reagent lot for the Cobas LIAT System</w:t>
            </w:r>
          </w:p>
        </w:tc>
      </w:tr>
    </w:tbl>
    <w:p w14:paraId="7FFC4F93" w14:textId="602F17C6" w:rsidR="006A107B" w:rsidRPr="006A62C2" w:rsidRDefault="006A107B" w:rsidP="00414622">
      <w:pPr>
        <w:pStyle w:val="BlockLine"/>
        <w:ind w:left="0"/>
        <w:rPr>
          <w:rFonts w:ascii="Arial" w:hAnsi="Arial" w:cs="Arial"/>
          <w:szCs w:val="24"/>
        </w:rPr>
      </w:pPr>
    </w:p>
    <w:tbl>
      <w:tblPr>
        <w:tblW w:w="0" w:type="auto"/>
        <w:tblLayout w:type="fixed"/>
        <w:tblLook w:val="0000" w:firstRow="0" w:lastRow="0" w:firstColumn="0" w:lastColumn="0" w:noHBand="0" w:noVBand="0"/>
      </w:tblPr>
      <w:tblGrid>
        <w:gridCol w:w="1728"/>
        <w:gridCol w:w="7740"/>
      </w:tblGrid>
      <w:tr w:rsidR="009A016C" w:rsidRPr="006A62C2" w14:paraId="556B915E" w14:textId="77777777" w:rsidTr="003B6009">
        <w:trPr>
          <w:cantSplit/>
        </w:trPr>
        <w:tc>
          <w:tcPr>
            <w:tcW w:w="1728" w:type="dxa"/>
          </w:tcPr>
          <w:p w14:paraId="36C8C510" w14:textId="0EDB161B" w:rsidR="009A016C" w:rsidRPr="006A62C2" w:rsidRDefault="009A016C" w:rsidP="003B6009">
            <w:pPr>
              <w:pStyle w:val="Heading5"/>
              <w:rPr>
                <w:rFonts w:ascii="Arial" w:hAnsi="Arial" w:cs="Arial"/>
                <w:sz w:val="24"/>
                <w:szCs w:val="24"/>
              </w:rPr>
            </w:pPr>
            <w:r w:rsidRPr="006A62C2">
              <w:rPr>
                <w:rFonts w:ascii="Arial" w:hAnsi="Arial" w:cs="Arial"/>
                <w:sz w:val="24"/>
                <w:szCs w:val="24"/>
              </w:rPr>
              <w:t>Policy</w:t>
            </w:r>
          </w:p>
        </w:tc>
        <w:tc>
          <w:tcPr>
            <w:tcW w:w="7740" w:type="dxa"/>
          </w:tcPr>
          <w:p w14:paraId="3910D296" w14:textId="79873E5D" w:rsidR="009A016C" w:rsidRPr="006A62C2" w:rsidRDefault="008A47A4" w:rsidP="003B6009">
            <w:pPr>
              <w:widowControl w:val="0"/>
              <w:rPr>
                <w:rFonts w:ascii="Arial" w:hAnsi="Arial" w:cs="Arial"/>
                <w:szCs w:val="24"/>
              </w:rPr>
            </w:pPr>
            <w:r w:rsidRPr="006A62C2">
              <w:rPr>
                <w:rFonts w:ascii="Arial" w:hAnsi="Arial" w:cs="Arial"/>
                <w:szCs w:val="24"/>
              </w:rPr>
              <w:t xml:space="preserve">New </w:t>
            </w:r>
            <w:r w:rsidR="00C360E1" w:rsidRPr="006A62C2">
              <w:rPr>
                <w:rFonts w:ascii="Arial" w:hAnsi="Arial" w:cs="Arial"/>
                <w:szCs w:val="24"/>
              </w:rPr>
              <w:t xml:space="preserve">reagent lot for Cobas LIAT System will be verified by performing a quality control in one of the Cobas LIAT </w:t>
            </w:r>
            <w:r w:rsidR="006A62C2" w:rsidRPr="006A62C2">
              <w:rPr>
                <w:rFonts w:ascii="Arial" w:hAnsi="Arial" w:cs="Arial"/>
                <w:szCs w:val="24"/>
              </w:rPr>
              <w:t>instruments</w:t>
            </w:r>
            <w:r w:rsidR="00C360E1" w:rsidRPr="006A62C2">
              <w:rPr>
                <w:rFonts w:ascii="Arial" w:hAnsi="Arial" w:cs="Arial"/>
                <w:szCs w:val="24"/>
              </w:rPr>
              <w:t>. Once the new lot has been verified and is acceptable, the new reagent lot is set up in other Cobas LIAT instrument in Microbiology section.</w:t>
            </w:r>
          </w:p>
        </w:tc>
      </w:tr>
    </w:tbl>
    <w:p w14:paraId="09AFE4BE" w14:textId="67978C14" w:rsidR="009A016C" w:rsidRPr="006A62C2" w:rsidRDefault="009A016C" w:rsidP="009A016C">
      <w:pPr>
        <w:rPr>
          <w:rFonts w:ascii="Arial" w:hAnsi="Arial" w:cs="Arial"/>
          <w:szCs w:val="24"/>
        </w:rPr>
      </w:pPr>
    </w:p>
    <w:tbl>
      <w:tblPr>
        <w:tblW w:w="9738" w:type="dxa"/>
        <w:tblLayout w:type="fixed"/>
        <w:tblLook w:val="0000" w:firstRow="0" w:lastRow="0" w:firstColumn="0" w:lastColumn="0" w:noHBand="0" w:noVBand="0"/>
      </w:tblPr>
      <w:tblGrid>
        <w:gridCol w:w="1728"/>
        <w:gridCol w:w="8010"/>
      </w:tblGrid>
      <w:tr w:rsidR="00C85B6B" w:rsidRPr="006A62C2" w14:paraId="52EB5F83" w14:textId="77777777" w:rsidTr="008D03D1">
        <w:trPr>
          <w:cantSplit/>
          <w:trHeight w:val="648"/>
        </w:trPr>
        <w:tc>
          <w:tcPr>
            <w:tcW w:w="1728" w:type="dxa"/>
          </w:tcPr>
          <w:tbl>
            <w:tblPr>
              <w:tblW w:w="0" w:type="auto"/>
              <w:tblLayout w:type="fixed"/>
              <w:tblLook w:val="0000" w:firstRow="0" w:lastRow="0" w:firstColumn="0" w:lastColumn="0" w:noHBand="0" w:noVBand="0"/>
            </w:tblPr>
            <w:tblGrid>
              <w:gridCol w:w="1728"/>
              <w:gridCol w:w="8010"/>
            </w:tblGrid>
            <w:tr w:rsidR="00C85B6B" w:rsidRPr="006A62C2" w14:paraId="24B82B71" w14:textId="77777777" w:rsidTr="008B7E48">
              <w:trPr>
                <w:cantSplit/>
              </w:trPr>
              <w:tc>
                <w:tcPr>
                  <w:tcW w:w="1728" w:type="dxa"/>
                </w:tcPr>
                <w:p w14:paraId="0D85BDE8" w14:textId="77777777" w:rsidR="00C85B6B" w:rsidRPr="006A62C2" w:rsidRDefault="00C85B6B" w:rsidP="00C85B6B">
                  <w:pPr>
                    <w:pStyle w:val="Heading5"/>
                    <w:rPr>
                      <w:rFonts w:ascii="Arial" w:hAnsi="Arial" w:cs="Arial"/>
                      <w:sz w:val="24"/>
                      <w:szCs w:val="24"/>
                    </w:rPr>
                  </w:pPr>
                  <w:r w:rsidRPr="006A62C2">
                    <w:rPr>
                      <w:rFonts w:ascii="Arial" w:hAnsi="Arial" w:cs="Arial"/>
                      <w:sz w:val="24"/>
                      <w:szCs w:val="24"/>
                    </w:rPr>
                    <w:t>Workplace Safety</w:t>
                  </w:r>
                </w:p>
              </w:tc>
              <w:tc>
                <w:tcPr>
                  <w:tcW w:w="8010" w:type="dxa"/>
                </w:tcPr>
                <w:p w14:paraId="5ED3185D" w14:textId="77777777" w:rsidR="00C85B6B" w:rsidRPr="006A62C2" w:rsidRDefault="00C85B6B" w:rsidP="00C85B6B">
                  <w:pPr>
                    <w:rPr>
                      <w:rFonts w:ascii="Arial" w:hAnsi="Arial" w:cs="Arial"/>
                      <w:szCs w:val="24"/>
                    </w:rPr>
                  </w:pPr>
                </w:p>
                <w:p w14:paraId="635A92A2" w14:textId="77777777" w:rsidR="00C85B6B" w:rsidRPr="006A62C2" w:rsidRDefault="00C85B6B" w:rsidP="00C85B6B">
                  <w:pPr>
                    <w:rPr>
                      <w:rFonts w:ascii="Arial" w:hAnsi="Arial" w:cs="Arial"/>
                      <w:szCs w:val="24"/>
                    </w:rPr>
                  </w:pPr>
                </w:p>
              </w:tc>
            </w:tr>
          </w:tbl>
          <w:p w14:paraId="486758AE" w14:textId="77777777" w:rsidR="00C85B6B" w:rsidRPr="006A62C2" w:rsidRDefault="00C85B6B" w:rsidP="00C85B6B">
            <w:pPr>
              <w:pStyle w:val="Heading5"/>
              <w:rPr>
                <w:rFonts w:ascii="Arial" w:hAnsi="Arial" w:cs="Arial"/>
                <w:sz w:val="24"/>
                <w:szCs w:val="24"/>
              </w:rPr>
            </w:pPr>
          </w:p>
        </w:tc>
        <w:tc>
          <w:tcPr>
            <w:tcW w:w="8010" w:type="dxa"/>
          </w:tcPr>
          <w:p w14:paraId="3FC1E1C1" w14:textId="77777777" w:rsidR="00C85B6B" w:rsidRPr="006A62C2" w:rsidRDefault="00C85B6B" w:rsidP="00C85B6B">
            <w:pPr>
              <w:pStyle w:val="BlockText"/>
              <w:tabs>
                <w:tab w:val="left" w:pos="162"/>
              </w:tabs>
              <w:jc w:val="both"/>
              <w:rPr>
                <w:rFonts w:ascii="Arial" w:hAnsi="Arial" w:cs="Arial"/>
                <w:szCs w:val="24"/>
              </w:rPr>
            </w:pPr>
            <w:r w:rsidRPr="006A62C2">
              <w:rPr>
                <w:rFonts w:ascii="Arial" w:hAnsi="Arial" w:cs="Arial"/>
                <w:szCs w:val="24"/>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p w14:paraId="0BFE7B17" w14:textId="77777777" w:rsidR="00C85B6B" w:rsidRPr="006A62C2" w:rsidRDefault="00C85B6B" w:rsidP="00C85B6B">
            <w:pPr>
              <w:pStyle w:val="BlockText"/>
              <w:numPr>
                <w:ilvl w:val="0"/>
                <w:numId w:val="20"/>
              </w:numPr>
              <w:ind w:left="523"/>
              <w:jc w:val="both"/>
              <w:rPr>
                <w:rFonts w:ascii="Arial" w:hAnsi="Arial" w:cs="Arial"/>
                <w:szCs w:val="24"/>
              </w:rPr>
            </w:pPr>
            <w:r w:rsidRPr="006A62C2">
              <w:rPr>
                <w:rFonts w:ascii="Arial" w:hAnsi="Arial" w:cs="Arial"/>
                <w:szCs w:val="24"/>
              </w:rPr>
              <w:t xml:space="preserve">For standard precautions and safety practices in the laboratory;  see </w:t>
            </w:r>
            <w:r w:rsidRPr="006A62C2">
              <w:rPr>
                <w:rFonts w:ascii="Arial" w:hAnsi="Arial" w:cs="Arial"/>
                <w:b/>
                <w:szCs w:val="24"/>
              </w:rPr>
              <w:t>Safety Practices</w:t>
            </w:r>
            <w:r w:rsidRPr="006A62C2">
              <w:rPr>
                <w:rFonts w:ascii="Arial" w:hAnsi="Arial" w:cs="Arial"/>
                <w:szCs w:val="24"/>
              </w:rPr>
              <w:t>, specifically, but not limited to, equipment safety, proper body mechanics, sharps exposure and proper use of personal protective equipment (PPE).</w:t>
            </w:r>
          </w:p>
          <w:p w14:paraId="3CC4C9E4" w14:textId="77777777" w:rsidR="00C85B6B" w:rsidRPr="006A62C2" w:rsidRDefault="00C85B6B" w:rsidP="00C85B6B">
            <w:pPr>
              <w:pStyle w:val="BlockText"/>
              <w:numPr>
                <w:ilvl w:val="0"/>
                <w:numId w:val="20"/>
              </w:numPr>
              <w:ind w:left="523"/>
              <w:jc w:val="both"/>
              <w:rPr>
                <w:rFonts w:ascii="Arial" w:hAnsi="Arial" w:cs="Arial"/>
                <w:szCs w:val="24"/>
              </w:rPr>
            </w:pPr>
            <w:r w:rsidRPr="006A62C2">
              <w:rPr>
                <w:rFonts w:ascii="Arial" w:hAnsi="Arial" w:cs="Arial"/>
                <w:szCs w:val="24"/>
              </w:rPr>
              <w:t xml:space="preserve">For Universal Body Substance precautions, see </w:t>
            </w:r>
            <w:r w:rsidRPr="006A62C2">
              <w:rPr>
                <w:rFonts w:ascii="Arial" w:hAnsi="Arial" w:cs="Arial"/>
                <w:b/>
                <w:szCs w:val="24"/>
              </w:rPr>
              <w:t>Universal Body Substance Precautions</w:t>
            </w:r>
            <w:r w:rsidRPr="006A62C2">
              <w:rPr>
                <w:rFonts w:ascii="Arial" w:hAnsi="Arial" w:cs="Arial"/>
                <w:szCs w:val="24"/>
              </w:rPr>
              <w:t>, specifically, but not limited to, exposure to body fluids.</w:t>
            </w:r>
          </w:p>
          <w:p w14:paraId="648213EE" w14:textId="77777777" w:rsidR="00C85B6B" w:rsidRPr="006A62C2" w:rsidRDefault="00C85B6B" w:rsidP="00C85B6B">
            <w:pPr>
              <w:pStyle w:val="BlockText"/>
              <w:numPr>
                <w:ilvl w:val="0"/>
                <w:numId w:val="20"/>
              </w:numPr>
              <w:ind w:left="523"/>
              <w:jc w:val="both"/>
              <w:rPr>
                <w:rFonts w:ascii="Arial" w:hAnsi="Arial" w:cs="Arial"/>
                <w:szCs w:val="24"/>
              </w:rPr>
            </w:pPr>
            <w:r w:rsidRPr="006A62C2">
              <w:rPr>
                <w:rFonts w:ascii="Arial" w:hAnsi="Arial" w:cs="Arial"/>
                <w:szCs w:val="24"/>
              </w:rPr>
              <w:t xml:space="preserve">For proper hand-washing, see </w:t>
            </w:r>
            <w:r w:rsidRPr="006A62C2">
              <w:rPr>
                <w:rFonts w:ascii="Arial" w:hAnsi="Arial" w:cs="Arial"/>
                <w:b/>
                <w:szCs w:val="24"/>
              </w:rPr>
              <w:t>Hand washing Policy</w:t>
            </w:r>
            <w:r w:rsidRPr="006A62C2">
              <w:rPr>
                <w:rFonts w:ascii="Arial" w:hAnsi="Arial" w:cs="Arial"/>
                <w:szCs w:val="24"/>
              </w:rPr>
              <w:t>, specifically, not limited to, proper hand-washing.</w:t>
            </w:r>
          </w:p>
          <w:p w14:paraId="6D438513" w14:textId="77777777" w:rsidR="00C85B6B" w:rsidRPr="006A62C2" w:rsidRDefault="00C85B6B" w:rsidP="00C85B6B">
            <w:pPr>
              <w:pStyle w:val="BlockText"/>
              <w:numPr>
                <w:ilvl w:val="0"/>
                <w:numId w:val="20"/>
              </w:numPr>
              <w:ind w:left="523"/>
              <w:jc w:val="both"/>
              <w:rPr>
                <w:rFonts w:ascii="Arial" w:hAnsi="Arial" w:cs="Arial"/>
                <w:szCs w:val="24"/>
              </w:rPr>
            </w:pPr>
            <w:r w:rsidRPr="006A62C2">
              <w:rPr>
                <w:rFonts w:ascii="Arial" w:hAnsi="Arial" w:cs="Arial"/>
                <w:szCs w:val="24"/>
              </w:rPr>
              <w:t xml:space="preserve">For proper infection control, see </w:t>
            </w:r>
            <w:r w:rsidRPr="006A62C2">
              <w:rPr>
                <w:rFonts w:ascii="Arial" w:hAnsi="Arial" w:cs="Arial"/>
                <w:b/>
                <w:szCs w:val="24"/>
              </w:rPr>
              <w:t>Infection Control</w:t>
            </w:r>
            <w:r w:rsidRPr="006A62C2">
              <w:rPr>
                <w:rFonts w:ascii="Arial" w:hAnsi="Arial" w:cs="Arial"/>
                <w:szCs w:val="24"/>
              </w:rPr>
              <w:t>, specifically, but not limited to, proper use of gloves.</w:t>
            </w:r>
          </w:p>
          <w:p w14:paraId="52550E28" w14:textId="77777777" w:rsidR="00C85B6B" w:rsidRPr="006A62C2" w:rsidRDefault="00C85B6B" w:rsidP="00C85B6B">
            <w:pPr>
              <w:pStyle w:val="BlockText"/>
              <w:numPr>
                <w:ilvl w:val="0"/>
                <w:numId w:val="20"/>
              </w:numPr>
              <w:ind w:left="523"/>
              <w:jc w:val="both"/>
              <w:rPr>
                <w:rFonts w:ascii="Arial" w:hAnsi="Arial" w:cs="Arial"/>
                <w:szCs w:val="24"/>
              </w:rPr>
            </w:pPr>
            <w:r w:rsidRPr="006A62C2">
              <w:rPr>
                <w:rFonts w:ascii="Arial" w:hAnsi="Arial" w:cs="Arial"/>
                <w:szCs w:val="24"/>
              </w:rPr>
              <w:t xml:space="preserve">For proper handling of regular and infectious waste, see </w:t>
            </w:r>
            <w:r w:rsidRPr="006A62C2">
              <w:rPr>
                <w:rFonts w:ascii="Arial" w:hAnsi="Arial" w:cs="Arial"/>
                <w:b/>
                <w:szCs w:val="24"/>
              </w:rPr>
              <w:t>Handling of Regular and Infectious Waste</w:t>
            </w:r>
            <w:r w:rsidRPr="006A62C2">
              <w:rPr>
                <w:rFonts w:ascii="Arial" w:hAnsi="Arial" w:cs="Arial"/>
                <w:szCs w:val="24"/>
              </w:rPr>
              <w:t>, specifically, but not limited to, proper disposal of regular and biohazardous waste.</w:t>
            </w:r>
          </w:p>
          <w:p w14:paraId="240CEFDF" w14:textId="77777777" w:rsidR="00C85B6B" w:rsidRPr="006A62C2" w:rsidRDefault="00C85B6B" w:rsidP="00C85B6B">
            <w:pPr>
              <w:pStyle w:val="BlockText"/>
              <w:numPr>
                <w:ilvl w:val="0"/>
                <w:numId w:val="20"/>
              </w:numPr>
              <w:ind w:left="523"/>
              <w:jc w:val="both"/>
              <w:rPr>
                <w:rFonts w:ascii="Arial" w:hAnsi="Arial" w:cs="Arial"/>
                <w:szCs w:val="24"/>
              </w:rPr>
            </w:pPr>
            <w:r w:rsidRPr="006A62C2">
              <w:rPr>
                <w:rFonts w:ascii="Arial" w:hAnsi="Arial" w:cs="Arial"/>
                <w:szCs w:val="24"/>
              </w:rPr>
              <w:t xml:space="preserve">For proper cleaning of work area, see </w:t>
            </w:r>
            <w:r w:rsidRPr="006A62C2">
              <w:rPr>
                <w:rFonts w:ascii="Arial" w:hAnsi="Arial" w:cs="Arial"/>
                <w:b/>
                <w:szCs w:val="24"/>
              </w:rPr>
              <w:t>Cleaning Work Areas</w:t>
            </w:r>
            <w:r w:rsidRPr="006A62C2">
              <w:rPr>
                <w:rFonts w:ascii="Arial" w:hAnsi="Arial" w:cs="Arial"/>
                <w:szCs w:val="24"/>
              </w:rPr>
              <w:t>.</w:t>
            </w:r>
          </w:p>
          <w:p w14:paraId="1F5B0199" w14:textId="77777777" w:rsidR="00C85B6B" w:rsidRPr="006A62C2" w:rsidRDefault="00C85B6B" w:rsidP="00C85B6B">
            <w:pPr>
              <w:pStyle w:val="BlockText"/>
              <w:numPr>
                <w:ilvl w:val="0"/>
                <w:numId w:val="20"/>
              </w:numPr>
              <w:ind w:left="523"/>
              <w:jc w:val="both"/>
              <w:rPr>
                <w:rFonts w:ascii="Arial" w:hAnsi="Arial" w:cs="Arial"/>
                <w:szCs w:val="24"/>
              </w:rPr>
            </w:pPr>
            <w:r w:rsidRPr="006A62C2">
              <w:rPr>
                <w:rFonts w:ascii="Arial" w:hAnsi="Arial" w:cs="Arial"/>
                <w:szCs w:val="24"/>
              </w:rPr>
              <w:t>For proper handling of chemicals and reagents, see the Chemical Hygiene Plan.</w:t>
            </w:r>
          </w:p>
          <w:p w14:paraId="01591E48" w14:textId="77777777" w:rsidR="00C85B6B" w:rsidRPr="006A62C2" w:rsidRDefault="00C85B6B" w:rsidP="00C85B6B">
            <w:pPr>
              <w:pStyle w:val="BlockText"/>
              <w:numPr>
                <w:ilvl w:val="0"/>
                <w:numId w:val="20"/>
              </w:numPr>
              <w:tabs>
                <w:tab w:val="left" w:pos="162"/>
              </w:tabs>
              <w:ind w:left="523"/>
              <w:jc w:val="both"/>
              <w:rPr>
                <w:rFonts w:ascii="Arial" w:hAnsi="Arial" w:cs="Arial"/>
                <w:szCs w:val="24"/>
              </w:rPr>
            </w:pPr>
            <w:r w:rsidRPr="006A62C2">
              <w:rPr>
                <w:rFonts w:ascii="Arial" w:hAnsi="Arial" w:cs="Arial"/>
                <w:szCs w:val="24"/>
              </w:rPr>
              <w:t xml:space="preserve">For proper storage and disposal of chemical hazardous waste, see </w:t>
            </w:r>
            <w:r w:rsidRPr="006A62C2">
              <w:rPr>
                <w:rFonts w:ascii="Arial" w:hAnsi="Arial" w:cs="Arial"/>
                <w:b/>
                <w:szCs w:val="24"/>
              </w:rPr>
              <w:t>Storage &amp; Disposal of Chemical Hazardous Waste</w:t>
            </w:r>
            <w:r w:rsidRPr="006A62C2">
              <w:rPr>
                <w:rFonts w:ascii="Arial" w:hAnsi="Arial" w:cs="Arial"/>
                <w:szCs w:val="24"/>
              </w:rPr>
              <w:t>. All laboratory employees are expected to maintain a safe working environment and an injury-free workplace.  Laboratory employees are responsible for their own safety, the safety of others and adhering to all departmental and medical center safety policies and procedures.</w:t>
            </w:r>
          </w:p>
        </w:tc>
      </w:tr>
    </w:tbl>
    <w:p w14:paraId="50CB0C31" w14:textId="77777777" w:rsidR="009857C1" w:rsidRPr="006A62C2" w:rsidRDefault="009857C1" w:rsidP="009857C1">
      <w:pPr>
        <w:pStyle w:val="BlockLine"/>
        <w:rPr>
          <w:rFonts w:ascii="Arial" w:hAnsi="Arial" w:cs="Arial"/>
          <w:szCs w:val="24"/>
        </w:rPr>
      </w:pPr>
    </w:p>
    <w:tbl>
      <w:tblPr>
        <w:tblW w:w="0" w:type="auto"/>
        <w:tblLayout w:type="fixed"/>
        <w:tblLook w:val="0000" w:firstRow="0" w:lastRow="0" w:firstColumn="0" w:lastColumn="0" w:noHBand="0" w:noVBand="0"/>
      </w:tblPr>
      <w:tblGrid>
        <w:gridCol w:w="1728"/>
        <w:gridCol w:w="7740"/>
      </w:tblGrid>
      <w:tr w:rsidR="009857C1" w:rsidRPr="006A62C2" w14:paraId="78AC8720" w14:textId="77777777" w:rsidTr="00221D72">
        <w:trPr>
          <w:cantSplit/>
          <w:trHeight w:val="1080"/>
        </w:trPr>
        <w:tc>
          <w:tcPr>
            <w:tcW w:w="1728" w:type="dxa"/>
          </w:tcPr>
          <w:p w14:paraId="189F9C1B" w14:textId="61B8554A" w:rsidR="009857C1" w:rsidRPr="006A62C2" w:rsidRDefault="00221D72" w:rsidP="008B7E48">
            <w:pPr>
              <w:pStyle w:val="Heading5"/>
              <w:rPr>
                <w:rFonts w:ascii="Arial" w:hAnsi="Arial" w:cs="Arial"/>
                <w:sz w:val="24"/>
                <w:szCs w:val="24"/>
              </w:rPr>
            </w:pPr>
            <w:r w:rsidRPr="006A62C2">
              <w:rPr>
                <w:rFonts w:ascii="Arial" w:hAnsi="Arial" w:cs="Arial"/>
                <w:sz w:val="24"/>
                <w:szCs w:val="24"/>
              </w:rPr>
              <w:t>Reagent</w:t>
            </w:r>
            <w:r w:rsidR="00C360E1" w:rsidRPr="006A62C2">
              <w:rPr>
                <w:rFonts w:ascii="Arial" w:hAnsi="Arial" w:cs="Arial"/>
                <w:sz w:val="24"/>
                <w:szCs w:val="24"/>
              </w:rPr>
              <w:t xml:space="preserve"> and materials</w:t>
            </w:r>
          </w:p>
        </w:tc>
        <w:tc>
          <w:tcPr>
            <w:tcW w:w="7740" w:type="dxa"/>
          </w:tcPr>
          <w:p w14:paraId="611C8DEA" w14:textId="319906EF" w:rsidR="00DE2EAB" w:rsidRPr="006A62C2" w:rsidRDefault="00C360E1" w:rsidP="00221D72">
            <w:pPr>
              <w:pStyle w:val="BlockText"/>
              <w:numPr>
                <w:ilvl w:val="0"/>
                <w:numId w:val="37"/>
              </w:numPr>
              <w:jc w:val="left"/>
              <w:rPr>
                <w:rFonts w:ascii="Arial" w:hAnsi="Arial" w:cs="Arial"/>
                <w:szCs w:val="24"/>
              </w:rPr>
            </w:pPr>
            <w:r w:rsidRPr="006A62C2">
              <w:rPr>
                <w:rFonts w:ascii="Arial" w:hAnsi="Arial" w:cs="Arial"/>
                <w:szCs w:val="24"/>
              </w:rPr>
              <w:t>Cobas SARS-CoV-2 &amp; Influenza A/B Reagent kit</w:t>
            </w:r>
          </w:p>
          <w:p w14:paraId="2E4B0D35" w14:textId="77777777" w:rsidR="00C360E1" w:rsidRPr="006A62C2" w:rsidRDefault="00C360E1" w:rsidP="00221D72">
            <w:pPr>
              <w:pStyle w:val="BlockText"/>
              <w:numPr>
                <w:ilvl w:val="0"/>
                <w:numId w:val="37"/>
              </w:numPr>
              <w:jc w:val="left"/>
              <w:rPr>
                <w:rFonts w:ascii="Arial" w:hAnsi="Arial" w:cs="Arial"/>
                <w:szCs w:val="24"/>
              </w:rPr>
            </w:pPr>
            <w:r w:rsidRPr="006A62C2">
              <w:rPr>
                <w:rFonts w:ascii="Arial" w:hAnsi="Arial" w:cs="Arial"/>
                <w:szCs w:val="24"/>
              </w:rPr>
              <w:t>Cobas SARS-CoV-2 &amp; Influenza A/B</w:t>
            </w:r>
            <w:r w:rsidRPr="006A62C2">
              <w:rPr>
                <w:rFonts w:ascii="Arial" w:hAnsi="Arial" w:cs="Arial"/>
                <w:szCs w:val="24"/>
              </w:rPr>
              <w:t xml:space="preserve"> Quality Control Kit</w:t>
            </w:r>
          </w:p>
          <w:p w14:paraId="5C31AC51" w14:textId="7772F0B9" w:rsidR="00C360E1" w:rsidRPr="006A62C2" w:rsidRDefault="00C360E1" w:rsidP="00221D72">
            <w:pPr>
              <w:pStyle w:val="BlockText"/>
              <w:numPr>
                <w:ilvl w:val="0"/>
                <w:numId w:val="37"/>
              </w:numPr>
              <w:jc w:val="left"/>
              <w:rPr>
                <w:rFonts w:ascii="Arial" w:hAnsi="Arial" w:cs="Arial"/>
                <w:szCs w:val="24"/>
              </w:rPr>
            </w:pPr>
            <w:r w:rsidRPr="006A62C2">
              <w:rPr>
                <w:rFonts w:ascii="Arial" w:hAnsi="Arial" w:cs="Arial"/>
                <w:szCs w:val="24"/>
              </w:rPr>
              <w:t>Advanced Tools Key USB</w:t>
            </w:r>
          </w:p>
        </w:tc>
      </w:tr>
    </w:tbl>
    <w:p w14:paraId="0DC8BF74" w14:textId="77777777" w:rsidR="009857C1" w:rsidRPr="006A62C2" w:rsidRDefault="009857C1" w:rsidP="009857C1">
      <w:pPr>
        <w:rPr>
          <w:rFonts w:ascii="Arial" w:hAnsi="Arial" w:cs="Arial"/>
          <w:szCs w:val="24"/>
        </w:rPr>
      </w:pPr>
    </w:p>
    <w:tbl>
      <w:tblPr>
        <w:tblW w:w="0" w:type="auto"/>
        <w:tblLayout w:type="fixed"/>
        <w:tblLook w:val="0000" w:firstRow="0" w:lastRow="0" w:firstColumn="0" w:lastColumn="0" w:noHBand="0" w:noVBand="0"/>
      </w:tblPr>
      <w:tblGrid>
        <w:gridCol w:w="1728"/>
        <w:gridCol w:w="7740"/>
      </w:tblGrid>
      <w:tr w:rsidR="00414622" w:rsidRPr="006A62C2" w14:paraId="74859F6C" w14:textId="77777777" w:rsidTr="008B7E48">
        <w:trPr>
          <w:cantSplit/>
        </w:trPr>
        <w:tc>
          <w:tcPr>
            <w:tcW w:w="1728" w:type="dxa"/>
          </w:tcPr>
          <w:p w14:paraId="757D8F4F" w14:textId="4F99F40D" w:rsidR="00414622" w:rsidRPr="006A62C2" w:rsidRDefault="00A11283" w:rsidP="008B7E48">
            <w:pPr>
              <w:pStyle w:val="Heading5"/>
              <w:rPr>
                <w:rFonts w:ascii="Arial" w:hAnsi="Arial" w:cs="Arial"/>
                <w:sz w:val="24"/>
                <w:szCs w:val="24"/>
              </w:rPr>
            </w:pPr>
            <w:r w:rsidRPr="006A62C2">
              <w:rPr>
                <w:rFonts w:ascii="Arial" w:hAnsi="Arial" w:cs="Arial"/>
                <w:sz w:val="24"/>
                <w:szCs w:val="24"/>
              </w:rPr>
              <w:lastRenderedPageBreak/>
              <w:t>Setting up new reagent lot</w:t>
            </w:r>
          </w:p>
        </w:tc>
        <w:tc>
          <w:tcPr>
            <w:tcW w:w="7740" w:type="dxa"/>
          </w:tcPr>
          <w:tbl>
            <w:tblPr>
              <w:tblStyle w:val="TableGrid"/>
              <w:tblW w:w="0" w:type="auto"/>
              <w:tblInd w:w="360" w:type="dxa"/>
              <w:tblLayout w:type="fixed"/>
              <w:tblLook w:val="04A0" w:firstRow="1" w:lastRow="0" w:firstColumn="1" w:lastColumn="0" w:noHBand="0" w:noVBand="1"/>
            </w:tblPr>
            <w:tblGrid>
              <w:gridCol w:w="1136"/>
              <w:gridCol w:w="5940"/>
            </w:tblGrid>
            <w:tr w:rsidR="00A11283" w:rsidRPr="006A62C2" w14:paraId="31B52661" w14:textId="77777777" w:rsidTr="00A11283">
              <w:tc>
                <w:tcPr>
                  <w:tcW w:w="1136" w:type="dxa"/>
                </w:tcPr>
                <w:p w14:paraId="540C12DF" w14:textId="524A54E4" w:rsidR="00A11283" w:rsidRPr="006A62C2" w:rsidRDefault="00A11283" w:rsidP="00A11283">
                  <w:pPr>
                    <w:widowControl w:val="0"/>
                    <w:rPr>
                      <w:rFonts w:ascii="Arial" w:hAnsi="Arial" w:cs="Arial"/>
                      <w:szCs w:val="24"/>
                    </w:rPr>
                  </w:pPr>
                  <w:r w:rsidRPr="006A62C2">
                    <w:rPr>
                      <w:rFonts w:ascii="Arial" w:hAnsi="Arial" w:cs="Arial"/>
                      <w:szCs w:val="24"/>
                    </w:rPr>
                    <w:t>Steps</w:t>
                  </w:r>
                </w:p>
              </w:tc>
              <w:tc>
                <w:tcPr>
                  <w:tcW w:w="5940" w:type="dxa"/>
                </w:tcPr>
                <w:p w14:paraId="6E3CE8A0" w14:textId="6B898E5B" w:rsidR="00A11283" w:rsidRPr="006A62C2" w:rsidRDefault="00A11283" w:rsidP="00A11283">
                  <w:pPr>
                    <w:widowControl w:val="0"/>
                    <w:rPr>
                      <w:rFonts w:ascii="Arial" w:hAnsi="Arial" w:cs="Arial"/>
                      <w:szCs w:val="24"/>
                    </w:rPr>
                  </w:pPr>
                  <w:r w:rsidRPr="006A62C2">
                    <w:rPr>
                      <w:rFonts w:ascii="Arial" w:hAnsi="Arial" w:cs="Arial"/>
                      <w:szCs w:val="24"/>
                    </w:rPr>
                    <w:t>Action</w:t>
                  </w:r>
                </w:p>
              </w:tc>
            </w:tr>
            <w:tr w:rsidR="00A11283" w:rsidRPr="006A62C2" w14:paraId="14211F65" w14:textId="77777777" w:rsidTr="00A11283">
              <w:tc>
                <w:tcPr>
                  <w:tcW w:w="1136" w:type="dxa"/>
                </w:tcPr>
                <w:p w14:paraId="0D8E3294" w14:textId="77777777" w:rsidR="00A11283" w:rsidRPr="006A62C2" w:rsidRDefault="00A11283" w:rsidP="00A11283">
                  <w:pPr>
                    <w:pStyle w:val="ListParagraph"/>
                    <w:widowControl w:val="0"/>
                    <w:numPr>
                      <w:ilvl w:val="0"/>
                      <w:numId w:val="38"/>
                    </w:numPr>
                    <w:jc w:val="center"/>
                    <w:rPr>
                      <w:rFonts w:ascii="Arial" w:hAnsi="Arial" w:cs="Arial"/>
                      <w:szCs w:val="24"/>
                    </w:rPr>
                  </w:pPr>
                </w:p>
              </w:tc>
              <w:tc>
                <w:tcPr>
                  <w:tcW w:w="5940" w:type="dxa"/>
                </w:tcPr>
                <w:p w14:paraId="0874358C" w14:textId="4104335A" w:rsidR="00A93AD5" w:rsidRPr="00A93AD5" w:rsidRDefault="00A93AD5" w:rsidP="00A93AD5">
                  <w:pPr>
                    <w:shd w:val="clear" w:color="auto" w:fill="FFFFFF"/>
                    <w:rPr>
                      <w:rFonts w:ascii="Arial" w:hAnsi="Arial" w:cs="Arial"/>
                      <w:szCs w:val="24"/>
                    </w:rPr>
                  </w:pPr>
                  <w:r w:rsidRPr="006A62C2">
                    <w:rPr>
                      <w:rFonts w:ascii="Arial" w:hAnsi="Arial" w:cs="Arial"/>
                      <w:szCs w:val="24"/>
                    </w:rPr>
                    <w:t xml:space="preserve">Instrument will alert if new lot has not been verified in your instrument. If this is the case, perform Quality Control on the new reagent lot using one of the Cobas LIAT instruments. See procedure </w:t>
                  </w:r>
                  <w:r w:rsidRPr="006A62C2">
                    <w:rPr>
                      <w:rFonts w:ascii="Arial" w:hAnsi="Arial" w:cs="Arial"/>
                      <w:b/>
                      <w:bCs/>
                      <w:i/>
                      <w:iCs/>
                      <w:szCs w:val="24"/>
                    </w:rPr>
                    <w:t xml:space="preserve">LAMC-PPP-1290 </w:t>
                  </w:r>
                  <w:r w:rsidRPr="006A62C2">
                    <w:rPr>
                      <w:rFonts w:ascii="Arial" w:hAnsi="Arial" w:cs="Arial"/>
                      <w:b/>
                      <w:bCs/>
                      <w:i/>
                      <w:iCs/>
                      <w:szCs w:val="24"/>
                    </w:rPr>
                    <w:t>COBAS</w:t>
                  </w:r>
                  <w:r w:rsidRPr="00A93AD5">
                    <w:rPr>
                      <w:rFonts w:ascii="Arial" w:hAnsi="Arial" w:cs="Arial"/>
                      <w:b/>
                      <w:bCs/>
                      <w:i/>
                      <w:iCs/>
                      <w:szCs w:val="24"/>
                    </w:rPr>
                    <w:t>®</w:t>
                  </w:r>
                  <w:r w:rsidRPr="006A62C2">
                    <w:rPr>
                      <w:rFonts w:ascii="Arial" w:hAnsi="Arial" w:cs="Arial"/>
                      <w:b/>
                      <w:bCs/>
                      <w:i/>
                      <w:iCs/>
                      <w:szCs w:val="24"/>
                    </w:rPr>
                    <w:t xml:space="preserve"> </w:t>
                  </w:r>
                  <w:r w:rsidRPr="00A93AD5">
                    <w:rPr>
                      <w:rFonts w:ascii="Arial" w:hAnsi="Arial" w:cs="Arial"/>
                      <w:b/>
                      <w:bCs/>
                      <w:i/>
                      <w:iCs/>
                      <w:szCs w:val="24"/>
                    </w:rPr>
                    <w:t xml:space="preserve">LIAT SYSTEM –SARS-CoV-2 &amp; Influenza A/B </w:t>
                  </w:r>
                  <w:r w:rsidRPr="006A62C2">
                    <w:rPr>
                      <w:rFonts w:ascii="Arial" w:hAnsi="Arial" w:cs="Arial"/>
                      <w:szCs w:val="24"/>
                    </w:rPr>
                    <w:t>for detailed process.</w:t>
                  </w:r>
                  <w:r w:rsidR="003B241F" w:rsidRPr="006A62C2">
                    <w:rPr>
                      <w:rFonts w:ascii="Arial" w:hAnsi="Arial" w:cs="Arial"/>
                      <w:szCs w:val="24"/>
                    </w:rPr>
                    <w:t xml:space="preserve"> Complete the LIAT QC form for documentation of quality control performed.</w:t>
                  </w:r>
                </w:p>
                <w:p w14:paraId="23371B5A" w14:textId="6D36E5BE" w:rsidR="00A11283" w:rsidRPr="006A62C2" w:rsidRDefault="00A11283" w:rsidP="00A11283">
                  <w:pPr>
                    <w:widowControl w:val="0"/>
                    <w:rPr>
                      <w:rFonts w:ascii="Arial" w:hAnsi="Arial" w:cs="Arial"/>
                      <w:szCs w:val="24"/>
                    </w:rPr>
                  </w:pPr>
                </w:p>
              </w:tc>
            </w:tr>
            <w:tr w:rsidR="00A11283" w:rsidRPr="006A62C2" w14:paraId="6D9F4EA6" w14:textId="77777777" w:rsidTr="00A11283">
              <w:tc>
                <w:tcPr>
                  <w:tcW w:w="1136" w:type="dxa"/>
                </w:tcPr>
                <w:p w14:paraId="55BE150C" w14:textId="77777777" w:rsidR="00A11283" w:rsidRPr="006A62C2" w:rsidRDefault="00A11283" w:rsidP="00A93AD5">
                  <w:pPr>
                    <w:pStyle w:val="ListParagraph"/>
                    <w:widowControl w:val="0"/>
                    <w:numPr>
                      <w:ilvl w:val="0"/>
                      <w:numId w:val="38"/>
                    </w:numPr>
                    <w:rPr>
                      <w:rFonts w:ascii="Arial" w:hAnsi="Arial" w:cs="Arial"/>
                      <w:szCs w:val="24"/>
                    </w:rPr>
                  </w:pPr>
                </w:p>
              </w:tc>
              <w:tc>
                <w:tcPr>
                  <w:tcW w:w="5940" w:type="dxa"/>
                </w:tcPr>
                <w:p w14:paraId="783A3F67" w14:textId="0A74E152" w:rsidR="00A11283" w:rsidRPr="006A62C2" w:rsidRDefault="00A93AD5" w:rsidP="00A11283">
                  <w:pPr>
                    <w:widowControl w:val="0"/>
                    <w:rPr>
                      <w:rFonts w:ascii="Arial" w:hAnsi="Arial" w:cs="Arial"/>
                      <w:szCs w:val="24"/>
                    </w:rPr>
                  </w:pPr>
                  <w:r w:rsidRPr="006A62C2">
                    <w:rPr>
                      <w:rFonts w:ascii="Arial" w:hAnsi="Arial" w:cs="Arial"/>
                      <w:szCs w:val="24"/>
                    </w:rPr>
                    <w:t xml:space="preserve">Once the Negative and Positive Control has passed </w:t>
                  </w:r>
                  <w:r w:rsidR="00403094">
                    <w:rPr>
                      <w:rFonts w:ascii="Arial" w:hAnsi="Arial" w:cs="Arial"/>
                      <w:szCs w:val="24"/>
                    </w:rPr>
                    <w:t xml:space="preserve">QC </w:t>
                  </w:r>
                  <w:r w:rsidRPr="006A62C2">
                    <w:rPr>
                      <w:rFonts w:ascii="Arial" w:hAnsi="Arial" w:cs="Arial"/>
                      <w:szCs w:val="24"/>
                    </w:rPr>
                    <w:t>testing, instrument used for new lot verification is ready for patient testing. New lot data is now ready to be exported in other instruments in Microbiology section.</w:t>
                  </w:r>
                </w:p>
              </w:tc>
            </w:tr>
            <w:tr w:rsidR="00A11283" w:rsidRPr="006A62C2" w14:paraId="2DA6299D" w14:textId="77777777" w:rsidTr="00A11283">
              <w:tc>
                <w:tcPr>
                  <w:tcW w:w="1136" w:type="dxa"/>
                </w:tcPr>
                <w:p w14:paraId="13991671" w14:textId="77777777" w:rsidR="00A11283" w:rsidRPr="006A62C2" w:rsidRDefault="00A11283" w:rsidP="00A93AD5">
                  <w:pPr>
                    <w:pStyle w:val="ListParagraph"/>
                    <w:widowControl w:val="0"/>
                    <w:numPr>
                      <w:ilvl w:val="0"/>
                      <w:numId w:val="38"/>
                    </w:numPr>
                    <w:rPr>
                      <w:rFonts w:ascii="Arial" w:hAnsi="Arial" w:cs="Arial"/>
                      <w:szCs w:val="24"/>
                    </w:rPr>
                  </w:pPr>
                </w:p>
              </w:tc>
              <w:tc>
                <w:tcPr>
                  <w:tcW w:w="5940" w:type="dxa"/>
                </w:tcPr>
                <w:p w14:paraId="72FEA252" w14:textId="3014118D" w:rsidR="00A11283" w:rsidRPr="006A62C2" w:rsidRDefault="00A93AD5" w:rsidP="00A11283">
                  <w:pPr>
                    <w:widowControl w:val="0"/>
                    <w:rPr>
                      <w:rFonts w:ascii="Arial" w:hAnsi="Arial" w:cs="Arial"/>
                      <w:szCs w:val="24"/>
                    </w:rPr>
                  </w:pPr>
                  <w:r w:rsidRPr="006A62C2">
                    <w:rPr>
                      <w:rFonts w:ascii="Arial" w:hAnsi="Arial" w:cs="Arial"/>
                      <w:szCs w:val="24"/>
                    </w:rPr>
                    <w:t>To export the new lot data, insert the Advanced Tools Key USB in the instrument the QC was performed.</w:t>
                  </w:r>
                </w:p>
              </w:tc>
            </w:tr>
            <w:tr w:rsidR="00A11283" w:rsidRPr="006A62C2" w14:paraId="6CCCB28C" w14:textId="77777777" w:rsidTr="00A11283">
              <w:tc>
                <w:tcPr>
                  <w:tcW w:w="1136" w:type="dxa"/>
                </w:tcPr>
                <w:p w14:paraId="5A972F65" w14:textId="77777777" w:rsidR="00A11283" w:rsidRPr="006A62C2" w:rsidRDefault="00A11283" w:rsidP="00A93AD5">
                  <w:pPr>
                    <w:pStyle w:val="ListParagraph"/>
                    <w:widowControl w:val="0"/>
                    <w:numPr>
                      <w:ilvl w:val="0"/>
                      <w:numId w:val="38"/>
                    </w:numPr>
                    <w:rPr>
                      <w:rFonts w:ascii="Arial" w:hAnsi="Arial" w:cs="Arial"/>
                      <w:szCs w:val="24"/>
                    </w:rPr>
                  </w:pPr>
                </w:p>
              </w:tc>
              <w:tc>
                <w:tcPr>
                  <w:tcW w:w="5940" w:type="dxa"/>
                </w:tcPr>
                <w:p w14:paraId="75021AD7" w14:textId="04040373" w:rsidR="00A11283" w:rsidRPr="006A62C2" w:rsidRDefault="003B241F" w:rsidP="00A11283">
                  <w:pPr>
                    <w:widowControl w:val="0"/>
                    <w:rPr>
                      <w:rFonts w:ascii="Arial" w:hAnsi="Arial" w:cs="Arial"/>
                      <w:szCs w:val="24"/>
                    </w:rPr>
                  </w:pPr>
                  <w:r w:rsidRPr="006A62C2">
                    <w:rPr>
                      <w:rFonts w:ascii="Arial" w:hAnsi="Arial" w:cs="Arial"/>
                      <w:szCs w:val="24"/>
                    </w:rPr>
                    <w:t>From the Main Menu select ‘Tools’.</w:t>
                  </w:r>
                </w:p>
              </w:tc>
            </w:tr>
            <w:tr w:rsidR="00A11283" w:rsidRPr="006A62C2" w14:paraId="476B0735" w14:textId="77777777" w:rsidTr="00A11283">
              <w:tc>
                <w:tcPr>
                  <w:tcW w:w="1136" w:type="dxa"/>
                </w:tcPr>
                <w:p w14:paraId="03EA9C39" w14:textId="77777777" w:rsidR="00A11283" w:rsidRPr="006A62C2" w:rsidRDefault="00A11283" w:rsidP="00A93AD5">
                  <w:pPr>
                    <w:pStyle w:val="ListParagraph"/>
                    <w:widowControl w:val="0"/>
                    <w:numPr>
                      <w:ilvl w:val="0"/>
                      <w:numId w:val="38"/>
                    </w:numPr>
                    <w:rPr>
                      <w:rFonts w:ascii="Arial" w:hAnsi="Arial" w:cs="Arial"/>
                      <w:szCs w:val="24"/>
                    </w:rPr>
                  </w:pPr>
                </w:p>
              </w:tc>
              <w:tc>
                <w:tcPr>
                  <w:tcW w:w="5940" w:type="dxa"/>
                </w:tcPr>
                <w:p w14:paraId="5A77F7D2" w14:textId="7CADDE87" w:rsidR="00A11283" w:rsidRPr="006A62C2" w:rsidRDefault="003B241F" w:rsidP="00A11283">
                  <w:pPr>
                    <w:widowControl w:val="0"/>
                    <w:rPr>
                      <w:rFonts w:ascii="Arial" w:hAnsi="Arial" w:cs="Arial"/>
                      <w:szCs w:val="24"/>
                    </w:rPr>
                  </w:pPr>
                  <w:r w:rsidRPr="006A62C2">
                    <w:rPr>
                      <w:rFonts w:ascii="Arial" w:hAnsi="Arial" w:cs="Arial"/>
                      <w:szCs w:val="24"/>
                    </w:rPr>
                    <w:t>From the ‘Tools’ window select ‘Export Data’.</w:t>
                  </w:r>
                </w:p>
              </w:tc>
            </w:tr>
            <w:tr w:rsidR="00A11283" w:rsidRPr="006A62C2" w14:paraId="372C8560" w14:textId="77777777" w:rsidTr="00A11283">
              <w:tc>
                <w:tcPr>
                  <w:tcW w:w="1136" w:type="dxa"/>
                </w:tcPr>
                <w:p w14:paraId="700066E0" w14:textId="77777777" w:rsidR="00A11283" w:rsidRPr="006A62C2" w:rsidRDefault="00A11283" w:rsidP="00A93AD5">
                  <w:pPr>
                    <w:pStyle w:val="ListParagraph"/>
                    <w:widowControl w:val="0"/>
                    <w:numPr>
                      <w:ilvl w:val="0"/>
                      <w:numId w:val="38"/>
                    </w:numPr>
                    <w:rPr>
                      <w:rFonts w:ascii="Arial" w:hAnsi="Arial" w:cs="Arial"/>
                      <w:szCs w:val="24"/>
                    </w:rPr>
                  </w:pPr>
                </w:p>
              </w:tc>
              <w:tc>
                <w:tcPr>
                  <w:tcW w:w="5940" w:type="dxa"/>
                </w:tcPr>
                <w:p w14:paraId="5A778B6C" w14:textId="36FC2759" w:rsidR="00A11283" w:rsidRPr="006A62C2" w:rsidRDefault="003B241F" w:rsidP="00A11283">
                  <w:pPr>
                    <w:widowControl w:val="0"/>
                    <w:rPr>
                      <w:rFonts w:ascii="Arial" w:hAnsi="Arial" w:cs="Arial"/>
                      <w:szCs w:val="24"/>
                    </w:rPr>
                  </w:pPr>
                  <w:r w:rsidRPr="006A62C2">
                    <w:rPr>
                      <w:rFonts w:ascii="Arial" w:hAnsi="Arial" w:cs="Arial"/>
                      <w:szCs w:val="24"/>
                    </w:rPr>
                    <w:t>Then select ‘Export assay lots’.</w:t>
                  </w:r>
                </w:p>
              </w:tc>
            </w:tr>
            <w:tr w:rsidR="00A11283" w:rsidRPr="006A62C2" w14:paraId="494874AC" w14:textId="77777777" w:rsidTr="00A11283">
              <w:tc>
                <w:tcPr>
                  <w:tcW w:w="1136" w:type="dxa"/>
                </w:tcPr>
                <w:p w14:paraId="4205973B" w14:textId="77777777" w:rsidR="00A11283" w:rsidRPr="006A62C2" w:rsidRDefault="00A11283" w:rsidP="00A93AD5">
                  <w:pPr>
                    <w:pStyle w:val="ListParagraph"/>
                    <w:widowControl w:val="0"/>
                    <w:numPr>
                      <w:ilvl w:val="0"/>
                      <w:numId w:val="38"/>
                    </w:numPr>
                    <w:rPr>
                      <w:rFonts w:ascii="Arial" w:hAnsi="Arial" w:cs="Arial"/>
                      <w:szCs w:val="24"/>
                    </w:rPr>
                  </w:pPr>
                </w:p>
              </w:tc>
              <w:tc>
                <w:tcPr>
                  <w:tcW w:w="5940" w:type="dxa"/>
                </w:tcPr>
                <w:p w14:paraId="6B8786BA" w14:textId="4AECC40E" w:rsidR="00A11283" w:rsidRPr="006A62C2" w:rsidRDefault="003B241F" w:rsidP="00A11283">
                  <w:pPr>
                    <w:widowControl w:val="0"/>
                    <w:rPr>
                      <w:rFonts w:ascii="Arial" w:hAnsi="Arial" w:cs="Arial"/>
                      <w:szCs w:val="24"/>
                    </w:rPr>
                  </w:pPr>
                  <w:r w:rsidRPr="006A62C2">
                    <w:rPr>
                      <w:rFonts w:ascii="Arial" w:hAnsi="Arial" w:cs="Arial"/>
                      <w:szCs w:val="24"/>
                    </w:rPr>
                    <w:t>A question window will appear “Do you want to merge or replace the lot list?”.  Always select ‘MERGE’.</w:t>
                  </w:r>
                </w:p>
              </w:tc>
            </w:tr>
            <w:tr w:rsidR="003B241F" w:rsidRPr="006A62C2" w14:paraId="2C8692C0" w14:textId="77777777" w:rsidTr="00A11283">
              <w:tc>
                <w:tcPr>
                  <w:tcW w:w="1136" w:type="dxa"/>
                </w:tcPr>
                <w:p w14:paraId="12C147C7" w14:textId="77777777" w:rsidR="003B241F" w:rsidRPr="006A62C2" w:rsidRDefault="003B241F" w:rsidP="00A93AD5">
                  <w:pPr>
                    <w:pStyle w:val="ListParagraph"/>
                    <w:widowControl w:val="0"/>
                    <w:numPr>
                      <w:ilvl w:val="0"/>
                      <w:numId w:val="38"/>
                    </w:numPr>
                    <w:rPr>
                      <w:rFonts w:ascii="Arial" w:hAnsi="Arial" w:cs="Arial"/>
                      <w:szCs w:val="24"/>
                    </w:rPr>
                  </w:pPr>
                </w:p>
              </w:tc>
              <w:tc>
                <w:tcPr>
                  <w:tcW w:w="5940" w:type="dxa"/>
                </w:tcPr>
                <w:p w14:paraId="1BEB4A1A" w14:textId="327DEB0A" w:rsidR="003B241F" w:rsidRPr="006A62C2" w:rsidRDefault="003B241F" w:rsidP="00A11283">
                  <w:pPr>
                    <w:widowControl w:val="0"/>
                    <w:rPr>
                      <w:rFonts w:ascii="Arial" w:hAnsi="Arial" w:cs="Arial"/>
                      <w:szCs w:val="24"/>
                    </w:rPr>
                  </w:pPr>
                  <w:r w:rsidRPr="006A62C2">
                    <w:rPr>
                      <w:rFonts w:ascii="Arial" w:hAnsi="Arial" w:cs="Arial"/>
                      <w:szCs w:val="24"/>
                    </w:rPr>
                    <w:t>The new lot data is now saved in the Advanced Tools Key USB.</w:t>
                  </w:r>
                </w:p>
              </w:tc>
            </w:tr>
            <w:tr w:rsidR="003B241F" w:rsidRPr="006A62C2" w14:paraId="21F723D2" w14:textId="77777777" w:rsidTr="00A11283">
              <w:tc>
                <w:tcPr>
                  <w:tcW w:w="1136" w:type="dxa"/>
                </w:tcPr>
                <w:p w14:paraId="3178CB25" w14:textId="77777777" w:rsidR="003B241F" w:rsidRPr="006A62C2" w:rsidRDefault="003B241F" w:rsidP="00A93AD5">
                  <w:pPr>
                    <w:pStyle w:val="ListParagraph"/>
                    <w:widowControl w:val="0"/>
                    <w:numPr>
                      <w:ilvl w:val="0"/>
                      <w:numId w:val="38"/>
                    </w:numPr>
                    <w:rPr>
                      <w:rFonts w:ascii="Arial" w:hAnsi="Arial" w:cs="Arial"/>
                      <w:szCs w:val="24"/>
                    </w:rPr>
                  </w:pPr>
                </w:p>
              </w:tc>
              <w:tc>
                <w:tcPr>
                  <w:tcW w:w="5940" w:type="dxa"/>
                </w:tcPr>
                <w:p w14:paraId="0216062A" w14:textId="5D890EA0" w:rsidR="003B241F" w:rsidRPr="006A62C2" w:rsidRDefault="003B241F" w:rsidP="00A11283">
                  <w:pPr>
                    <w:widowControl w:val="0"/>
                    <w:rPr>
                      <w:rFonts w:ascii="Arial" w:hAnsi="Arial" w:cs="Arial"/>
                      <w:szCs w:val="24"/>
                    </w:rPr>
                  </w:pPr>
                  <w:r w:rsidRPr="006A62C2">
                    <w:rPr>
                      <w:rFonts w:ascii="Arial" w:hAnsi="Arial" w:cs="Arial"/>
                      <w:szCs w:val="24"/>
                    </w:rPr>
                    <w:t>Insert the Advanced Tools Key USB to the next instrument that you would need the new lot data saved. This will allow the other instruments to use the new lot without running the QC since the new kit lot has already been verified.</w:t>
                  </w:r>
                </w:p>
              </w:tc>
            </w:tr>
            <w:tr w:rsidR="003B241F" w:rsidRPr="006A62C2" w14:paraId="08321F17" w14:textId="77777777" w:rsidTr="00A11283">
              <w:tc>
                <w:tcPr>
                  <w:tcW w:w="1136" w:type="dxa"/>
                </w:tcPr>
                <w:p w14:paraId="0FB891DB" w14:textId="77777777" w:rsidR="003B241F" w:rsidRPr="006A62C2" w:rsidRDefault="003B241F" w:rsidP="00A93AD5">
                  <w:pPr>
                    <w:pStyle w:val="ListParagraph"/>
                    <w:widowControl w:val="0"/>
                    <w:numPr>
                      <w:ilvl w:val="0"/>
                      <w:numId w:val="38"/>
                    </w:numPr>
                    <w:rPr>
                      <w:rFonts w:ascii="Arial" w:hAnsi="Arial" w:cs="Arial"/>
                      <w:szCs w:val="24"/>
                    </w:rPr>
                  </w:pPr>
                </w:p>
              </w:tc>
              <w:tc>
                <w:tcPr>
                  <w:tcW w:w="5940" w:type="dxa"/>
                </w:tcPr>
                <w:p w14:paraId="36C03EB3" w14:textId="235C4D26" w:rsidR="003B241F" w:rsidRPr="006A62C2" w:rsidRDefault="003B241F" w:rsidP="00A11283">
                  <w:pPr>
                    <w:widowControl w:val="0"/>
                    <w:rPr>
                      <w:rFonts w:ascii="Arial" w:hAnsi="Arial" w:cs="Arial"/>
                      <w:szCs w:val="24"/>
                    </w:rPr>
                  </w:pPr>
                  <w:r w:rsidRPr="006A62C2">
                    <w:rPr>
                      <w:rFonts w:ascii="Arial" w:hAnsi="Arial" w:cs="Arial"/>
                      <w:szCs w:val="24"/>
                    </w:rPr>
                    <w:t>In the Main Menu of the next instrument</w:t>
                  </w:r>
                  <w:r w:rsidR="008C2737">
                    <w:rPr>
                      <w:rFonts w:ascii="Arial" w:hAnsi="Arial" w:cs="Arial"/>
                      <w:szCs w:val="24"/>
                    </w:rPr>
                    <w:t>,</w:t>
                  </w:r>
                  <w:r w:rsidRPr="006A62C2">
                    <w:rPr>
                      <w:rFonts w:ascii="Arial" w:hAnsi="Arial" w:cs="Arial"/>
                      <w:szCs w:val="24"/>
                    </w:rPr>
                    <w:t xml:space="preserve"> select ‘Tools’.</w:t>
                  </w:r>
                </w:p>
              </w:tc>
            </w:tr>
            <w:tr w:rsidR="003B241F" w:rsidRPr="006A62C2" w14:paraId="1270CEA2" w14:textId="77777777" w:rsidTr="00A11283">
              <w:tc>
                <w:tcPr>
                  <w:tcW w:w="1136" w:type="dxa"/>
                </w:tcPr>
                <w:p w14:paraId="38208AFD" w14:textId="77777777" w:rsidR="003B241F" w:rsidRPr="006A62C2" w:rsidRDefault="003B241F" w:rsidP="00A93AD5">
                  <w:pPr>
                    <w:pStyle w:val="ListParagraph"/>
                    <w:widowControl w:val="0"/>
                    <w:numPr>
                      <w:ilvl w:val="0"/>
                      <w:numId w:val="38"/>
                    </w:numPr>
                    <w:rPr>
                      <w:rFonts w:ascii="Arial" w:hAnsi="Arial" w:cs="Arial"/>
                      <w:szCs w:val="24"/>
                    </w:rPr>
                  </w:pPr>
                </w:p>
              </w:tc>
              <w:tc>
                <w:tcPr>
                  <w:tcW w:w="5940" w:type="dxa"/>
                </w:tcPr>
                <w:p w14:paraId="5380E227" w14:textId="3F62C098" w:rsidR="003B241F" w:rsidRPr="006A62C2" w:rsidRDefault="003B241F" w:rsidP="00A11283">
                  <w:pPr>
                    <w:widowControl w:val="0"/>
                    <w:rPr>
                      <w:rFonts w:ascii="Arial" w:hAnsi="Arial" w:cs="Arial"/>
                      <w:szCs w:val="24"/>
                    </w:rPr>
                  </w:pPr>
                  <w:r w:rsidRPr="006A62C2">
                    <w:rPr>
                      <w:rFonts w:ascii="Arial" w:hAnsi="Arial" w:cs="Arial"/>
                      <w:szCs w:val="24"/>
                    </w:rPr>
                    <w:t>From the ‘Tools’ window select ‘Import Data’</w:t>
                  </w:r>
                </w:p>
              </w:tc>
            </w:tr>
            <w:tr w:rsidR="003B241F" w:rsidRPr="006A62C2" w14:paraId="5EA62E91" w14:textId="77777777" w:rsidTr="00A11283">
              <w:tc>
                <w:tcPr>
                  <w:tcW w:w="1136" w:type="dxa"/>
                </w:tcPr>
                <w:p w14:paraId="51AC6EB3" w14:textId="77777777" w:rsidR="003B241F" w:rsidRPr="006A62C2" w:rsidRDefault="003B241F" w:rsidP="00A93AD5">
                  <w:pPr>
                    <w:pStyle w:val="ListParagraph"/>
                    <w:widowControl w:val="0"/>
                    <w:numPr>
                      <w:ilvl w:val="0"/>
                      <w:numId w:val="38"/>
                    </w:numPr>
                    <w:rPr>
                      <w:rFonts w:ascii="Arial" w:hAnsi="Arial" w:cs="Arial"/>
                      <w:szCs w:val="24"/>
                    </w:rPr>
                  </w:pPr>
                </w:p>
              </w:tc>
              <w:tc>
                <w:tcPr>
                  <w:tcW w:w="5940" w:type="dxa"/>
                </w:tcPr>
                <w:p w14:paraId="5F1FB66C" w14:textId="388374A0" w:rsidR="003B241F" w:rsidRPr="006A62C2" w:rsidRDefault="003B241F" w:rsidP="00A11283">
                  <w:pPr>
                    <w:widowControl w:val="0"/>
                    <w:rPr>
                      <w:rFonts w:ascii="Arial" w:hAnsi="Arial" w:cs="Arial"/>
                      <w:szCs w:val="24"/>
                    </w:rPr>
                  </w:pPr>
                  <w:r w:rsidRPr="006A62C2">
                    <w:rPr>
                      <w:rFonts w:ascii="Arial" w:hAnsi="Arial" w:cs="Arial"/>
                      <w:szCs w:val="24"/>
                    </w:rPr>
                    <w:t xml:space="preserve">Then select ‘Import Assay lots’. Enter password </w:t>
                  </w:r>
                  <w:r w:rsidRPr="006A62C2">
                    <w:rPr>
                      <w:rFonts w:ascii="Arial" w:hAnsi="Arial" w:cs="Arial"/>
                      <w:b/>
                      <w:bCs/>
                      <w:szCs w:val="24"/>
                    </w:rPr>
                    <w:t xml:space="preserve">23646 </w:t>
                  </w:r>
                  <w:r w:rsidRPr="006A62C2">
                    <w:rPr>
                      <w:rFonts w:ascii="Arial" w:hAnsi="Arial" w:cs="Arial"/>
                      <w:szCs w:val="24"/>
                    </w:rPr>
                    <w:t>if instrument requests</w:t>
                  </w:r>
                  <w:r w:rsidR="00062B6E" w:rsidRPr="006A62C2">
                    <w:rPr>
                      <w:rFonts w:ascii="Arial" w:hAnsi="Arial" w:cs="Arial"/>
                      <w:szCs w:val="24"/>
                    </w:rPr>
                    <w:t xml:space="preserve"> Admin password.</w:t>
                  </w:r>
                </w:p>
              </w:tc>
            </w:tr>
            <w:tr w:rsidR="00062B6E" w:rsidRPr="006A62C2" w14:paraId="495E9726" w14:textId="77777777" w:rsidTr="00A11283">
              <w:tc>
                <w:tcPr>
                  <w:tcW w:w="1136" w:type="dxa"/>
                </w:tcPr>
                <w:p w14:paraId="3A9A7053" w14:textId="77777777" w:rsidR="00062B6E" w:rsidRPr="006A62C2" w:rsidRDefault="00062B6E" w:rsidP="00A93AD5">
                  <w:pPr>
                    <w:pStyle w:val="ListParagraph"/>
                    <w:widowControl w:val="0"/>
                    <w:numPr>
                      <w:ilvl w:val="0"/>
                      <w:numId w:val="38"/>
                    </w:numPr>
                    <w:rPr>
                      <w:rFonts w:ascii="Arial" w:hAnsi="Arial" w:cs="Arial"/>
                      <w:szCs w:val="24"/>
                    </w:rPr>
                  </w:pPr>
                </w:p>
              </w:tc>
              <w:tc>
                <w:tcPr>
                  <w:tcW w:w="5940" w:type="dxa"/>
                </w:tcPr>
                <w:p w14:paraId="51D3E755" w14:textId="4FD70872" w:rsidR="00062B6E" w:rsidRPr="006A62C2" w:rsidRDefault="00062B6E" w:rsidP="00A11283">
                  <w:pPr>
                    <w:widowControl w:val="0"/>
                    <w:rPr>
                      <w:rFonts w:ascii="Arial" w:hAnsi="Arial" w:cs="Arial"/>
                      <w:szCs w:val="24"/>
                    </w:rPr>
                  </w:pPr>
                  <w:r w:rsidRPr="006A62C2">
                    <w:rPr>
                      <w:rFonts w:ascii="Arial" w:hAnsi="Arial" w:cs="Arial"/>
                      <w:szCs w:val="24"/>
                    </w:rPr>
                    <w:t>A question window will appear “Do you want to merge or replace the lot list?”.  Always select ‘MERGE’</w:t>
                  </w:r>
                </w:p>
              </w:tc>
            </w:tr>
            <w:tr w:rsidR="00062B6E" w:rsidRPr="006A62C2" w14:paraId="4FA79CD4" w14:textId="77777777" w:rsidTr="00A11283">
              <w:tc>
                <w:tcPr>
                  <w:tcW w:w="1136" w:type="dxa"/>
                </w:tcPr>
                <w:p w14:paraId="4985DC7C" w14:textId="77777777" w:rsidR="00062B6E" w:rsidRPr="006A62C2" w:rsidRDefault="00062B6E" w:rsidP="00A93AD5">
                  <w:pPr>
                    <w:pStyle w:val="ListParagraph"/>
                    <w:widowControl w:val="0"/>
                    <w:numPr>
                      <w:ilvl w:val="0"/>
                      <w:numId w:val="38"/>
                    </w:numPr>
                    <w:rPr>
                      <w:rFonts w:ascii="Arial" w:hAnsi="Arial" w:cs="Arial"/>
                      <w:szCs w:val="24"/>
                    </w:rPr>
                  </w:pPr>
                </w:p>
              </w:tc>
              <w:tc>
                <w:tcPr>
                  <w:tcW w:w="5940" w:type="dxa"/>
                </w:tcPr>
                <w:p w14:paraId="2F684EE6" w14:textId="676A1BB2" w:rsidR="00062B6E" w:rsidRPr="006A62C2" w:rsidRDefault="00062B6E" w:rsidP="00A11283">
                  <w:pPr>
                    <w:widowControl w:val="0"/>
                    <w:rPr>
                      <w:rFonts w:ascii="Arial" w:hAnsi="Arial" w:cs="Arial"/>
                      <w:szCs w:val="24"/>
                    </w:rPr>
                  </w:pPr>
                  <w:r w:rsidRPr="006A62C2">
                    <w:rPr>
                      <w:rFonts w:ascii="Arial" w:hAnsi="Arial" w:cs="Arial"/>
                      <w:szCs w:val="24"/>
                    </w:rPr>
                    <w:t>The next instrument is now set up to run the new lot reagent kit.</w:t>
                  </w:r>
                </w:p>
              </w:tc>
            </w:tr>
            <w:tr w:rsidR="00062B6E" w:rsidRPr="006A62C2" w14:paraId="23214B7C" w14:textId="77777777" w:rsidTr="00A11283">
              <w:tc>
                <w:tcPr>
                  <w:tcW w:w="1136" w:type="dxa"/>
                </w:tcPr>
                <w:p w14:paraId="1FAB3F5A" w14:textId="77777777" w:rsidR="00062B6E" w:rsidRPr="006A62C2" w:rsidRDefault="00062B6E" w:rsidP="00A93AD5">
                  <w:pPr>
                    <w:pStyle w:val="ListParagraph"/>
                    <w:widowControl w:val="0"/>
                    <w:numPr>
                      <w:ilvl w:val="0"/>
                      <w:numId w:val="38"/>
                    </w:numPr>
                    <w:rPr>
                      <w:rFonts w:ascii="Arial" w:hAnsi="Arial" w:cs="Arial"/>
                      <w:szCs w:val="24"/>
                    </w:rPr>
                  </w:pPr>
                </w:p>
              </w:tc>
              <w:tc>
                <w:tcPr>
                  <w:tcW w:w="5940" w:type="dxa"/>
                </w:tcPr>
                <w:p w14:paraId="07AA162C" w14:textId="5C5F93A1" w:rsidR="00062B6E" w:rsidRPr="006A62C2" w:rsidRDefault="00062B6E" w:rsidP="00A11283">
                  <w:pPr>
                    <w:widowControl w:val="0"/>
                    <w:rPr>
                      <w:rFonts w:ascii="Arial" w:hAnsi="Arial" w:cs="Arial"/>
                      <w:szCs w:val="24"/>
                    </w:rPr>
                  </w:pPr>
                  <w:r w:rsidRPr="006A62C2">
                    <w:rPr>
                      <w:rFonts w:ascii="Arial" w:hAnsi="Arial" w:cs="Arial"/>
                      <w:szCs w:val="24"/>
                    </w:rPr>
                    <w:t>Repeat steps 9 to 14 for other instruments in Microbiology section.</w:t>
                  </w:r>
                </w:p>
              </w:tc>
            </w:tr>
            <w:tr w:rsidR="00062B6E" w:rsidRPr="006A62C2" w14:paraId="38620116" w14:textId="77777777" w:rsidTr="00A11283">
              <w:tc>
                <w:tcPr>
                  <w:tcW w:w="1136" w:type="dxa"/>
                </w:tcPr>
                <w:p w14:paraId="5C5D1315" w14:textId="77777777" w:rsidR="00062B6E" w:rsidRPr="006A62C2" w:rsidRDefault="00062B6E" w:rsidP="00A93AD5">
                  <w:pPr>
                    <w:pStyle w:val="ListParagraph"/>
                    <w:widowControl w:val="0"/>
                    <w:numPr>
                      <w:ilvl w:val="0"/>
                      <w:numId w:val="38"/>
                    </w:numPr>
                    <w:rPr>
                      <w:rFonts w:ascii="Arial" w:hAnsi="Arial" w:cs="Arial"/>
                      <w:szCs w:val="24"/>
                    </w:rPr>
                  </w:pPr>
                </w:p>
              </w:tc>
              <w:tc>
                <w:tcPr>
                  <w:tcW w:w="5940" w:type="dxa"/>
                </w:tcPr>
                <w:p w14:paraId="79B1E318" w14:textId="28C294AB" w:rsidR="00062B6E" w:rsidRPr="006A62C2" w:rsidRDefault="00062B6E" w:rsidP="00A11283">
                  <w:pPr>
                    <w:widowControl w:val="0"/>
                    <w:rPr>
                      <w:rFonts w:ascii="Arial" w:hAnsi="Arial" w:cs="Arial"/>
                      <w:szCs w:val="24"/>
                    </w:rPr>
                  </w:pPr>
                  <w:r w:rsidRPr="006A62C2">
                    <w:rPr>
                      <w:rFonts w:ascii="Arial" w:hAnsi="Arial" w:cs="Arial"/>
                      <w:szCs w:val="24"/>
                    </w:rPr>
                    <w:t>Document in the LIAT QC form the serial numbers of instruments currently being used in the Microbiology section.</w:t>
                  </w:r>
                </w:p>
              </w:tc>
            </w:tr>
          </w:tbl>
          <w:p w14:paraId="4028B3C7" w14:textId="1D99499A" w:rsidR="00414622" w:rsidRPr="006A62C2" w:rsidRDefault="00B14AAE" w:rsidP="00A11283">
            <w:pPr>
              <w:widowControl w:val="0"/>
              <w:ind w:left="360"/>
              <w:rPr>
                <w:rFonts w:ascii="Arial" w:hAnsi="Arial" w:cs="Arial"/>
                <w:szCs w:val="24"/>
              </w:rPr>
            </w:pPr>
            <w:r w:rsidRPr="006A62C2">
              <w:rPr>
                <w:rFonts w:ascii="Arial" w:hAnsi="Arial" w:cs="Arial"/>
                <w:szCs w:val="24"/>
              </w:rPr>
              <w:t>.</w:t>
            </w:r>
          </w:p>
        </w:tc>
      </w:tr>
    </w:tbl>
    <w:p w14:paraId="4541F309" w14:textId="77777777" w:rsidR="009857C1" w:rsidRPr="006A62C2" w:rsidRDefault="009857C1" w:rsidP="009857C1">
      <w:pPr>
        <w:rPr>
          <w:rFonts w:ascii="Arial" w:hAnsi="Arial" w:cs="Arial"/>
          <w:szCs w:val="24"/>
        </w:rPr>
      </w:pPr>
    </w:p>
    <w:p w14:paraId="0E158367" w14:textId="77777777" w:rsidR="009857C1" w:rsidRPr="006A62C2" w:rsidRDefault="009857C1" w:rsidP="009857C1">
      <w:pPr>
        <w:rPr>
          <w:rFonts w:ascii="Arial" w:hAnsi="Arial" w:cs="Arial"/>
          <w:szCs w:val="24"/>
        </w:rPr>
      </w:pPr>
    </w:p>
    <w:p w14:paraId="24063CAF" w14:textId="19877595" w:rsidR="009857C1" w:rsidRPr="006A62C2" w:rsidRDefault="009857C1" w:rsidP="006A62C2">
      <w:pPr>
        <w:rPr>
          <w:rFonts w:ascii="Arial" w:hAnsi="Arial" w:cs="Arial"/>
          <w:b/>
          <w:szCs w:val="24"/>
        </w:rPr>
      </w:pPr>
      <w:r w:rsidRPr="006A62C2">
        <w:rPr>
          <w:rFonts w:ascii="Arial" w:hAnsi="Arial" w:cs="Arial"/>
          <w:szCs w:val="24"/>
        </w:rPr>
        <w:t xml:space="preserve"> </w:t>
      </w:r>
    </w:p>
    <w:tbl>
      <w:tblPr>
        <w:tblW w:w="9738" w:type="dxa"/>
        <w:tblLayout w:type="fixed"/>
        <w:tblLook w:val="0000" w:firstRow="0" w:lastRow="0" w:firstColumn="0" w:lastColumn="0" w:noHBand="0" w:noVBand="0"/>
      </w:tblPr>
      <w:tblGrid>
        <w:gridCol w:w="1728"/>
        <w:gridCol w:w="8010"/>
      </w:tblGrid>
      <w:tr w:rsidR="006A62C2" w:rsidRPr="006A62C2" w14:paraId="09BA97B7" w14:textId="77777777" w:rsidTr="004E2814">
        <w:trPr>
          <w:cantSplit/>
        </w:trPr>
        <w:tc>
          <w:tcPr>
            <w:tcW w:w="1728" w:type="dxa"/>
          </w:tcPr>
          <w:p w14:paraId="47EA87DF" w14:textId="77777777" w:rsidR="006A62C2" w:rsidRPr="006A62C2" w:rsidRDefault="006A62C2" w:rsidP="004E2814">
            <w:pPr>
              <w:pStyle w:val="Heading5"/>
              <w:rPr>
                <w:rFonts w:ascii="Arial" w:hAnsi="Arial" w:cs="Arial"/>
                <w:sz w:val="24"/>
                <w:szCs w:val="24"/>
              </w:rPr>
            </w:pPr>
            <w:r w:rsidRPr="006A62C2">
              <w:rPr>
                <w:rFonts w:ascii="Arial" w:hAnsi="Arial" w:cs="Arial"/>
                <w:sz w:val="24"/>
                <w:szCs w:val="24"/>
              </w:rPr>
              <w:t>Controlled Documents</w:t>
            </w:r>
          </w:p>
        </w:tc>
        <w:tc>
          <w:tcPr>
            <w:tcW w:w="8010" w:type="dxa"/>
          </w:tcPr>
          <w:tbl>
            <w:tblPr>
              <w:tblpPr w:leftFromText="180" w:rightFromText="180" w:horzAnchor="margin"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5102"/>
            </w:tblGrid>
            <w:tr w:rsidR="006A62C2" w:rsidRPr="006A62C2" w14:paraId="33C692D8" w14:textId="77777777" w:rsidTr="004E2814">
              <w:tc>
                <w:tcPr>
                  <w:tcW w:w="2407" w:type="dxa"/>
                  <w:shd w:val="clear" w:color="auto" w:fill="auto"/>
                </w:tcPr>
                <w:p w14:paraId="0B6B3E2C" w14:textId="77777777" w:rsidR="006A62C2" w:rsidRPr="006A62C2" w:rsidRDefault="006A62C2" w:rsidP="004E2814">
                  <w:pPr>
                    <w:pStyle w:val="BlockText"/>
                    <w:rPr>
                      <w:rFonts w:ascii="Arial" w:hAnsi="Arial" w:cs="Arial"/>
                      <w:b/>
                      <w:szCs w:val="24"/>
                    </w:rPr>
                  </w:pPr>
                  <w:r w:rsidRPr="006A62C2">
                    <w:rPr>
                      <w:rFonts w:ascii="Arial" w:hAnsi="Arial" w:cs="Arial"/>
                      <w:b/>
                      <w:szCs w:val="24"/>
                    </w:rPr>
                    <w:t>Document Number</w:t>
                  </w:r>
                </w:p>
              </w:tc>
              <w:tc>
                <w:tcPr>
                  <w:tcW w:w="5102" w:type="dxa"/>
                  <w:shd w:val="clear" w:color="auto" w:fill="auto"/>
                </w:tcPr>
                <w:p w14:paraId="2C3CCE64" w14:textId="77777777" w:rsidR="006A62C2" w:rsidRPr="006A62C2" w:rsidRDefault="006A62C2" w:rsidP="004E2814">
                  <w:pPr>
                    <w:pStyle w:val="BlockText"/>
                    <w:rPr>
                      <w:rFonts w:ascii="Arial" w:hAnsi="Arial" w:cs="Arial"/>
                      <w:b/>
                      <w:szCs w:val="24"/>
                    </w:rPr>
                  </w:pPr>
                  <w:r w:rsidRPr="006A62C2">
                    <w:rPr>
                      <w:rFonts w:ascii="Arial" w:hAnsi="Arial" w:cs="Arial"/>
                      <w:b/>
                      <w:szCs w:val="24"/>
                    </w:rPr>
                    <w:t>Document Name</w:t>
                  </w:r>
                </w:p>
              </w:tc>
            </w:tr>
            <w:tr w:rsidR="006A62C2" w:rsidRPr="006A62C2" w14:paraId="203F4BE8" w14:textId="77777777" w:rsidTr="004E2814">
              <w:tc>
                <w:tcPr>
                  <w:tcW w:w="2407" w:type="dxa"/>
                  <w:shd w:val="clear" w:color="auto" w:fill="auto"/>
                </w:tcPr>
                <w:p w14:paraId="63FC2B01" w14:textId="77777777" w:rsidR="006A62C2" w:rsidRPr="006A62C2" w:rsidRDefault="006A62C2" w:rsidP="004E2814">
                  <w:pPr>
                    <w:pStyle w:val="BlockText"/>
                    <w:rPr>
                      <w:rFonts w:ascii="Arial" w:hAnsi="Arial" w:cs="Arial"/>
                      <w:szCs w:val="24"/>
                    </w:rPr>
                  </w:pPr>
                  <w:r w:rsidRPr="006A62C2">
                    <w:rPr>
                      <w:rFonts w:ascii="Arial" w:hAnsi="Arial" w:cs="Arial"/>
                      <w:szCs w:val="24"/>
                    </w:rPr>
                    <w:t>LAMC-PPP-0123</w:t>
                  </w:r>
                </w:p>
              </w:tc>
              <w:tc>
                <w:tcPr>
                  <w:tcW w:w="5102" w:type="dxa"/>
                  <w:shd w:val="clear" w:color="auto" w:fill="auto"/>
                </w:tcPr>
                <w:p w14:paraId="5C0AAA97" w14:textId="77777777" w:rsidR="006A62C2" w:rsidRPr="006A62C2" w:rsidRDefault="006A62C2" w:rsidP="004E2814">
                  <w:pPr>
                    <w:pStyle w:val="BlockText"/>
                    <w:jc w:val="left"/>
                    <w:rPr>
                      <w:rFonts w:ascii="Arial" w:hAnsi="Arial" w:cs="Arial"/>
                      <w:szCs w:val="24"/>
                    </w:rPr>
                  </w:pPr>
                  <w:r w:rsidRPr="006A62C2">
                    <w:rPr>
                      <w:rFonts w:ascii="Arial" w:hAnsi="Arial" w:cs="Arial"/>
                      <w:szCs w:val="24"/>
                    </w:rPr>
                    <w:t>Safety Practices</w:t>
                  </w:r>
                </w:p>
              </w:tc>
            </w:tr>
            <w:tr w:rsidR="006A62C2" w:rsidRPr="006A62C2" w14:paraId="5B0E143D" w14:textId="77777777" w:rsidTr="004E2814">
              <w:tc>
                <w:tcPr>
                  <w:tcW w:w="2407" w:type="dxa"/>
                  <w:shd w:val="clear" w:color="auto" w:fill="auto"/>
                </w:tcPr>
                <w:p w14:paraId="374FD015" w14:textId="77777777" w:rsidR="006A62C2" w:rsidRPr="006A62C2" w:rsidRDefault="006A62C2" w:rsidP="004E2814">
                  <w:pPr>
                    <w:jc w:val="center"/>
                    <w:rPr>
                      <w:rFonts w:ascii="Arial" w:hAnsi="Arial" w:cs="Arial"/>
                      <w:szCs w:val="24"/>
                    </w:rPr>
                  </w:pPr>
                  <w:r w:rsidRPr="006A62C2">
                    <w:rPr>
                      <w:rFonts w:ascii="Arial" w:hAnsi="Arial" w:cs="Arial"/>
                      <w:szCs w:val="24"/>
                    </w:rPr>
                    <w:t>LAMC-PPP-0127</w:t>
                  </w:r>
                </w:p>
              </w:tc>
              <w:tc>
                <w:tcPr>
                  <w:tcW w:w="5102" w:type="dxa"/>
                  <w:shd w:val="clear" w:color="auto" w:fill="auto"/>
                </w:tcPr>
                <w:p w14:paraId="0BEE9671" w14:textId="77777777" w:rsidR="006A62C2" w:rsidRPr="006A62C2" w:rsidRDefault="006A62C2" w:rsidP="004E2814">
                  <w:pPr>
                    <w:pStyle w:val="BlockText"/>
                    <w:jc w:val="left"/>
                    <w:rPr>
                      <w:rFonts w:ascii="Arial" w:hAnsi="Arial" w:cs="Arial"/>
                      <w:szCs w:val="24"/>
                    </w:rPr>
                  </w:pPr>
                  <w:r w:rsidRPr="006A62C2">
                    <w:rPr>
                      <w:rFonts w:ascii="Arial" w:hAnsi="Arial" w:cs="Arial"/>
                      <w:szCs w:val="24"/>
                    </w:rPr>
                    <w:t>Infection Control</w:t>
                  </w:r>
                </w:p>
              </w:tc>
            </w:tr>
            <w:tr w:rsidR="006A62C2" w:rsidRPr="006A62C2" w14:paraId="2D3EF4FC" w14:textId="77777777" w:rsidTr="004E2814">
              <w:tc>
                <w:tcPr>
                  <w:tcW w:w="2407" w:type="dxa"/>
                  <w:shd w:val="clear" w:color="auto" w:fill="auto"/>
                </w:tcPr>
                <w:p w14:paraId="462B41ED" w14:textId="77777777" w:rsidR="006A62C2" w:rsidRPr="006A62C2" w:rsidRDefault="006A62C2" w:rsidP="004E2814">
                  <w:pPr>
                    <w:jc w:val="center"/>
                    <w:rPr>
                      <w:rFonts w:ascii="Arial" w:hAnsi="Arial" w:cs="Arial"/>
                      <w:szCs w:val="24"/>
                    </w:rPr>
                  </w:pPr>
                  <w:r w:rsidRPr="006A62C2">
                    <w:rPr>
                      <w:rFonts w:ascii="Arial" w:hAnsi="Arial" w:cs="Arial"/>
                      <w:szCs w:val="24"/>
                    </w:rPr>
                    <w:t>LAMC-PPP-0128</w:t>
                  </w:r>
                </w:p>
              </w:tc>
              <w:tc>
                <w:tcPr>
                  <w:tcW w:w="5102" w:type="dxa"/>
                  <w:shd w:val="clear" w:color="auto" w:fill="auto"/>
                </w:tcPr>
                <w:p w14:paraId="048CEBCE" w14:textId="77777777" w:rsidR="006A62C2" w:rsidRPr="006A62C2" w:rsidRDefault="006A62C2" w:rsidP="004E2814">
                  <w:pPr>
                    <w:pStyle w:val="BlockText"/>
                    <w:jc w:val="left"/>
                    <w:rPr>
                      <w:rFonts w:ascii="Arial" w:hAnsi="Arial" w:cs="Arial"/>
                      <w:szCs w:val="24"/>
                    </w:rPr>
                  </w:pPr>
                  <w:r w:rsidRPr="006A62C2">
                    <w:rPr>
                      <w:rFonts w:ascii="Arial" w:hAnsi="Arial" w:cs="Arial"/>
                      <w:szCs w:val="24"/>
                    </w:rPr>
                    <w:t>Universal Body Substance Precaution</w:t>
                  </w:r>
                </w:p>
              </w:tc>
            </w:tr>
            <w:tr w:rsidR="006A62C2" w:rsidRPr="006A62C2" w14:paraId="2B79CC1A" w14:textId="77777777" w:rsidTr="004E2814">
              <w:tc>
                <w:tcPr>
                  <w:tcW w:w="2407" w:type="dxa"/>
                  <w:shd w:val="clear" w:color="auto" w:fill="auto"/>
                </w:tcPr>
                <w:p w14:paraId="63493565" w14:textId="77777777" w:rsidR="006A62C2" w:rsidRPr="006A62C2" w:rsidRDefault="006A62C2" w:rsidP="004E2814">
                  <w:pPr>
                    <w:jc w:val="center"/>
                    <w:rPr>
                      <w:rFonts w:ascii="Arial" w:hAnsi="Arial" w:cs="Arial"/>
                      <w:szCs w:val="24"/>
                    </w:rPr>
                  </w:pPr>
                  <w:r w:rsidRPr="006A62C2">
                    <w:rPr>
                      <w:rFonts w:ascii="Arial" w:hAnsi="Arial" w:cs="Arial"/>
                      <w:szCs w:val="24"/>
                    </w:rPr>
                    <w:t>LAMC-PPP-0129</w:t>
                  </w:r>
                </w:p>
              </w:tc>
              <w:tc>
                <w:tcPr>
                  <w:tcW w:w="5102" w:type="dxa"/>
                  <w:shd w:val="clear" w:color="auto" w:fill="auto"/>
                </w:tcPr>
                <w:p w14:paraId="0A925955" w14:textId="77777777" w:rsidR="006A62C2" w:rsidRPr="006A62C2" w:rsidRDefault="006A62C2" w:rsidP="004E2814">
                  <w:pPr>
                    <w:pStyle w:val="BlockText"/>
                    <w:jc w:val="left"/>
                    <w:rPr>
                      <w:rFonts w:ascii="Arial" w:hAnsi="Arial" w:cs="Arial"/>
                      <w:szCs w:val="24"/>
                    </w:rPr>
                  </w:pPr>
                  <w:r w:rsidRPr="006A62C2">
                    <w:rPr>
                      <w:rFonts w:ascii="Arial" w:hAnsi="Arial" w:cs="Arial"/>
                      <w:szCs w:val="24"/>
                    </w:rPr>
                    <w:t>Handling of Regular and Infectious Waste</w:t>
                  </w:r>
                </w:p>
              </w:tc>
            </w:tr>
            <w:tr w:rsidR="006A62C2" w:rsidRPr="006A62C2" w14:paraId="689260B3" w14:textId="77777777" w:rsidTr="004E2814">
              <w:tc>
                <w:tcPr>
                  <w:tcW w:w="2407" w:type="dxa"/>
                  <w:shd w:val="clear" w:color="auto" w:fill="auto"/>
                </w:tcPr>
                <w:p w14:paraId="7A97BA16" w14:textId="77777777" w:rsidR="006A62C2" w:rsidRPr="006A62C2" w:rsidRDefault="006A62C2" w:rsidP="004E2814">
                  <w:pPr>
                    <w:jc w:val="center"/>
                    <w:rPr>
                      <w:rFonts w:ascii="Arial" w:hAnsi="Arial" w:cs="Arial"/>
                      <w:szCs w:val="24"/>
                    </w:rPr>
                  </w:pPr>
                  <w:r w:rsidRPr="006A62C2">
                    <w:rPr>
                      <w:rFonts w:ascii="Arial" w:hAnsi="Arial" w:cs="Arial"/>
                      <w:szCs w:val="24"/>
                    </w:rPr>
                    <w:t>LAMC-PPP-0130</w:t>
                  </w:r>
                </w:p>
              </w:tc>
              <w:tc>
                <w:tcPr>
                  <w:tcW w:w="5102" w:type="dxa"/>
                  <w:shd w:val="clear" w:color="auto" w:fill="auto"/>
                </w:tcPr>
                <w:p w14:paraId="29CAEA7C" w14:textId="77777777" w:rsidR="006A62C2" w:rsidRPr="006A62C2" w:rsidRDefault="006A62C2" w:rsidP="004E2814">
                  <w:pPr>
                    <w:pStyle w:val="BlockText"/>
                    <w:jc w:val="left"/>
                    <w:rPr>
                      <w:rFonts w:ascii="Arial" w:hAnsi="Arial" w:cs="Arial"/>
                      <w:szCs w:val="24"/>
                    </w:rPr>
                  </w:pPr>
                  <w:r w:rsidRPr="006A62C2">
                    <w:rPr>
                      <w:rFonts w:ascii="Arial" w:hAnsi="Arial" w:cs="Arial"/>
                      <w:szCs w:val="24"/>
                    </w:rPr>
                    <w:t>Cleaning Work Areas</w:t>
                  </w:r>
                </w:p>
              </w:tc>
            </w:tr>
            <w:tr w:rsidR="006A62C2" w:rsidRPr="006A62C2" w14:paraId="2FF01C3D" w14:textId="77777777" w:rsidTr="004E2814">
              <w:tc>
                <w:tcPr>
                  <w:tcW w:w="2407" w:type="dxa"/>
                  <w:shd w:val="clear" w:color="auto" w:fill="auto"/>
                </w:tcPr>
                <w:p w14:paraId="5294A212" w14:textId="77777777" w:rsidR="006A62C2" w:rsidRPr="006A62C2" w:rsidRDefault="006A62C2" w:rsidP="004E2814">
                  <w:pPr>
                    <w:jc w:val="center"/>
                    <w:rPr>
                      <w:rFonts w:ascii="Arial" w:hAnsi="Arial" w:cs="Arial"/>
                      <w:szCs w:val="24"/>
                    </w:rPr>
                  </w:pPr>
                  <w:r w:rsidRPr="006A62C2">
                    <w:rPr>
                      <w:rFonts w:ascii="Arial" w:hAnsi="Arial" w:cs="Arial"/>
                      <w:szCs w:val="24"/>
                    </w:rPr>
                    <w:t>LAMC-PPP-0132</w:t>
                  </w:r>
                </w:p>
              </w:tc>
              <w:tc>
                <w:tcPr>
                  <w:tcW w:w="5102" w:type="dxa"/>
                  <w:shd w:val="clear" w:color="auto" w:fill="auto"/>
                </w:tcPr>
                <w:p w14:paraId="2B1A6DB9" w14:textId="77777777" w:rsidR="006A62C2" w:rsidRPr="006A62C2" w:rsidRDefault="006A62C2" w:rsidP="004E2814">
                  <w:pPr>
                    <w:pStyle w:val="BlockText"/>
                    <w:jc w:val="left"/>
                    <w:rPr>
                      <w:rFonts w:ascii="Arial" w:hAnsi="Arial" w:cs="Arial"/>
                      <w:szCs w:val="24"/>
                    </w:rPr>
                  </w:pPr>
                  <w:r w:rsidRPr="006A62C2">
                    <w:rPr>
                      <w:rFonts w:ascii="Arial" w:hAnsi="Arial" w:cs="Arial"/>
                      <w:szCs w:val="24"/>
                    </w:rPr>
                    <w:t>Hand-washing Policy</w:t>
                  </w:r>
                </w:p>
              </w:tc>
            </w:tr>
            <w:tr w:rsidR="006A62C2" w:rsidRPr="006A62C2" w14:paraId="0E455D0E" w14:textId="77777777" w:rsidTr="004E2814">
              <w:tc>
                <w:tcPr>
                  <w:tcW w:w="2407" w:type="dxa"/>
                  <w:shd w:val="clear" w:color="auto" w:fill="auto"/>
                </w:tcPr>
                <w:p w14:paraId="29781552" w14:textId="77777777" w:rsidR="006A62C2" w:rsidRPr="006A62C2" w:rsidRDefault="006A62C2" w:rsidP="004E2814">
                  <w:pPr>
                    <w:jc w:val="center"/>
                    <w:rPr>
                      <w:rFonts w:ascii="Arial" w:hAnsi="Arial" w:cs="Arial"/>
                      <w:szCs w:val="24"/>
                    </w:rPr>
                  </w:pPr>
                  <w:r w:rsidRPr="006A62C2">
                    <w:rPr>
                      <w:rFonts w:ascii="Arial" w:hAnsi="Arial" w:cs="Arial"/>
                      <w:szCs w:val="24"/>
                    </w:rPr>
                    <w:t>LAMC-PPP-0134</w:t>
                  </w:r>
                </w:p>
              </w:tc>
              <w:tc>
                <w:tcPr>
                  <w:tcW w:w="5102" w:type="dxa"/>
                  <w:shd w:val="clear" w:color="auto" w:fill="auto"/>
                </w:tcPr>
                <w:p w14:paraId="7ED6B75D" w14:textId="77777777" w:rsidR="006A62C2" w:rsidRPr="006A62C2" w:rsidRDefault="006A62C2" w:rsidP="004E2814">
                  <w:pPr>
                    <w:pStyle w:val="BlockText"/>
                    <w:jc w:val="left"/>
                    <w:rPr>
                      <w:rFonts w:ascii="Arial" w:hAnsi="Arial" w:cs="Arial"/>
                      <w:szCs w:val="24"/>
                    </w:rPr>
                  </w:pPr>
                  <w:r w:rsidRPr="006A62C2">
                    <w:rPr>
                      <w:rFonts w:ascii="Arial" w:hAnsi="Arial" w:cs="Arial"/>
                      <w:szCs w:val="24"/>
                    </w:rPr>
                    <w:t>Storage and Disposal of Chemical Hazardous Waste</w:t>
                  </w:r>
                </w:p>
              </w:tc>
            </w:tr>
            <w:tr w:rsidR="006A62C2" w:rsidRPr="006A62C2" w14:paraId="6C791EB7" w14:textId="77777777" w:rsidTr="004E2814">
              <w:tc>
                <w:tcPr>
                  <w:tcW w:w="2407" w:type="dxa"/>
                  <w:shd w:val="clear" w:color="auto" w:fill="auto"/>
                </w:tcPr>
                <w:p w14:paraId="160F95B7" w14:textId="64FC030D" w:rsidR="006A62C2" w:rsidRPr="006A62C2" w:rsidRDefault="006A62C2" w:rsidP="006A62C2">
                  <w:pPr>
                    <w:pStyle w:val="Header"/>
                    <w:jc w:val="center"/>
                    <w:rPr>
                      <w:rFonts w:ascii="Arial" w:hAnsi="Arial" w:cs="Arial"/>
                      <w:szCs w:val="24"/>
                    </w:rPr>
                  </w:pPr>
                  <w:r w:rsidRPr="006A62C2">
                    <w:rPr>
                      <w:rFonts w:ascii="Arial" w:hAnsi="Arial" w:cs="Arial"/>
                      <w:szCs w:val="24"/>
                    </w:rPr>
                    <w:t>LAMC-PPP-</w:t>
                  </w:r>
                  <w:r>
                    <w:rPr>
                      <w:rFonts w:ascii="Arial" w:hAnsi="Arial" w:cs="Arial"/>
                      <w:szCs w:val="24"/>
                    </w:rPr>
                    <w:t>1290</w:t>
                  </w:r>
                </w:p>
              </w:tc>
              <w:tc>
                <w:tcPr>
                  <w:tcW w:w="5102" w:type="dxa"/>
                  <w:shd w:val="clear" w:color="auto" w:fill="auto"/>
                </w:tcPr>
                <w:p w14:paraId="6EEF46B9" w14:textId="001A8B1C" w:rsidR="006A62C2" w:rsidRPr="006A62C2" w:rsidRDefault="006A62C2" w:rsidP="006A62C2">
                  <w:pPr>
                    <w:pStyle w:val="TableText"/>
                    <w:rPr>
                      <w:rFonts w:ascii="Arial" w:hAnsi="Arial" w:cs="Arial"/>
                      <w:szCs w:val="24"/>
                    </w:rPr>
                  </w:pPr>
                  <w:r w:rsidRPr="006A62C2">
                    <w:rPr>
                      <w:rFonts w:ascii="Arial" w:hAnsi="Arial" w:cs="Arial"/>
                      <w:szCs w:val="24"/>
                    </w:rPr>
                    <w:t>COBAS</w:t>
                  </w:r>
                  <w:r w:rsidRPr="00A93AD5">
                    <w:rPr>
                      <w:rFonts w:ascii="Arial" w:hAnsi="Arial" w:cs="Arial"/>
                      <w:szCs w:val="24"/>
                    </w:rPr>
                    <w:t>®</w:t>
                  </w:r>
                  <w:r w:rsidRPr="006A62C2">
                    <w:rPr>
                      <w:rFonts w:ascii="Arial" w:hAnsi="Arial" w:cs="Arial"/>
                      <w:szCs w:val="24"/>
                    </w:rPr>
                    <w:t xml:space="preserve"> </w:t>
                  </w:r>
                  <w:r w:rsidRPr="00A93AD5">
                    <w:rPr>
                      <w:rFonts w:ascii="Arial" w:hAnsi="Arial" w:cs="Arial"/>
                      <w:szCs w:val="24"/>
                    </w:rPr>
                    <w:t>LIAT SYSTEM –SARS-CoV-2 &amp; Influenza A/B</w:t>
                  </w:r>
                </w:p>
              </w:tc>
            </w:tr>
          </w:tbl>
          <w:p w14:paraId="5503B16D" w14:textId="77777777" w:rsidR="006A62C2" w:rsidRPr="006A62C2" w:rsidRDefault="006A62C2" w:rsidP="004E2814">
            <w:pPr>
              <w:rPr>
                <w:rFonts w:ascii="Arial" w:hAnsi="Arial" w:cs="Arial"/>
                <w:szCs w:val="24"/>
              </w:rPr>
            </w:pPr>
            <w:r w:rsidRPr="006A62C2">
              <w:rPr>
                <w:rFonts w:ascii="Arial" w:hAnsi="Arial" w:cs="Arial"/>
                <w:szCs w:val="24"/>
              </w:rPr>
              <w:t>See below the list of controlled documents</w:t>
            </w:r>
          </w:p>
        </w:tc>
      </w:tr>
      <w:tr w:rsidR="006A62C2" w:rsidRPr="006A62C2" w14:paraId="47EA8AA3" w14:textId="77777777" w:rsidTr="004E2814">
        <w:trPr>
          <w:cantSplit/>
        </w:trPr>
        <w:tc>
          <w:tcPr>
            <w:tcW w:w="1728" w:type="dxa"/>
          </w:tcPr>
          <w:p w14:paraId="565AF749" w14:textId="77777777" w:rsidR="006A62C2" w:rsidRPr="006A62C2" w:rsidRDefault="006A62C2" w:rsidP="004E2814">
            <w:pPr>
              <w:pStyle w:val="Heading5"/>
              <w:rPr>
                <w:rFonts w:ascii="Arial" w:hAnsi="Arial" w:cs="Arial"/>
                <w:sz w:val="24"/>
                <w:szCs w:val="24"/>
              </w:rPr>
            </w:pPr>
          </w:p>
          <w:p w14:paraId="7ACD8102" w14:textId="77777777" w:rsidR="006A62C2" w:rsidRPr="006A62C2" w:rsidRDefault="006A62C2" w:rsidP="004E2814">
            <w:pPr>
              <w:pStyle w:val="Heading5"/>
              <w:rPr>
                <w:rFonts w:ascii="Arial" w:hAnsi="Arial" w:cs="Arial"/>
                <w:sz w:val="24"/>
                <w:szCs w:val="24"/>
              </w:rPr>
            </w:pPr>
            <w:r w:rsidRPr="006A62C2">
              <w:rPr>
                <w:rFonts w:ascii="Arial" w:hAnsi="Arial" w:cs="Arial"/>
                <w:sz w:val="24"/>
                <w:szCs w:val="24"/>
              </w:rPr>
              <w:t>Author(s)</w:t>
            </w:r>
          </w:p>
        </w:tc>
        <w:tc>
          <w:tcPr>
            <w:tcW w:w="8010" w:type="dxa"/>
          </w:tcPr>
          <w:p w14:paraId="38DB3398" w14:textId="77777777" w:rsidR="006A62C2" w:rsidRPr="006A62C2" w:rsidRDefault="006A62C2" w:rsidP="004E2814">
            <w:pPr>
              <w:rPr>
                <w:rFonts w:ascii="Arial" w:hAnsi="Arial" w:cs="Arial"/>
                <w:szCs w:val="24"/>
              </w:rPr>
            </w:pPr>
          </w:p>
          <w:p w14:paraId="4C573073" w14:textId="77777777" w:rsidR="006A62C2" w:rsidRPr="006A62C2" w:rsidRDefault="006A62C2" w:rsidP="004E2814">
            <w:pPr>
              <w:rPr>
                <w:rFonts w:ascii="Arial" w:hAnsi="Arial" w:cs="Arial"/>
                <w:szCs w:val="24"/>
              </w:rPr>
            </w:pPr>
            <w:r w:rsidRPr="006A62C2">
              <w:rPr>
                <w:rFonts w:ascii="Arial" w:hAnsi="Arial" w:cs="Arial"/>
                <w:szCs w:val="24"/>
              </w:rPr>
              <w:t>Alvin Castillo</w:t>
            </w:r>
          </w:p>
        </w:tc>
      </w:tr>
    </w:tbl>
    <w:p w14:paraId="6B7A4A7C" w14:textId="4611A5FA" w:rsidR="00F06DB2" w:rsidRPr="006A62C2" w:rsidRDefault="00F06DB2" w:rsidP="00D26AE2">
      <w:pPr>
        <w:rPr>
          <w:rFonts w:ascii="Arial" w:hAnsi="Arial" w:cs="Arial"/>
          <w:szCs w:val="24"/>
        </w:rPr>
      </w:pPr>
    </w:p>
    <w:sectPr w:rsidR="00F06DB2" w:rsidRPr="006A62C2" w:rsidSect="00D4361C">
      <w:headerReference w:type="even" r:id="rId7"/>
      <w:headerReference w:type="default" r:id="rId8"/>
      <w:footerReference w:type="even" r:id="rId9"/>
      <w:footerReference w:type="default" r:id="rId10"/>
      <w:headerReference w:type="first" r:id="rId11"/>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8F51" w14:textId="77777777" w:rsidR="003B6009" w:rsidRDefault="003B6009">
      <w:r>
        <w:separator/>
      </w:r>
    </w:p>
  </w:endnote>
  <w:endnote w:type="continuationSeparator" w:id="0">
    <w:p w14:paraId="20E973BA" w14:textId="77777777" w:rsidR="003B6009" w:rsidRDefault="003B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4CB3" w14:textId="77777777" w:rsidR="003B6009" w:rsidRPr="00637656" w:rsidRDefault="003B6009">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14:paraId="78455680" w14:textId="77777777" w:rsidR="003B6009" w:rsidRPr="00637656" w:rsidRDefault="003B6009">
    <w:pPr>
      <w:pStyle w:val="Footer"/>
      <w:ind w:right="360" w:firstLine="360"/>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F148" w14:textId="097EC015" w:rsidR="003B6009" w:rsidRDefault="003B6009"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8C2737">
      <w:rPr>
        <w:i/>
        <w:noProof/>
        <w:snapToGrid w:val="0"/>
        <w:sz w:val="20"/>
      </w:rPr>
      <w:instrText>1</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8C2737">
      <w:rPr>
        <w:i/>
        <w:noProof/>
        <w:snapToGrid w:val="0"/>
        <w:sz w:val="20"/>
      </w:rPr>
      <w:instrText>3</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008C2737">
      <w:rPr>
        <w:i/>
        <w:snapToGrid w:val="0"/>
        <w:sz w:val="20"/>
      </w:rPr>
      <w:fldChar w:fldCharType="separate"/>
    </w:r>
    <w:r w:rsidR="008C2737" w:rsidRPr="00637656">
      <w:rPr>
        <w:i/>
        <w:noProof/>
      </w:rPr>
      <w:t xml:space="preserve"> </w:t>
    </w:r>
    <w:r w:rsidR="008C2737" w:rsidRPr="00637656">
      <w:rPr>
        <w:i/>
        <w:noProof/>
        <w:snapToGrid w:val="0"/>
        <w:sz w:val="20"/>
      </w:rPr>
      <w:t>Continued on next page</w:t>
    </w:r>
    <w:r w:rsidRPr="00637656">
      <w:rPr>
        <w:i/>
        <w:snapToGrid w:val="0"/>
        <w:sz w:val="20"/>
      </w:rPr>
      <w:fldChar w:fldCharType="end"/>
    </w:r>
  </w:p>
  <w:p w14:paraId="1FB01CD8" w14:textId="77777777" w:rsidR="003B6009" w:rsidRPr="00637656" w:rsidRDefault="003B6009" w:rsidP="00EC7C99">
    <w:pPr>
      <w:pStyle w:val="Footer"/>
      <w:tabs>
        <w:tab w:val="clear" w:pos="4320"/>
        <w:tab w:val="clear" w:pos="8640"/>
        <w:tab w:val="center" w:pos="4680"/>
      </w:tabs>
      <w:ind w:right="90"/>
      <w:jc w:val="right"/>
      <w:rPr>
        <w:i/>
        <w:snapToGrid w:val="0"/>
        <w:sz w:val="20"/>
      </w:rPr>
    </w:pPr>
  </w:p>
  <w:p w14:paraId="424F3B19" w14:textId="77777777" w:rsidR="003B6009" w:rsidRPr="00C95BA9" w:rsidRDefault="003B6009"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Pr>
        <w:rStyle w:val="PageNumber"/>
        <w:rFonts w:ascii="Arial" w:hAnsi="Arial" w:cs="Arial"/>
        <w:noProof/>
        <w:sz w:val="20"/>
      </w:rPr>
      <w:t>12</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Pr>
        <w:rStyle w:val="PageNumber"/>
        <w:rFonts w:ascii="Arial" w:hAnsi="Arial" w:cs="Arial"/>
        <w:noProof/>
        <w:sz w:val="20"/>
      </w:rPr>
      <w:t>12</w:t>
    </w:r>
    <w:r w:rsidRPr="00C95BA9">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364A" w14:textId="77777777" w:rsidR="003B6009" w:rsidRDefault="003B6009">
      <w:r>
        <w:separator/>
      </w:r>
    </w:p>
  </w:footnote>
  <w:footnote w:type="continuationSeparator" w:id="0">
    <w:p w14:paraId="073BF076" w14:textId="77777777" w:rsidR="003B6009" w:rsidRDefault="003B6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4CFB" w14:textId="77777777" w:rsidR="003B6009" w:rsidRDefault="003B60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2534AB" w14:textId="77777777" w:rsidR="003B6009" w:rsidRDefault="003B6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B6009" w:rsidRPr="00B9218C" w14:paraId="6B3A5C3C" w14:textId="77777777" w:rsidTr="008B7E48">
      <w:tc>
        <w:tcPr>
          <w:tcW w:w="2605" w:type="dxa"/>
        </w:tcPr>
        <w:p w14:paraId="3DF5A37E" w14:textId="77777777" w:rsidR="003B6009" w:rsidRPr="00B9218C" w:rsidRDefault="003B6009"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14:paraId="138DF5EA" w14:textId="77777777" w:rsidR="003B6009" w:rsidRDefault="003B6009"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14:paraId="481FBD04" w14:textId="77777777" w:rsidR="003B6009" w:rsidRDefault="003B6009"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14:paraId="04A32656" w14:textId="77777777" w:rsidR="003B6009" w:rsidRPr="00B9218C" w:rsidRDefault="003B6009" w:rsidP="0025757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14:paraId="02026998" w14:textId="77777777" w:rsidR="003B6009" w:rsidRDefault="003B6009" w:rsidP="0025757B">
          <w:pPr>
            <w:pStyle w:val="Header"/>
            <w:tabs>
              <w:tab w:val="clear" w:pos="4320"/>
              <w:tab w:val="clear" w:pos="8640"/>
              <w:tab w:val="center" w:pos="4680"/>
              <w:tab w:val="right" w:pos="9360"/>
            </w:tabs>
            <w:jc w:val="right"/>
            <w:rPr>
              <w:rFonts w:ascii="Arial" w:hAnsi="Arial"/>
              <w:sz w:val="20"/>
            </w:rPr>
          </w:pPr>
          <w:r>
            <w:rPr>
              <w:rFonts w:ascii="Arial" w:hAnsi="Arial"/>
              <w:sz w:val="20"/>
            </w:rPr>
            <w:t>Los Angeles</w:t>
          </w:r>
        </w:p>
        <w:p w14:paraId="3199901C" w14:textId="77777777" w:rsidR="003B6009" w:rsidRPr="00B9218C" w:rsidRDefault="003B6009" w:rsidP="0025757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14:paraId="38F16761" w14:textId="098E9481" w:rsidR="003B6009" w:rsidRDefault="008A47A4" w:rsidP="009857C1">
    <w:pPr>
      <w:pStyle w:val="Heading4"/>
      <w:rPr>
        <w:szCs w:val="24"/>
      </w:rPr>
    </w:pPr>
    <w:r>
      <w:t>Setting Up New Reagent Lot for Cobas LIAT System</w:t>
    </w:r>
    <w:r w:rsidR="003B600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B6009" w:rsidRPr="00B9218C" w14:paraId="09D037C9" w14:textId="77777777" w:rsidTr="008B7E48">
      <w:tc>
        <w:tcPr>
          <w:tcW w:w="2605" w:type="dxa"/>
        </w:tcPr>
        <w:p w14:paraId="79E22209" w14:textId="77777777" w:rsidR="003B6009" w:rsidRPr="00B9218C" w:rsidRDefault="003B6009"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14:paraId="734099B2" w14:textId="77777777" w:rsidR="003B6009" w:rsidRDefault="003B6009"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14:paraId="10552732" w14:textId="77777777" w:rsidR="003B6009" w:rsidRDefault="003B6009"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14:paraId="2DCD6170" w14:textId="77777777" w:rsidR="003B6009" w:rsidRPr="00B9218C" w:rsidRDefault="003B6009"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14:paraId="3B1FC8F9" w14:textId="77777777" w:rsidR="003B6009" w:rsidRDefault="003B6009"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14:paraId="4D6DD6A4" w14:textId="77777777" w:rsidR="003B6009" w:rsidRPr="00B9218C" w:rsidRDefault="003B6009"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14:paraId="13F8C435" w14:textId="77777777" w:rsidR="003B6009" w:rsidRDefault="003B6009" w:rsidP="003805DB">
    <w:pPr>
      <w:pStyle w:val="Header"/>
      <w:tabs>
        <w:tab w:val="clear" w:pos="4320"/>
        <w:tab w:val="clear" w:pos="8640"/>
        <w:tab w:val="center" w:pos="4680"/>
        <w:tab w:val="right" w:pos="9360"/>
      </w:tabs>
      <w:rPr>
        <w:szCs w:val="24"/>
      </w:rPr>
    </w:pPr>
  </w:p>
  <w:p w14:paraId="498BE2D8" w14:textId="77777777" w:rsidR="003B6009" w:rsidRDefault="003B6009" w:rsidP="003805DB">
    <w:pPr>
      <w:pStyle w:val="Heading4"/>
    </w:pPr>
    <w:r>
      <w:t>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1DCA"/>
    <w:multiLevelType w:val="hybridMultilevel"/>
    <w:tmpl w:val="E642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CCB"/>
    <w:multiLevelType w:val="hybridMultilevel"/>
    <w:tmpl w:val="E5080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3" w15:restartNumberingAfterBreak="0">
    <w:nsid w:val="0FBD73D1"/>
    <w:multiLevelType w:val="hybridMultilevel"/>
    <w:tmpl w:val="CF6E66DC"/>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5" w15:restartNumberingAfterBreak="0">
    <w:nsid w:val="10F6694C"/>
    <w:multiLevelType w:val="hybridMultilevel"/>
    <w:tmpl w:val="8D64B4FE"/>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7" w15:restartNumberingAfterBreak="0">
    <w:nsid w:val="1D2B2369"/>
    <w:multiLevelType w:val="hybridMultilevel"/>
    <w:tmpl w:val="7324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B0513"/>
    <w:multiLevelType w:val="hybridMultilevel"/>
    <w:tmpl w:val="B4FCD67C"/>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9" w15:restartNumberingAfterBreak="0">
    <w:nsid w:val="1D8D4F54"/>
    <w:multiLevelType w:val="hybridMultilevel"/>
    <w:tmpl w:val="FEFA5758"/>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0"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1" w15:restartNumberingAfterBreak="0">
    <w:nsid w:val="22071503"/>
    <w:multiLevelType w:val="hybridMultilevel"/>
    <w:tmpl w:val="A08CC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F287B"/>
    <w:multiLevelType w:val="hybridMultilevel"/>
    <w:tmpl w:val="6C94CCB8"/>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3" w15:restartNumberingAfterBreak="0">
    <w:nsid w:val="2C7137D2"/>
    <w:multiLevelType w:val="hybridMultilevel"/>
    <w:tmpl w:val="6760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4701D"/>
    <w:multiLevelType w:val="hybridMultilevel"/>
    <w:tmpl w:val="229C3F4A"/>
    <w:lvl w:ilvl="0" w:tplc="04090001">
      <w:start w:val="1"/>
      <w:numFmt w:val="bullet"/>
      <w:lvlText w:val=""/>
      <w:lvlJc w:val="left"/>
      <w:pPr>
        <w:ind w:left="360" w:hanging="360"/>
      </w:pPr>
      <w:rPr>
        <w:rFonts w:ascii="Symbol" w:hAnsi="Symbol" w:hint="default"/>
        <w:sz w:val="20"/>
      </w:rPr>
    </w:lvl>
    <w:lvl w:ilvl="1" w:tplc="D3BE9A1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C12E71"/>
    <w:multiLevelType w:val="hybridMultilevel"/>
    <w:tmpl w:val="AAA6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184058"/>
    <w:multiLevelType w:val="hybridMultilevel"/>
    <w:tmpl w:val="4C20D8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6B42E0"/>
    <w:multiLevelType w:val="hybridMultilevel"/>
    <w:tmpl w:val="9446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B24F0"/>
    <w:multiLevelType w:val="hybridMultilevel"/>
    <w:tmpl w:val="21E80394"/>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644"/>
    <w:multiLevelType w:val="hybridMultilevel"/>
    <w:tmpl w:val="9F9CA85C"/>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21" w15:restartNumberingAfterBreak="0">
    <w:nsid w:val="43A42488"/>
    <w:multiLevelType w:val="hybridMultilevel"/>
    <w:tmpl w:val="5D0E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3" w15:restartNumberingAfterBreak="0">
    <w:nsid w:val="5BDA7E61"/>
    <w:multiLevelType w:val="hybridMultilevel"/>
    <w:tmpl w:val="A8EA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25" w15:restartNumberingAfterBreak="0">
    <w:nsid w:val="600B63AB"/>
    <w:multiLevelType w:val="hybridMultilevel"/>
    <w:tmpl w:val="4642D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27" w15:restartNumberingAfterBreak="0">
    <w:nsid w:val="640E4695"/>
    <w:multiLevelType w:val="multilevel"/>
    <w:tmpl w:val="1ED4EC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F6589A"/>
    <w:multiLevelType w:val="hybridMultilevel"/>
    <w:tmpl w:val="CB0C2186"/>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29" w15:restartNumberingAfterBreak="0">
    <w:nsid w:val="67502883"/>
    <w:multiLevelType w:val="hybridMultilevel"/>
    <w:tmpl w:val="7BDC361C"/>
    <w:lvl w:ilvl="0" w:tplc="04090001">
      <w:start w:val="1"/>
      <w:numFmt w:val="bullet"/>
      <w:lvlText w:val=""/>
      <w:lvlJc w:val="left"/>
      <w:pPr>
        <w:ind w:left="720" w:hanging="360"/>
      </w:pPr>
      <w:rPr>
        <w:rFonts w:ascii="Symbol" w:hAnsi="Symbol" w:hint="default"/>
      </w:rPr>
    </w:lvl>
    <w:lvl w:ilvl="1" w:tplc="9FE81D4C">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E266F"/>
    <w:multiLevelType w:val="hybridMultilevel"/>
    <w:tmpl w:val="70C6D7A2"/>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AA4339"/>
    <w:multiLevelType w:val="hybridMultilevel"/>
    <w:tmpl w:val="2A10F46E"/>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E9727E"/>
    <w:multiLevelType w:val="hybridMultilevel"/>
    <w:tmpl w:val="20F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420F9"/>
    <w:multiLevelType w:val="hybridMultilevel"/>
    <w:tmpl w:val="624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DE26F1"/>
    <w:multiLevelType w:val="hybridMultilevel"/>
    <w:tmpl w:val="415A9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C05141"/>
    <w:multiLevelType w:val="multilevel"/>
    <w:tmpl w:val="10DAEBD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451698"/>
    <w:multiLevelType w:val="hybridMultilevel"/>
    <w:tmpl w:val="E3D02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
  </w:num>
  <w:num w:numId="3">
    <w:abstractNumId w:val="22"/>
  </w:num>
  <w:num w:numId="4">
    <w:abstractNumId w:val="10"/>
  </w:num>
  <w:num w:numId="5">
    <w:abstractNumId w:val="6"/>
  </w:num>
  <w:num w:numId="6">
    <w:abstractNumId w:val="2"/>
  </w:num>
  <w:num w:numId="7">
    <w:abstractNumId w:val="31"/>
  </w:num>
  <w:num w:numId="8">
    <w:abstractNumId w:val="14"/>
  </w:num>
  <w:num w:numId="9">
    <w:abstractNumId w:val="16"/>
  </w:num>
  <w:num w:numId="10">
    <w:abstractNumId w:val="26"/>
  </w:num>
  <w:num w:numId="11">
    <w:abstractNumId w:val="27"/>
  </w:num>
  <w:num w:numId="12">
    <w:abstractNumId w:val="1"/>
  </w:num>
  <w:num w:numId="13">
    <w:abstractNumId w:val="37"/>
  </w:num>
  <w:num w:numId="14">
    <w:abstractNumId w:val="36"/>
  </w:num>
  <w:num w:numId="15">
    <w:abstractNumId w:val="29"/>
  </w:num>
  <w:num w:numId="16">
    <w:abstractNumId w:val="19"/>
  </w:num>
  <w:num w:numId="17">
    <w:abstractNumId w:val="33"/>
  </w:num>
  <w:num w:numId="18">
    <w:abstractNumId w:val="32"/>
  </w:num>
  <w:num w:numId="19">
    <w:abstractNumId w:val="34"/>
  </w:num>
  <w:num w:numId="20">
    <w:abstractNumId w:val="30"/>
  </w:num>
  <w:num w:numId="21">
    <w:abstractNumId w:val="9"/>
  </w:num>
  <w:num w:numId="22">
    <w:abstractNumId w:val="3"/>
  </w:num>
  <w:num w:numId="23">
    <w:abstractNumId w:val="5"/>
  </w:num>
  <w:num w:numId="24">
    <w:abstractNumId w:val="28"/>
  </w:num>
  <w:num w:numId="25">
    <w:abstractNumId w:val="20"/>
  </w:num>
  <w:num w:numId="26">
    <w:abstractNumId w:val="12"/>
  </w:num>
  <w:num w:numId="27">
    <w:abstractNumId w:val="8"/>
  </w:num>
  <w:num w:numId="28">
    <w:abstractNumId w:val="18"/>
  </w:num>
  <w:num w:numId="29">
    <w:abstractNumId w:val="11"/>
  </w:num>
  <w:num w:numId="30">
    <w:abstractNumId w:val="17"/>
  </w:num>
  <w:num w:numId="31">
    <w:abstractNumId w:val="13"/>
  </w:num>
  <w:num w:numId="32">
    <w:abstractNumId w:val="21"/>
  </w:num>
  <w:num w:numId="33">
    <w:abstractNumId w:val="25"/>
  </w:num>
  <w:num w:numId="34">
    <w:abstractNumId w:val="35"/>
  </w:num>
  <w:num w:numId="35">
    <w:abstractNumId w:val="0"/>
  </w:num>
  <w:num w:numId="36">
    <w:abstractNumId w:val="7"/>
  </w:num>
  <w:num w:numId="37">
    <w:abstractNumId w:val="23"/>
  </w:num>
  <w:num w:numId="3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107C0"/>
    <w:rsid w:val="000174C7"/>
    <w:rsid w:val="00036CF5"/>
    <w:rsid w:val="00042DAA"/>
    <w:rsid w:val="00047EF7"/>
    <w:rsid w:val="00055928"/>
    <w:rsid w:val="00056877"/>
    <w:rsid w:val="00062B6E"/>
    <w:rsid w:val="00066629"/>
    <w:rsid w:val="000728C4"/>
    <w:rsid w:val="0007435D"/>
    <w:rsid w:val="00083D24"/>
    <w:rsid w:val="0009129B"/>
    <w:rsid w:val="000953A5"/>
    <w:rsid w:val="00097356"/>
    <w:rsid w:val="000A0D43"/>
    <w:rsid w:val="000C3FDD"/>
    <w:rsid w:val="000D0F87"/>
    <w:rsid w:val="000E3F47"/>
    <w:rsid w:val="000F3098"/>
    <w:rsid w:val="00101B9E"/>
    <w:rsid w:val="00103AE5"/>
    <w:rsid w:val="00103C18"/>
    <w:rsid w:val="0010773B"/>
    <w:rsid w:val="0010795C"/>
    <w:rsid w:val="00130C26"/>
    <w:rsid w:val="00130D9F"/>
    <w:rsid w:val="00133FA5"/>
    <w:rsid w:val="00134C53"/>
    <w:rsid w:val="00137FEF"/>
    <w:rsid w:val="001406A5"/>
    <w:rsid w:val="00144E3A"/>
    <w:rsid w:val="0014584F"/>
    <w:rsid w:val="0018670E"/>
    <w:rsid w:val="00191C20"/>
    <w:rsid w:val="00192DE5"/>
    <w:rsid w:val="001A14EE"/>
    <w:rsid w:val="001C1078"/>
    <w:rsid w:val="00207CFE"/>
    <w:rsid w:val="00207E90"/>
    <w:rsid w:val="00211546"/>
    <w:rsid w:val="00215EC1"/>
    <w:rsid w:val="00221D72"/>
    <w:rsid w:val="00222FE8"/>
    <w:rsid w:val="0023003A"/>
    <w:rsid w:val="00232612"/>
    <w:rsid w:val="00232E81"/>
    <w:rsid w:val="002363E4"/>
    <w:rsid w:val="00236C32"/>
    <w:rsid w:val="0025757B"/>
    <w:rsid w:val="00270793"/>
    <w:rsid w:val="0027081F"/>
    <w:rsid w:val="00273CCB"/>
    <w:rsid w:val="002A0EA3"/>
    <w:rsid w:val="002A79D0"/>
    <w:rsid w:val="002B2EF9"/>
    <w:rsid w:val="002C1AC8"/>
    <w:rsid w:val="002C3C99"/>
    <w:rsid w:val="002C46A4"/>
    <w:rsid w:val="002C5FE5"/>
    <w:rsid w:val="002D5E11"/>
    <w:rsid w:val="002E0623"/>
    <w:rsid w:val="002F5DD4"/>
    <w:rsid w:val="00302013"/>
    <w:rsid w:val="00310107"/>
    <w:rsid w:val="003114DA"/>
    <w:rsid w:val="00311D03"/>
    <w:rsid w:val="003166A2"/>
    <w:rsid w:val="00320BF1"/>
    <w:rsid w:val="003227F5"/>
    <w:rsid w:val="00334141"/>
    <w:rsid w:val="00334224"/>
    <w:rsid w:val="003347F0"/>
    <w:rsid w:val="003454E3"/>
    <w:rsid w:val="00346DB9"/>
    <w:rsid w:val="003471B5"/>
    <w:rsid w:val="00365A64"/>
    <w:rsid w:val="00373740"/>
    <w:rsid w:val="00377806"/>
    <w:rsid w:val="003805DB"/>
    <w:rsid w:val="003812BA"/>
    <w:rsid w:val="00384A92"/>
    <w:rsid w:val="00390C1A"/>
    <w:rsid w:val="00397DEF"/>
    <w:rsid w:val="003A7308"/>
    <w:rsid w:val="003B241F"/>
    <w:rsid w:val="003B6009"/>
    <w:rsid w:val="003B702D"/>
    <w:rsid w:val="003C508E"/>
    <w:rsid w:val="003C6786"/>
    <w:rsid w:val="003C7698"/>
    <w:rsid w:val="003E40F0"/>
    <w:rsid w:val="003F0A0D"/>
    <w:rsid w:val="00403094"/>
    <w:rsid w:val="00414622"/>
    <w:rsid w:val="004160B3"/>
    <w:rsid w:val="00433D1F"/>
    <w:rsid w:val="00440B6B"/>
    <w:rsid w:val="00452AA8"/>
    <w:rsid w:val="00454667"/>
    <w:rsid w:val="00471432"/>
    <w:rsid w:val="004802BC"/>
    <w:rsid w:val="00480580"/>
    <w:rsid w:val="00482A53"/>
    <w:rsid w:val="004857B3"/>
    <w:rsid w:val="0048686C"/>
    <w:rsid w:val="004965AA"/>
    <w:rsid w:val="004A2AB4"/>
    <w:rsid w:val="004A3A65"/>
    <w:rsid w:val="004B2090"/>
    <w:rsid w:val="004C1667"/>
    <w:rsid w:val="004C1AD2"/>
    <w:rsid w:val="004C1B71"/>
    <w:rsid w:val="004F1D82"/>
    <w:rsid w:val="00504B96"/>
    <w:rsid w:val="0050518A"/>
    <w:rsid w:val="005133FE"/>
    <w:rsid w:val="00514404"/>
    <w:rsid w:val="00522809"/>
    <w:rsid w:val="005349B1"/>
    <w:rsid w:val="005444DD"/>
    <w:rsid w:val="00544E86"/>
    <w:rsid w:val="00550044"/>
    <w:rsid w:val="00567454"/>
    <w:rsid w:val="00574B08"/>
    <w:rsid w:val="00595006"/>
    <w:rsid w:val="005A5B0F"/>
    <w:rsid w:val="005A6643"/>
    <w:rsid w:val="005A6EE9"/>
    <w:rsid w:val="005B1E7F"/>
    <w:rsid w:val="005F2ABD"/>
    <w:rsid w:val="005F3E96"/>
    <w:rsid w:val="005F515B"/>
    <w:rsid w:val="00605DCB"/>
    <w:rsid w:val="0061079E"/>
    <w:rsid w:val="00620A2D"/>
    <w:rsid w:val="00622088"/>
    <w:rsid w:val="0062618B"/>
    <w:rsid w:val="00633012"/>
    <w:rsid w:val="00637656"/>
    <w:rsid w:val="00643B9A"/>
    <w:rsid w:val="006550C2"/>
    <w:rsid w:val="00677481"/>
    <w:rsid w:val="006A107B"/>
    <w:rsid w:val="006A4B45"/>
    <w:rsid w:val="006A5F55"/>
    <w:rsid w:val="006A62C2"/>
    <w:rsid w:val="006A72CD"/>
    <w:rsid w:val="006B10AA"/>
    <w:rsid w:val="006C4C9A"/>
    <w:rsid w:val="006C4D71"/>
    <w:rsid w:val="006D60D0"/>
    <w:rsid w:val="006E67E1"/>
    <w:rsid w:val="00700D63"/>
    <w:rsid w:val="00706B6E"/>
    <w:rsid w:val="00707CAE"/>
    <w:rsid w:val="00710C83"/>
    <w:rsid w:val="00733294"/>
    <w:rsid w:val="007458E4"/>
    <w:rsid w:val="0075494B"/>
    <w:rsid w:val="00760854"/>
    <w:rsid w:val="00763747"/>
    <w:rsid w:val="00774558"/>
    <w:rsid w:val="00781F79"/>
    <w:rsid w:val="00787027"/>
    <w:rsid w:val="00797B8C"/>
    <w:rsid w:val="007A4A1C"/>
    <w:rsid w:val="007A5962"/>
    <w:rsid w:val="007B0208"/>
    <w:rsid w:val="007B069A"/>
    <w:rsid w:val="007B606D"/>
    <w:rsid w:val="007B608F"/>
    <w:rsid w:val="007B620E"/>
    <w:rsid w:val="007C1C2C"/>
    <w:rsid w:val="007D3D83"/>
    <w:rsid w:val="007E0843"/>
    <w:rsid w:val="007E2A47"/>
    <w:rsid w:val="007E651E"/>
    <w:rsid w:val="00801686"/>
    <w:rsid w:val="00803536"/>
    <w:rsid w:val="00821E6D"/>
    <w:rsid w:val="0082621B"/>
    <w:rsid w:val="008415B6"/>
    <w:rsid w:val="008432AD"/>
    <w:rsid w:val="00844F68"/>
    <w:rsid w:val="0088237F"/>
    <w:rsid w:val="00883D0A"/>
    <w:rsid w:val="00883D63"/>
    <w:rsid w:val="0088433C"/>
    <w:rsid w:val="00885E0C"/>
    <w:rsid w:val="0089105A"/>
    <w:rsid w:val="008A47A4"/>
    <w:rsid w:val="008B7E48"/>
    <w:rsid w:val="008C2737"/>
    <w:rsid w:val="008C29BB"/>
    <w:rsid w:val="008C45FE"/>
    <w:rsid w:val="008D03D1"/>
    <w:rsid w:val="008D070C"/>
    <w:rsid w:val="008D4E7A"/>
    <w:rsid w:val="009147ED"/>
    <w:rsid w:val="00915197"/>
    <w:rsid w:val="00927A3A"/>
    <w:rsid w:val="00936C1B"/>
    <w:rsid w:val="0094018B"/>
    <w:rsid w:val="009451A0"/>
    <w:rsid w:val="00947B7E"/>
    <w:rsid w:val="00963C28"/>
    <w:rsid w:val="00966189"/>
    <w:rsid w:val="00971F62"/>
    <w:rsid w:val="00972031"/>
    <w:rsid w:val="0097329A"/>
    <w:rsid w:val="00976FCA"/>
    <w:rsid w:val="00977422"/>
    <w:rsid w:val="00983B6D"/>
    <w:rsid w:val="009857C1"/>
    <w:rsid w:val="009A016C"/>
    <w:rsid w:val="009A491F"/>
    <w:rsid w:val="009B088D"/>
    <w:rsid w:val="009B37C7"/>
    <w:rsid w:val="009B5535"/>
    <w:rsid w:val="009C10D5"/>
    <w:rsid w:val="009C4605"/>
    <w:rsid w:val="009E0BB9"/>
    <w:rsid w:val="009E6162"/>
    <w:rsid w:val="00A04E7E"/>
    <w:rsid w:val="00A10B4E"/>
    <w:rsid w:val="00A11283"/>
    <w:rsid w:val="00A14DC0"/>
    <w:rsid w:val="00A14F18"/>
    <w:rsid w:val="00A2202A"/>
    <w:rsid w:val="00A3670D"/>
    <w:rsid w:val="00A37F00"/>
    <w:rsid w:val="00A51A80"/>
    <w:rsid w:val="00A60B08"/>
    <w:rsid w:val="00A6192E"/>
    <w:rsid w:val="00A66379"/>
    <w:rsid w:val="00A8143D"/>
    <w:rsid w:val="00A93AD5"/>
    <w:rsid w:val="00A9592D"/>
    <w:rsid w:val="00AA2C0B"/>
    <w:rsid w:val="00AB4147"/>
    <w:rsid w:val="00AB4889"/>
    <w:rsid w:val="00AC231D"/>
    <w:rsid w:val="00AC7F63"/>
    <w:rsid w:val="00AD1CD4"/>
    <w:rsid w:val="00AD6204"/>
    <w:rsid w:val="00AD7984"/>
    <w:rsid w:val="00AE303D"/>
    <w:rsid w:val="00AF10E7"/>
    <w:rsid w:val="00B02CE1"/>
    <w:rsid w:val="00B03F26"/>
    <w:rsid w:val="00B045E7"/>
    <w:rsid w:val="00B070D5"/>
    <w:rsid w:val="00B14A3D"/>
    <w:rsid w:val="00B14AAE"/>
    <w:rsid w:val="00B1537F"/>
    <w:rsid w:val="00B16284"/>
    <w:rsid w:val="00B374EF"/>
    <w:rsid w:val="00B50BFF"/>
    <w:rsid w:val="00B55424"/>
    <w:rsid w:val="00B559BC"/>
    <w:rsid w:val="00B57DAA"/>
    <w:rsid w:val="00B70EAC"/>
    <w:rsid w:val="00B71F0C"/>
    <w:rsid w:val="00B768CE"/>
    <w:rsid w:val="00B83E97"/>
    <w:rsid w:val="00B9218C"/>
    <w:rsid w:val="00B965B8"/>
    <w:rsid w:val="00BA7F6C"/>
    <w:rsid w:val="00BB0F09"/>
    <w:rsid w:val="00BE1ADD"/>
    <w:rsid w:val="00BF0DF7"/>
    <w:rsid w:val="00BF7178"/>
    <w:rsid w:val="00C0550A"/>
    <w:rsid w:val="00C1330E"/>
    <w:rsid w:val="00C14D20"/>
    <w:rsid w:val="00C311E2"/>
    <w:rsid w:val="00C31B1A"/>
    <w:rsid w:val="00C33311"/>
    <w:rsid w:val="00C360E1"/>
    <w:rsid w:val="00C45269"/>
    <w:rsid w:val="00C60114"/>
    <w:rsid w:val="00C604D8"/>
    <w:rsid w:val="00C66F6C"/>
    <w:rsid w:val="00C75F4B"/>
    <w:rsid w:val="00C80C96"/>
    <w:rsid w:val="00C84E28"/>
    <w:rsid w:val="00C85B6B"/>
    <w:rsid w:val="00C87487"/>
    <w:rsid w:val="00C912D0"/>
    <w:rsid w:val="00C926BC"/>
    <w:rsid w:val="00C95BA9"/>
    <w:rsid w:val="00CA0A63"/>
    <w:rsid w:val="00CA67B8"/>
    <w:rsid w:val="00CC02CC"/>
    <w:rsid w:val="00CC0ED8"/>
    <w:rsid w:val="00CC2FEF"/>
    <w:rsid w:val="00CC7D1A"/>
    <w:rsid w:val="00CD5954"/>
    <w:rsid w:val="00CD6FE3"/>
    <w:rsid w:val="00CE1C69"/>
    <w:rsid w:val="00CE462F"/>
    <w:rsid w:val="00CE4A7F"/>
    <w:rsid w:val="00D01157"/>
    <w:rsid w:val="00D033EB"/>
    <w:rsid w:val="00D05042"/>
    <w:rsid w:val="00D0664E"/>
    <w:rsid w:val="00D20336"/>
    <w:rsid w:val="00D205F2"/>
    <w:rsid w:val="00D239DF"/>
    <w:rsid w:val="00D24697"/>
    <w:rsid w:val="00D26AE2"/>
    <w:rsid w:val="00D32C36"/>
    <w:rsid w:val="00D4221E"/>
    <w:rsid w:val="00D4361C"/>
    <w:rsid w:val="00D44AFA"/>
    <w:rsid w:val="00D6360E"/>
    <w:rsid w:val="00D64FEA"/>
    <w:rsid w:val="00D668C8"/>
    <w:rsid w:val="00D72C56"/>
    <w:rsid w:val="00D749F2"/>
    <w:rsid w:val="00D81847"/>
    <w:rsid w:val="00D8329C"/>
    <w:rsid w:val="00D90CBE"/>
    <w:rsid w:val="00DA1F32"/>
    <w:rsid w:val="00DB6BAD"/>
    <w:rsid w:val="00DC3744"/>
    <w:rsid w:val="00DD53EF"/>
    <w:rsid w:val="00DE223A"/>
    <w:rsid w:val="00DE2EAB"/>
    <w:rsid w:val="00DE398C"/>
    <w:rsid w:val="00E25B6E"/>
    <w:rsid w:val="00E301AE"/>
    <w:rsid w:val="00E42FE4"/>
    <w:rsid w:val="00E50BBB"/>
    <w:rsid w:val="00E51458"/>
    <w:rsid w:val="00E5453D"/>
    <w:rsid w:val="00E61CD5"/>
    <w:rsid w:val="00E7115B"/>
    <w:rsid w:val="00E733D6"/>
    <w:rsid w:val="00E75365"/>
    <w:rsid w:val="00E84DD2"/>
    <w:rsid w:val="00EB027B"/>
    <w:rsid w:val="00EB50D8"/>
    <w:rsid w:val="00EC0EFC"/>
    <w:rsid w:val="00EC7C99"/>
    <w:rsid w:val="00EE0250"/>
    <w:rsid w:val="00EE0F07"/>
    <w:rsid w:val="00EE396F"/>
    <w:rsid w:val="00EE3CFA"/>
    <w:rsid w:val="00EE6D86"/>
    <w:rsid w:val="00EF2A00"/>
    <w:rsid w:val="00F06DB2"/>
    <w:rsid w:val="00F342AB"/>
    <w:rsid w:val="00F36A3F"/>
    <w:rsid w:val="00F47F67"/>
    <w:rsid w:val="00F56C49"/>
    <w:rsid w:val="00F56EFF"/>
    <w:rsid w:val="00F57427"/>
    <w:rsid w:val="00F71526"/>
    <w:rsid w:val="00F73178"/>
    <w:rsid w:val="00F80BE8"/>
    <w:rsid w:val="00F81614"/>
    <w:rsid w:val="00F83E37"/>
    <w:rsid w:val="00F864F2"/>
    <w:rsid w:val="00F91A4D"/>
    <w:rsid w:val="00F94602"/>
    <w:rsid w:val="00FA472E"/>
    <w:rsid w:val="00FA6079"/>
    <w:rsid w:val="00FB03E6"/>
    <w:rsid w:val="00FB1920"/>
    <w:rsid w:val="00FB384B"/>
    <w:rsid w:val="00FB58D9"/>
    <w:rsid w:val="00FC47C8"/>
    <w:rsid w:val="00FE2E18"/>
    <w:rsid w:val="00FF0823"/>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AB776E"/>
  <w15:chartTrackingRefBased/>
  <w15:docId w15:val="{08C5B551-8348-4DAA-822F-25FDFD5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customStyle="1" w:styleId="Default">
    <w:name w:val="Default"/>
    <w:rsid w:val="00AB41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0CBE"/>
    <w:pPr>
      <w:ind w:left="720"/>
      <w:contextualSpacing/>
    </w:pPr>
  </w:style>
  <w:style w:type="character" w:customStyle="1" w:styleId="Heading5Char">
    <w:name w:val="Heading 5 Char"/>
    <w:aliases w:val="Block Label Char"/>
    <w:link w:val="Heading5"/>
    <w:locked/>
    <w:rsid w:val="00C85B6B"/>
    <w:rPr>
      <w:b/>
      <w:sz w:val="22"/>
    </w:rPr>
  </w:style>
  <w:style w:type="paragraph" w:styleId="BalloonText">
    <w:name w:val="Balloon Text"/>
    <w:basedOn w:val="Normal"/>
    <w:link w:val="BalloonTextChar"/>
    <w:rsid w:val="002B2EF9"/>
    <w:rPr>
      <w:rFonts w:ascii="Segoe UI" w:hAnsi="Segoe UI" w:cs="Segoe UI"/>
      <w:sz w:val="18"/>
      <w:szCs w:val="18"/>
    </w:rPr>
  </w:style>
  <w:style w:type="character" w:customStyle="1" w:styleId="BalloonTextChar">
    <w:name w:val="Balloon Text Char"/>
    <w:basedOn w:val="DefaultParagraphFont"/>
    <w:link w:val="BalloonText"/>
    <w:rsid w:val="002B2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5265">
      <w:bodyDiv w:val="1"/>
      <w:marLeft w:val="0"/>
      <w:marRight w:val="0"/>
      <w:marTop w:val="0"/>
      <w:marBottom w:val="0"/>
      <w:divBdr>
        <w:top w:val="none" w:sz="0" w:space="0" w:color="auto"/>
        <w:left w:val="none" w:sz="0" w:space="0" w:color="auto"/>
        <w:bottom w:val="none" w:sz="0" w:space="0" w:color="auto"/>
        <w:right w:val="none" w:sz="0" w:space="0" w:color="auto"/>
      </w:divBdr>
      <w:divsChild>
        <w:div w:id="205263918">
          <w:marLeft w:val="0"/>
          <w:marRight w:val="0"/>
          <w:marTop w:val="0"/>
          <w:marBottom w:val="0"/>
          <w:divBdr>
            <w:top w:val="none" w:sz="0" w:space="0" w:color="auto"/>
            <w:left w:val="none" w:sz="0" w:space="0" w:color="auto"/>
            <w:bottom w:val="none" w:sz="0" w:space="0" w:color="auto"/>
            <w:right w:val="none" w:sz="0" w:space="0" w:color="auto"/>
          </w:divBdr>
        </w:div>
        <w:div w:id="648050808">
          <w:marLeft w:val="0"/>
          <w:marRight w:val="0"/>
          <w:marTop w:val="0"/>
          <w:marBottom w:val="0"/>
          <w:divBdr>
            <w:top w:val="none" w:sz="0" w:space="0" w:color="auto"/>
            <w:left w:val="none" w:sz="0" w:space="0" w:color="auto"/>
            <w:bottom w:val="none" w:sz="0" w:space="0" w:color="auto"/>
            <w:right w:val="none" w:sz="0" w:space="0" w:color="auto"/>
          </w:divBdr>
        </w:div>
        <w:div w:id="1100833390">
          <w:marLeft w:val="0"/>
          <w:marRight w:val="0"/>
          <w:marTop w:val="0"/>
          <w:marBottom w:val="0"/>
          <w:divBdr>
            <w:top w:val="none" w:sz="0" w:space="0" w:color="auto"/>
            <w:left w:val="none" w:sz="0" w:space="0" w:color="auto"/>
            <w:bottom w:val="none" w:sz="0" w:space="0" w:color="auto"/>
            <w:right w:val="none" w:sz="0" w:space="0" w:color="auto"/>
          </w:divBdr>
        </w:div>
        <w:div w:id="1161431334">
          <w:marLeft w:val="0"/>
          <w:marRight w:val="0"/>
          <w:marTop w:val="0"/>
          <w:marBottom w:val="0"/>
          <w:divBdr>
            <w:top w:val="none" w:sz="0" w:space="0" w:color="auto"/>
            <w:left w:val="none" w:sz="0" w:space="0" w:color="auto"/>
            <w:bottom w:val="none" w:sz="0" w:space="0" w:color="auto"/>
            <w:right w:val="none" w:sz="0" w:space="0" w:color="auto"/>
          </w:divBdr>
        </w:div>
        <w:div w:id="2113165904">
          <w:marLeft w:val="0"/>
          <w:marRight w:val="0"/>
          <w:marTop w:val="0"/>
          <w:marBottom w:val="0"/>
          <w:divBdr>
            <w:top w:val="none" w:sz="0" w:space="0" w:color="auto"/>
            <w:left w:val="none" w:sz="0" w:space="0" w:color="auto"/>
            <w:bottom w:val="none" w:sz="0" w:space="0" w:color="auto"/>
            <w:right w:val="none" w:sz="0" w:space="0" w:color="auto"/>
          </w:divBdr>
        </w:div>
        <w:div w:id="1276670141">
          <w:marLeft w:val="0"/>
          <w:marRight w:val="0"/>
          <w:marTop w:val="0"/>
          <w:marBottom w:val="0"/>
          <w:divBdr>
            <w:top w:val="none" w:sz="0" w:space="0" w:color="auto"/>
            <w:left w:val="none" w:sz="0" w:space="0" w:color="auto"/>
            <w:bottom w:val="none" w:sz="0" w:space="0" w:color="auto"/>
            <w:right w:val="none" w:sz="0" w:space="0" w:color="auto"/>
          </w:divBdr>
        </w:div>
        <w:div w:id="691491811">
          <w:marLeft w:val="0"/>
          <w:marRight w:val="0"/>
          <w:marTop w:val="0"/>
          <w:marBottom w:val="0"/>
          <w:divBdr>
            <w:top w:val="none" w:sz="0" w:space="0" w:color="auto"/>
            <w:left w:val="none" w:sz="0" w:space="0" w:color="auto"/>
            <w:bottom w:val="none" w:sz="0" w:space="0" w:color="auto"/>
            <w:right w:val="none" w:sz="0" w:space="0" w:color="auto"/>
          </w:divBdr>
        </w:div>
        <w:div w:id="1552186428">
          <w:marLeft w:val="0"/>
          <w:marRight w:val="0"/>
          <w:marTop w:val="0"/>
          <w:marBottom w:val="0"/>
          <w:divBdr>
            <w:top w:val="none" w:sz="0" w:space="0" w:color="auto"/>
            <w:left w:val="none" w:sz="0" w:space="0" w:color="auto"/>
            <w:bottom w:val="none" w:sz="0" w:space="0" w:color="auto"/>
            <w:right w:val="none" w:sz="0" w:space="0" w:color="auto"/>
          </w:divBdr>
        </w:div>
        <w:div w:id="1195579217">
          <w:marLeft w:val="0"/>
          <w:marRight w:val="0"/>
          <w:marTop w:val="0"/>
          <w:marBottom w:val="0"/>
          <w:divBdr>
            <w:top w:val="none" w:sz="0" w:space="0" w:color="auto"/>
            <w:left w:val="none" w:sz="0" w:space="0" w:color="auto"/>
            <w:bottom w:val="none" w:sz="0" w:space="0" w:color="auto"/>
            <w:right w:val="none" w:sz="0" w:space="0" w:color="auto"/>
          </w:divBdr>
        </w:div>
      </w:divsChild>
    </w:div>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 w:id="1465997780">
      <w:bodyDiv w:val="1"/>
      <w:marLeft w:val="0"/>
      <w:marRight w:val="0"/>
      <w:marTop w:val="0"/>
      <w:marBottom w:val="0"/>
      <w:divBdr>
        <w:top w:val="none" w:sz="0" w:space="0" w:color="auto"/>
        <w:left w:val="none" w:sz="0" w:space="0" w:color="auto"/>
        <w:bottom w:val="none" w:sz="0" w:space="0" w:color="auto"/>
        <w:right w:val="none" w:sz="0" w:space="0" w:color="auto"/>
      </w:divBdr>
    </w:div>
    <w:div w:id="201669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A2C"/>
    <w:rsid w:val="00013DE0"/>
    <w:rsid w:val="000F514A"/>
    <w:rsid w:val="0015439E"/>
    <w:rsid w:val="00165332"/>
    <w:rsid w:val="00177C98"/>
    <w:rsid w:val="00266BF4"/>
    <w:rsid w:val="002B3830"/>
    <w:rsid w:val="002C3A63"/>
    <w:rsid w:val="00302917"/>
    <w:rsid w:val="003302E8"/>
    <w:rsid w:val="00421126"/>
    <w:rsid w:val="004473BD"/>
    <w:rsid w:val="00503C9E"/>
    <w:rsid w:val="005A495C"/>
    <w:rsid w:val="006C6D7F"/>
    <w:rsid w:val="006E3537"/>
    <w:rsid w:val="007E69BB"/>
    <w:rsid w:val="0081660E"/>
    <w:rsid w:val="00856328"/>
    <w:rsid w:val="008B59B6"/>
    <w:rsid w:val="008F2A2C"/>
    <w:rsid w:val="009315AE"/>
    <w:rsid w:val="009E2D04"/>
    <w:rsid w:val="00A56359"/>
    <w:rsid w:val="00A82F68"/>
    <w:rsid w:val="00A8409A"/>
    <w:rsid w:val="00B92239"/>
    <w:rsid w:val="00B97CDA"/>
    <w:rsid w:val="00BA5A27"/>
    <w:rsid w:val="00C72FAB"/>
    <w:rsid w:val="00CD2384"/>
    <w:rsid w:val="00D34C02"/>
    <w:rsid w:val="00DC09DE"/>
    <w:rsid w:val="00E55597"/>
    <w:rsid w:val="00EF1C87"/>
    <w:rsid w:val="00F25834"/>
    <w:rsid w:val="00F86024"/>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27"/>
    <w:rPr>
      <w:color w:val="80808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INFOMAP.DOT</Template>
  <TotalTime>57</TotalTime>
  <Pages>3</Pages>
  <Words>694</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7</cp:revision>
  <cp:lastPrinted>2022-02-21T21:28:00Z</cp:lastPrinted>
  <dcterms:created xsi:type="dcterms:W3CDTF">2022-09-08T17:16:00Z</dcterms:created>
  <dcterms:modified xsi:type="dcterms:W3CDTF">2022-09-08T18:13:00Z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17 Nov 2016</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B114810</vt:lpwstr>
  </property>
  <property fmtid="{D5CDD505-2E9C-101B-9397-08002B2CF9AE}" pid="10" name="MC_Title">
    <vt:lpwstr>LIAT PCR</vt:lpwstr>
  </property>
  <property fmtid="{D5CDD505-2E9C-101B-9397-08002B2CF9AE}" pid="11" name="MC_Notes">
    <vt:lpwstr/>
  </property>
  <property fmtid="{D5CDD505-2E9C-101B-9397-08002B2CF9AE}" pid="12" name="MC_Number">
    <vt:lpwstr>LAMC-PPP-0363</vt:lpwstr>
  </property>
  <property fmtid="{D5CDD505-2E9C-101B-9397-08002B2CF9AE}" pid="13" name="MC_Author">
    <vt:lpwstr>B114810</vt:lpwstr>
  </property>
  <property fmtid="{D5CDD505-2E9C-101B-9397-08002B2CF9AE}" pid="14" name="MC_Vault">
    <vt:lpwstr>LAMC-dft</vt:lpwstr>
  </property>
  <property fmtid="{D5CDD505-2E9C-101B-9397-08002B2CF9AE}" pid="15" name="MC_CF_Med Center Heme Bench (Old)">
    <vt:lpwstr>HE Manual</vt:lpwstr>
  </property>
</Properties>
</file>