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0F1" w14:textId="77777777" w:rsidR="00B55A63" w:rsidRDefault="00C603E2">
      <w:pPr>
        <w:tabs>
          <w:tab w:val="right" w:pos="9216"/>
        </w:tabs>
        <w:spacing w:before="8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pict w14:anchorId="5638233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left:0;text-align:left;margin-left:1in;margin-top:36pt;width:470pt;height:35.5pt;z-index:-251664896;mso-wrap-distance-left:0;mso-wrap-distance-right:0;mso-wrap-distance-bottom:12.15pt;mso-position-horizontal-relative:page;mso-position-vertical-relative:page" filled="f" stroked="f">
            <v:textbox inset="0,0,0,0">
              <w:txbxContent>
                <w:p w14:paraId="49DAE88A" w14:textId="77777777" w:rsidR="00B55A63" w:rsidRDefault="00B55A63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12" w:color="000000"/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854246">
        <w:rPr>
          <w:rFonts w:ascii="Arial" w:eastAsia="Arial" w:hAnsi="Arial"/>
          <w:color w:val="000000"/>
          <w:sz w:val="20"/>
        </w:rPr>
        <w:t>Kaiser Permanente</w:t>
      </w:r>
      <w:r w:rsidR="00854246">
        <w:rPr>
          <w:rFonts w:ascii="Arial" w:eastAsia="Arial" w:hAnsi="Arial"/>
          <w:color w:val="000000"/>
          <w:sz w:val="20"/>
        </w:rPr>
        <w:tab/>
        <w:t>SCPMG Laboratory Systems</w:t>
      </w:r>
    </w:p>
    <w:p w14:paraId="61DAF778" w14:textId="77777777" w:rsidR="00B55A63" w:rsidRDefault="00854246">
      <w:pPr>
        <w:tabs>
          <w:tab w:val="right" w:pos="9216"/>
        </w:tabs>
        <w:spacing w:line="229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Medical Care Program</w:t>
      </w:r>
      <w:r>
        <w:rPr>
          <w:rFonts w:ascii="Arial" w:eastAsia="Arial" w:hAnsi="Arial"/>
          <w:color w:val="000000"/>
          <w:sz w:val="20"/>
        </w:rPr>
        <w:tab/>
        <w:t>Chemistry</w:t>
      </w:r>
    </w:p>
    <w:p w14:paraId="2854A018" w14:textId="77777777" w:rsidR="00B55A63" w:rsidRDefault="00854246">
      <w:pPr>
        <w:tabs>
          <w:tab w:val="right" w:pos="9216"/>
        </w:tabs>
        <w:spacing w:before="1" w:after="250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California Division - South</w:t>
      </w:r>
      <w:r>
        <w:rPr>
          <w:rFonts w:ascii="Arial" w:eastAsia="Arial" w:hAnsi="Arial"/>
          <w:color w:val="000000"/>
          <w:sz w:val="20"/>
        </w:rPr>
        <w:tab/>
        <w:t>Procedure</w:t>
      </w:r>
    </w:p>
    <w:p w14:paraId="518E88F7" w14:textId="77777777" w:rsidR="00B55A63" w:rsidRDefault="00854246">
      <w:pPr>
        <w:spacing w:before="2" w:after="223" w:line="362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 xml:space="preserve">Responding to Reports of </w:t>
      </w:r>
      <w:proofErr w:type="spellStart"/>
      <w:r>
        <w:rPr>
          <w:rFonts w:ascii="Arial" w:eastAsia="Arial" w:hAnsi="Arial"/>
          <w:b/>
          <w:color w:val="000000"/>
          <w:spacing w:val="-1"/>
          <w:sz w:val="32"/>
        </w:rPr>
        <w:t>Pseudohyperkalemia</w:t>
      </w:r>
      <w:proofErr w:type="spellEnd"/>
    </w:p>
    <w:p w14:paraId="64295A2C" w14:textId="77777777" w:rsidR="00B55A63" w:rsidRDefault="00C603E2">
      <w:pPr>
        <w:tabs>
          <w:tab w:val="left" w:pos="1800"/>
        </w:tabs>
        <w:spacing w:before="304" w:after="220" w:line="276" w:lineRule="exact"/>
        <w:ind w:left="1800" w:right="504" w:hanging="1728"/>
        <w:textAlignment w:val="baseline"/>
        <w:rPr>
          <w:rFonts w:eastAsia="Times New Roman"/>
          <w:b/>
          <w:color w:val="000000"/>
        </w:rPr>
      </w:pPr>
      <w:r>
        <w:pict w14:anchorId="42AB756E">
          <v:line id="_x0000_s1037" style="position:absolute;left:0;text-align:left;z-index:251655680;mso-position-horizontal-relative:page;mso-position-vertical-relative:page" from="156.5pt,113.75pt" to="542.05pt,113.75pt" strokeweight=".95pt">
            <w10:wrap anchorx="page" anchory="page"/>
          </v:line>
        </w:pict>
      </w:r>
      <w:r w:rsidR="00854246">
        <w:rPr>
          <w:rFonts w:eastAsia="Times New Roman"/>
          <w:b/>
          <w:color w:val="000000"/>
        </w:rPr>
        <w:t>Purpose</w:t>
      </w:r>
      <w:r w:rsidR="00854246">
        <w:rPr>
          <w:rFonts w:eastAsia="Times New Roman"/>
          <w:b/>
          <w:color w:val="000000"/>
        </w:rPr>
        <w:tab/>
      </w:r>
      <w:r w:rsidR="00854246">
        <w:rPr>
          <w:rFonts w:eastAsia="Times New Roman"/>
          <w:color w:val="000000"/>
          <w:sz w:val="24"/>
        </w:rPr>
        <w:t xml:space="preserve">This procedure provides instructions to respond to reports of suspected of </w:t>
      </w:r>
      <w:proofErr w:type="spellStart"/>
      <w:r w:rsidR="00854246">
        <w:rPr>
          <w:rFonts w:eastAsia="Times New Roman"/>
          <w:color w:val="000000"/>
          <w:sz w:val="24"/>
        </w:rPr>
        <w:t>pseudohyperkalemia</w:t>
      </w:r>
      <w:proofErr w:type="spellEnd"/>
      <w:r w:rsidR="00854246">
        <w:rPr>
          <w:rFonts w:eastAsia="Times New Roman"/>
          <w:color w:val="000000"/>
          <w:sz w:val="24"/>
        </w:rPr>
        <w:t>.</w:t>
      </w:r>
    </w:p>
    <w:p w14:paraId="21754026" w14:textId="77777777" w:rsidR="00B55A63" w:rsidRDefault="00C603E2">
      <w:pPr>
        <w:tabs>
          <w:tab w:val="left" w:pos="1800"/>
        </w:tabs>
        <w:spacing w:before="303" w:after="216" w:line="276" w:lineRule="exact"/>
        <w:ind w:left="1800" w:right="504" w:hanging="1728"/>
        <w:textAlignment w:val="baseline"/>
        <w:rPr>
          <w:rFonts w:eastAsia="Times New Roman"/>
          <w:b/>
          <w:color w:val="000000"/>
          <w:spacing w:val="-1"/>
        </w:rPr>
      </w:pPr>
      <w:r>
        <w:pict w14:anchorId="46C4DA3F">
          <v:line id="_x0000_s1036" style="position:absolute;left:0;text-align:left;z-index:251656704;mso-position-horizontal-relative:page;mso-position-vertical-relative:page" from="156.5pt,168pt" to="542.05pt,168pt" strokeweight=".95pt">
            <w10:wrap anchorx="page" anchory="page"/>
          </v:line>
        </w:pict>
      </w:r>
      <w:r w:rsidR="00854246">
        <w:rPr>
          <w:rFonts w:eastAsia="Times New Roman"/>
          <w:b/>
          <w:color w:val="000000"/>
          <w:spacing w:val="-1"/>
        </w:rPr>
        <w:t>Scope</w:t>
      </w:r>
      <w:r w:rsidR="00854246">
        <w:rPr>
          <w:rFonts w:eastAsia="Times New Roman"/>
          <w:b/>
          <w:color w:val="000000"/>
          <w:spacing w:val="-1"/>
        </w:rPr>
        <w:tab/>
      </w:r>
      <w:r w:rsidR="00854246">
        <w:rPr>
          <w:rFonts w:eastAsia="Times New Roman"/>
          <w:color w:val="000000"/>
          <w:spacing w:val="-1"/>
          <w:sz w:val="24"/>
        </w:rPr>
        <w:t>This procedure is intended for Clinical Laboratory Scientists and Medical Laboratory Technicians in the Medical Center Chemistry department.</w:t>
      </w:r>
    </w:p>
    <w:p w14:paraId="2A2AB671" w14:textId="77777777" w:rsidR="00B55A63" w:rsidRDefault="00C603E2">
      <w:pPr>
        <w:tabs>
          <w:tab w:val="left" w:pos="1800"/>
        </w:tabs>
        <w:spacing w:before="297" w:line="270" w:lineRule="exact"/>
        <w:ind w:left="72"/>
        <w:textAlignment w:val="baseline"/>
        <w:rPr>
          <w:rFonts w:eastAsia="Times New Roman"/>
          <w:b/>
          <w:color w:val="000000"/>
        </w:rPr>
      </w:pPr>
      <w:r>
        <w:pict w14:anchorId="08F58233">
          <v:line id="_x0000_s1035" style="position:absolute;left:0;text-align:left;z-index:251657728;mso-position-horizontal-relative:page;mso-position-vertical-relative:page" from="156.5pt,222pt" to="542.05pt,222pt" strokeweight=".95pt">
            <w10:wrap anchorx="page" anchory="page"/>
          </v:line>
        </w:pict>
      </w:r>
      <w:r w:rsidR="00854246">
        <w:rPr>
          <w:rFonts w:eastAsia="Times New Roman"/>
          <w:b/>
          <w:color w:val="000000"/>
        </w:rPr>
        <w:t>Definitions</w:t>
      </w:r>
      <w:r w:rsidR="00854246">
        <w:rPr>
          <w:rFonts w:eastAsia="Times New Roman"/>
          <w:b/>
          <w:color w:val="000000"/>
        </w:rPr>
        <w:tab/>
      </w:r>
      <w:r w:rsidR="00854246">
        <w:rPr>
          <w:rFonts w:eastAsia="Times New Roman"/>
          <w:color w:val="000000"/>
          <w:sz w:val="24"/>
        </w:rPr>
        <w:t>The following definitions are provided for this procedure.</w:t>
      </w:r>
    </w:p>
    <w:tbl>
      <w:tblPr>
        <w:tblW w:w="0" w:type="auto"/>
        <w:tblInd w:w="18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025"/>
      </w:tblGrid>
      <w:tr w:rsidR="00B55A63" w14:paraId="07BE7472" w14:textId="77777777">
        <w:trPr>
          <w:trHeight w:hRule="exact" w:val="28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5CF36" w14:textId="77777777" w:rsidR="00B55A63" w:rsidRDefault="00854246">
            <w:pPr>
              <w:spacing w:line="258" w:lineRule="exact"/>
              <w:ind w:right="933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Term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B335E" w14:textId="77777777" w:rsidR="00B55A63" w:rsidRDefault="00854246">
            <w:pPr>
              <w:spacing w:line="258" w:lineRule="exact"/>
              <w:ind w:right="192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Definition</w:t>
            </w:r>
          </w:p>
        </w:tc>
      </w:tr>
      <w:tr w:rsidR="00B55A63" w14:paraId="483F8FA6" w14:textId="77777777">
        <w:trPr>
          <w:trHeight w:hRule="exact" w:val="139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5DDFB" w14:textId="77777777" w:rsidR="00B55A63" w:rsidRDefault="00854246">
            <w:pPr>
              <w:spacing w:after="1099" w:line="276" w:lineRule="exact"/>
              <w:ind w:right="933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Hyperkalemia</w:t>
            </w:r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1B23D" w14:textId="77777777" w:rsidR="00B55A63" w:rsidRDefault="00854246">
            <w:pPr>
              <w:spacing w:line="275" w:lineRule="exact"/>
              <w:ind w:left="108" w:right="21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Hyperkalemia is a potentially serious medical condition in which elevated potassium levels can increase the risk of severe cardiac electrophysiology abnormalities (e.g., cardiac arrhythmias) and sudden death.</w:t>
            </w:r>
          </w:p>
        </w:tc>
      </w:tr>
      <w:tr w:rsidR="00B55A63" w14:paraId="42C9B1B4" w14:textId="77777777">
        <w:trPr>
          <w:trHeight w:hRule="exact" w:val="11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A3B4" w14:textId="77777777" w:rsidR="00B55A63" w:rsidRDefault="00854246">
            <w:pPr>
              <w:spacing w:after="830" w:line="276" w:lineRule="exact"/>
              <w:ind w:right="303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Pseudohyperkalemia</w:t>
            </w:r>
            <w:proofErr w:type="spellEnd"/>
          </w:p>
        </w:tc>
        <w:tc>
          <w:tcPr>
            <w:tcW w:w="5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30668" w14:textId="77777777" w:rsidR="00B55A63" w:rsidRDefault="00854246">
            <w:pPr>
              <w:spacing w:after="4" w:line="276" w:lineRule="exact"/>
              <w:ind w:left="108" w:right="46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 false elevation of serum/plasma potassium levels usually due to the release of potassium from lysed red blood cells or white blood cells and from platelet activation.</w:t>
            </w:r>
          </w:p>
        </w:tc>
      </w:tr>
    </w:tbl>
    <w:p w14:paraId="4EB30BC6" w14:textId="77777777" w:rsidR="00B55A63" w:rsidRDefault="00B55A63">
      <w:pPr>
        <w:spacing w:after="214" w:line="20" w:lineRule="exact"/>
      </w:pPr>
    </w:p>
    <w:p w14:paraId="45D78C69" w14:textId="77777777" w:rsidR="00B55A63" w:rsidRDefault="00C603E2">
      <w:pPr>
        <w:spacing w:before="304" w:line="20" w:lineRule="exact"/>
      </w:pPr>
      <w:r>
        <w:pict w14:anchorId="4D9093CD">
          <v:line id="_x0000_s1034" style="position:absolute;z-index:251658752;mso-position-horizontal-relative:page;mso-position-vertical-relative:page" from="156.5pt,402.5pt" to="542.05pt,402.5pt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7715"/>
      </w:tblGrid>
      <w:tr w:rsidR="00B55A63" w14:paraId="4DE881AF" w14:textId="77777777">
        <w:trPr>
          <w:trHeight w:hRule="exact" w:val="3392"/>
        </w:trPr>
        <w:tc>
          <w:tcPr>
            <w:tcW w:w="1685" w:type="dxa"/>
          </w:tcPr>
          <w:p w14:paraId="79327E0B" w14:textId="77777777" w:rsidR="00B55A63" w:rsidRDefault="00854246">
            <w:pPr>
              <w:spacing w:line="228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Safety</w:t>
            </w:r>
          </w:p>
          <w:p w14:paraId="211A6D66" w14:textId="77777777" w:rsidR="00B55A63" w:rsidRDefault="00854246">
            <w:pPr>
              <w:spacing w:before="6" w:after="2904" w:line="249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Precautions</w:t>
            </w:r>
          </w:p>
        </w:tc>
        <w:tc>
          <w:tcPr>
            <w:tcW w:w="7715" w:type="dxa"/>
            <w:tcBorders>
              <w:bottom w:val="single" w:sz="9" w:space="0" w:color="000000"/>
            </w:tcBorders>
          </w:tcPr>
          <w:p w14:paraId="0DE3B035" w14:textId="77777777" w:rsidR="00B55A63" w:rsidRDefault="00854246">
            <w:pPr>
              <w:spacing w:line="265" w:lineRule="exact"/>
              <w:ind w:right="36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All staff members performing these procedures must adhere to regional and </w:t>
            </w:r>
            <w:r>
              <w:rPr>
                <w:rFonts w:eastAsia="Times New Roman"/>
                <w:color w:val="000000"/>
                <w:sz w:val="24"/>
              </w:rPr>
              <w:br/>
              <w:t>local workplace safety policies. These will include but may not be limited to:</w:t>
            </w:r>
          </w:p>
          <w:p w14:paraId="72EBA609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Equipment safety, proper body mechanics, sharps exposure</w:t>
            </w:r>
          </w:p>
          <w:p w14:paraId="554D9DBB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9" w:line="276" w:lineRule="exact"/>
              <w:ind w:left="288" w:right="180" w:hanging="144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Proper use of gloves/personal protective equipment while performing these procedures</w:t>
            </w:r>
          </w:p>
          <w:p w14:paraId="1DA8EF85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Exposure to body fluids</w:t>
            </w:r>
          </w:p>
          <w:p w14:paraId="74F979F6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Proper handling of regular and biohazardous waste</w:t>
            </w:r>
          </w:p>
          <w:p w14:paraId="21C8B87F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6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Handling of regular and infectious waste</w:t>
            </w:r>
          </w:p>
          <w:p w14:paraId="2C5AA9CB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Proper cleaning of work area</w:t>
            </w:r>
          </w:p>
          <w:p w14:paraId="2D30996E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Proper handwashing</w:t>
            </w:r>
          </w:p>
          <w:p w14:paraId="3C7ACBC8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after="235" w:line="276" w:lineRule="exact"/>
              <w:ind w:left="288" w:right="3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Proper storage and disposal of chemical hazardous waste</w:t>
            </w:r>
          </w:p>
        </w:tc>
      </w:tr>
      <w:tr w:rsidR="00B55A63" w14:paraId="352A3073" w14:textId="77777777">
        <w:trPr>
          <w:trHeight w:hRule="exact" w:val="280"/>
        </w:trPr>
        <w:tc>
          <w:tcPr>
            <w:tcW w:w="1685" w:type="dxa"/>
          </w:tcPr>
          <w:p w14:paraId="6BC40218" w14:textId="77777777" w:rsidR="00B55A63" w:rsidRDefault="00B55A63"/>
        </w:tc>
        <w:tc>
          <w:tcPr>
            <w:tcW w:w="7715" w:type="dxa"/>
            <w:tcBorders>
              <w:top w:val="single" w:sz="9" w:space="0" w:color="000000"/>
            </w:tcBorders>
            <w:vAlign w:val="center"/>
          </w:tcPr>
          <w:p w14:paraId="599145A8" w14:textId="77777777" w:rsidR="00B55A63" w:rsidRDefault="00854246">
            <w:pPr>
              <w:spacing w:after="21" w:line="225" w:lineRule="exact"/>
              <w:ind w:right="36"/>
              <w:jc w:val="right"/>
              <w:textAlignment w:val="baseline"/>
              <w:rPr>
                <w:rFonts w:eastAsia="Times New Roman"/>
                <w:i/>
                <w:color w:val="000000"/>
                <w:sz w:val="20"/>
              </w:rPr>
            </w:pPr>
            <w:r>
              <w:rPr>
                <w:rFonts w:eastAsia="Times New Roman"/>
                <w:i/>
                <w:color w:val="000000"/>
                <w:sz w:val="20"/>
              </w:rPr>
              <w:t>Continued on next page</w:t>
            </w:r>
          </w:p>
        </w:tc>
      </w:tr>
    </w:tbl>
    <w:p w14:paraId="2E916D44" w14:textId="77777777" w:rsidR="00B55A63" w:rsidRDefault="00B55A63">
      <w:pPr>
        <w:spacing w:after="2608" w:line="20" w:lineRule="exact"/>
      </w:pPr>
    </w:p>
    <w:p w14:paraId="1C199A1B" w14:textId="77777777" w:rsidR="00B55A63" w:rsidRDefault="00854246">
      <w:pPr>
        <w:spacing w:before="9" w:line="226" w:lineRule="exact"/>
        <w:ind w:left="72"/>
        <w:jc w:val="righ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Page </w:t>
      </w:r>
      <w:r>
        <w:rPr>
          <w:rFonts w:eastAsia="Times New Roman"/>
          <w:b/>
          <w:color w:val="000000"/>
          <w:sz w:val="20"/>
        </w:rPr>
        <w:t xml:space="preserve">1 </w:t>
      </w:r>
      <w:r>
        <w:rPr>
          <w:rFonts w:eastAsia="Times New Roman"/>
          <w:color w:val="000000"/>
          <w:sz w:val="20"/>
        </w:rPr>
        <w:t xml:space="preserve">of </w:t>
      </w:r>
      <w:r>
        <w:rPr>
          <w:rFonts w:eastAsia="Times New Roman"/>
          <w:b/>
          <w:color w:val="000000"/>
          <w:sz w:val="20"/>
        </w:rPr>
        <w:t>4</w:t>
      </w:r>
    </w:p>
    <w:p w14:paraId="1D39AD77" w14:textId="77777777" w:rsidR="00B55A63" w:rsidRDefault="00B55A63">
      <w:pPr>
        <w:sectPr w:rsidR="00B55A63">
          <w:pgSz w:w="12240" w:h="15840"/>
          <w:pgMar w:top="720" w:right="1400" w:bottom="484" w:left="1440" w:header="720" w:footer="720" w:gutter="0"/>
          <w:cols w:space="720"/>
        </w:sectPr>
      </w:pPr>
    </w:p>
    <w:p w14:paraId="48C075C9" w14:textId="77777777" w:rsidR="00B55A63" w:rsidRDefault="00C603E2">
      <w:pPr>
        <w:tabs>
          <w:tab w:val="right" w:pos="9216"/>
        </w:tabs>
        <w:spacing w:before="8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lastRenderedPageBreak/>
        <w:pict w14:anchorId="3E82FEEF">
          <v:shape id="_x0000_s1033" type="#_x0000_t202" style="position:absolute;left:0;text-align:left;margin-left:71.85pt;margin-top:36pt;width:470pt;height:35.5pt;z-index:-251663872;mso-wrap-distance-left:0;mso-wrap-distance-right:0;mso-wrap-distance-bottom:12.15pt;mso-position-horizontal-relative:page;mso-position-vertical-relative:page" filled="f" stroked="f">
            <v:textbox inset="0,0,0,0">
              <w:txbxContent>
                <w:p w14:paraId="22B1F3B5" w14:textId="77777777" w:rsidR="00B55A63" w:rsidRDefault="00B55A63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12" w:color="000000"/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854246">
        <w:rPr>
          <w:rFonts w:ascii="Arial" w:eastAsia="Arial" w:hAnsi="Arial"/>
          <w:color w:val="000000"/>
          <w:sz w:val="20"/>
        </w:rPr>
        <w:t>Kaiser Permanente</w:t>
      </w:r>
      <w:r w:rsidR="00854246">
        <w:rPr>
          <w:rFonts w:ascii="Arial" w:eastAsia="Arial" w:hAnsi="Arial"/>
          <w:color w:val="000000"/>
          <w:sz w:val="20"/>
        </w:rPr>
        <w:tab/>
        <w:t>SCPMG Laboratory Systems</w:t>
      </w:r>
    </w:p>
    <w:p w14:paraId="1A738BC5" w14:textId="77777777" w:rsidR="00B55A63" w:rsidRDefault="00854246">
      <w:pPr>
        <w:tabs>
          <w:tab w:val="right" w:pos="9216"/>
        </w:tabs>
        <w:spacing w:line="229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Medical Care Program</w:t>
      </w:r>
      <w:r>
        <w:rPr>
          <w:rFonts w:ascii="Arial" w:eastAsia="Arial" w:hAnsi="Arial"/>
          <w:color w:val="000000"/>
          <w:sz w:val="20"/>
        </w:rPr>
        <w:tab/>
        <w:t>Chemistry</w:t>
      </w:r>
    </w:p>
    <w:p w14:paraId="5DC5BFAF" w14:textId="77777777" w:rsidR="00B55A63" w:rsidRDefault="00854246">
      <w:pPr>
        <w:tabs>
          <w:tab w:val="right" w:pos="9216"/>
        </w:tabs>
        <w:spacing w:before="1" w:after="250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California Division - South</w:t>
      </w:r>
      <w:r>
        <w:rPr>
          <w:rFonts w:ascii="Arial" w:eastAsia="Arial" w:hAnsi="Arial"/>
          <w:color w:val="000000"/>
          <w:sz w:val="20"/>
        </w:rPr>
        <w:tab/>
        <w:t>Procedure</w:t>
      </w:r>
    </w:p>
    <w:p w14:paraId="0657827B" w14:textId="77777777" w:rsidR="00B55A63" w:rsidRDefault="00854246">
      <w:pPr>
        <w:spacing w:before="2" w:after="223" w:line="362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Responding to Reports of </w:t>
      </w:r>
      <w:proofErr w:type="spellStart"/>
      <w:r>
        <w:rPr>
          <w:rFonts w:ascii="Arial" w:eastAsia="Arial" w:hAnsi="Arial"/>
          <w:b/>
          <w:color w:val="000000"/>
          <w:sz w:val="32"/>
        </w:rPr>
        <w:t>Pseudohyperkalemia</w:t>
      </w:r>
      <w:proofErr w:type="spellEnd"/>
      <w:r>
        <w:rPr>
          <w:rFonts w:ascii="Arial" w:eastAsia="Arial" w:hAnsi="Arial"/>
          <w:b/>
          <w:color w:val="000000"/>
          <w:sz w:val="24"/>
        </w:rPr>
        <w:t xml:space="preserve">, </w:t>
      </w:r>
      <w:r>
        <w:rPr>
          <w:rFonts w:ascii="Arial" w:eastAsia="Arial" w:hAnsi="Arial"/>
          <w:color w:val="000000"/>
          <w:sz w:val="24"/>
        </w:rPr>
        <w:t>Continued</w:t>
      </w:r>
    </w:p>
    <w:p w14:paraId="66355D5B" w14:textId="77777777" w:rsidR="00B55A63" w:rsidRDefault="00C603E2">
      <w:pPr>
        <w:tabs>
          <w:tab w:val="left" w:pos="1872"/>
        </w:tabs>
        <w:spacing w:before="300" w:line="277" w:lineRule="exact"/>
        <w:ind w:left="72"/>
        <w:textAlignment w:val="baseline"/>
        <w:rPr>
          <w:rFonts w:eastAsia="Times New Roman"/>
          <w:b/>
          <w:color w:val="000000"/>
        </w:rPr>
      </w:pPr>
      <w:r>
        <w:pict w14:anchorId="427ADA09">
          <v:line id="_x0000_s1032" style="position:absolute;left:0;text-align:left;z-index:251659776;mso-position-horizontal-relative:page;mso-position-vertical-relative:page" from="156.5pt,113.75pt" to="541.9pt,113.75pt" strokeweight=".95pt">
            <w10:wrap anchorx="page" anchory="page"/>
          </v:line>
        </w:pict>
      </w:r>
      <w:r w:rsidR="00854246">
        <w:rPr>
          <w:rFonts w:eastAsia="Times New Roman"/>
          <w:b/>
          <w:color w:val="000000"/>
        </w:rPr>
        <w:t>Causes of</w:t>
      </w:r>
      <w:r w:rsidR="00854246">
        <w:rPr>
          <w:rFonts w:eastAsia="Times New Roman"/>
          <w:b/>
          <w:color w:val="000000"/>
        </w:rPr>
        <w:tab/>
      </w:r>
      <w:proofErr w:type="gramStart"/>
      <w:r w:rsidR="00854246">
        <w:rPr>
          <w:rFonts w:eastAsia="Times New Roman"/>
          <w:color w:val="000000"/>
          <w:sz w:val="24"/>
        </w:rPr>
        <w:t>The</w:t>
      </w:r>
      <w:proofErr w:type="gramEnd"/>
      <w:r w:rsidR="00854246">
        <w:rPr>
          <w:rFonts w:eastAsia="Times New Roman"/>
          <w:color w:val="000000"/>
          <w:sz w:val="24"/>
        </w:rPr>
        <w:t xml:space="preserve"> table below summarizes common causes of </w:t>
      </w:r>
      <w:proofErr w:type="spellStart"/>
      <w:r w:rsidR="00854246">
        <w:rPr>
          <w:rFonts w:eastAsia="Times New Roman"/>
          <w:color w:val="000000"/>
          <w:sz w:val="24"/>
        </w:rPr>
        <w:t>pseudohyperkalemia</w:t>
      </w:r>
      <w:proofErr w:type="spellEnd"/>
      <w:r w:rsidR="00854246">
        <w:rPr>
          <w:rFonts w:eastAsia="Times New Roman"/>
          <w:color w:val="000000"/>
          <w:sz w:val="24"/>
        </w:rPr>
        <w:t>,</w:t>
      </w:r>
    </w:p>
    <w:p w14:paraId="284B6080" w14:textId="77777777" w:rsidR="00B55A63" w:rsidRDefault="00854246">
      <w:pPr>
        <w:spacing w:before="47" w:after="317" w:line="219" w:lineRule="exact"/>
        <w:ind w:left="72" w:right="2016"/>
        <w:textAlignment w:val="baseline"/>
        <w:rPr>
          <w:rFonts w:eastAsia="Times New Roman"/>
          <w:b/>
          <w:color w:val="000000"/>
        </w:rPr>
      </w:pPr>
      <w:proofErr w:type="spellStart"/>
      <w:r>
        <w:rPr>
          <w:rFonts w:eastAsia="Times New Roman"/>
          <w:b/>
          <w:color w:val="000000"/>
        </w:rPr>
        <w:t>Pseudohyperka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gramStart"/>
      <w:r>
        <w:rPr>
          <w:rFonts w:eastAsia="Times New Roman"/>
          <w:color w:val="000000"/>
          <w:sz w:val="24"/>
        </w:rPr>
        <w:t>indications, and</w:t>
      </w:r>
      <w:proofErr w:type="gramEnd"/>
      <w:r>
        <w:rPr>
          <w:rFonts w:eastAsia="Times New Roman"/>
          <w:color w:val="000000"/>
          <w:sz w:val="24"/>
        </w:rPr>
        <w:t xml:space="preserve"> provides recommendations for resolution. </w:t>
      </w:r>
      <w:proofErr w:type="spellStart"/>
      <w:r>
        <w:rPr>
          <w:rFonts w:eastAsia="Times New Roman"/>
          <w:b/>
          <w:color w:val="000000"/>
        </w:rPr>
        <w:t>lemia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403"/>
        <w:gridCol w:w="3648"/>
        <w:gridCol w:w="2707"/>
      </w:tblGrid>
      <w:tr w:rsidR="00B55A63" w14:paraId="40835AB9" w14:textId="77777777">
        <w:trPr>
          <w:trHeight w:hRule="exact" w:val="288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1CC50" w14:textId="77777777" w:rsidR="00B55A63" w:rsidRDefault="00854246">
            <w:pPr>
              <w:spacing w:line="25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Cause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C813A6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4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68113" w14:textId="77777777" w:rsidR="00B55A63" w:rsidRDefault="00854246">
            <w:pPr>
              <w:spacing w:line="258" w:lineRule="exact"/>
              <w:ind w:right="1490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Indication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29177" w14:textId="77777777" w:rsidR="00B55A63" w:rsidRDefault="00854246">
            <w:pPr>
              <w:spacing w:line="25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Resolution</w:t>
            </w:r>
          </w:p>
        </w:tc>
      </w:tr>
      <w:tr w:rsidR="00B55A63" w14:paraId="1DA0B55B" w14:textId="77777777">
        <w:trPr>
          <w:trHeight w:hRule="exact" w:val="326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3C328B" w14:textId="77777777" w:rsidR="00B55A63" w:rsidRDefault="00854246">
            <w:pPr>
              <w:spacing w:after="19" w:line="277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Pre-analytic factors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14:paraId="426BAEFA" w14:textId="77777777" w:rsidR="00B55A63" w:rsidRDefault="00854246">
            <w:pPr>
              <w:spacing w:after="19" w:line="270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14:paraId="3824744D" w14:textId="77777777" w:rsidR="00B55A63" w:rsidRDefault="00854246">
            <w:pPr>
              <w:spacing w:after="14" w:line="277" w:lineRule="exact"/>
              <w:ind w:left="14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Visible hemolysis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8E92C0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55A63" w14:paraId="057B203F" w14:textId="77777777">
        <w:trPr>
          <w:trHeight w:hRule="exact" w:val="1066"/>
        </w:trPr>
        <w:tc>
          <w:tcPr>
            <w:tcW w:w="214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A2339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left w:val="single" w:sz="5" w:space="0" w:color="000000"/>
              <w:bottom w:val="single" w:sz="5" w:space="0" w:color="000000"/>
            </w:tcBorders>
          </w:tcPr>
          <w:p w14:paraId="52062044" w14:textId="77777777" w:rsidR="00B55A63" w:rsidRDefault="00854246">
            <w:pPr>
              <w:spacing w:after="807" w:line="24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bottom w:val="single" w:sz="5" w:space="0" w:color="000000"/>
              <w:right w:val="single" w:sz="5" w:space="0" w:color="000000"/>
            </w:tcBorders>
          </w:tcPr>
          <w:p w14:paraId="5010B362" w14:textId="77777777" w:rsidR="00B55A63" w:rsidRDefault="00854246">
            <w:pPr>
              <w:spacing w:line="26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Review of other results on sample (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e.g.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critically low calcium w/ high potassium is indicative of EDTA contamination)</w:t>
            </w:r>
          </w:p>
        </w:tc>
        <w:tc>
          <w:tcPr>
            <w:tcW w:w="270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BBE98E9" w14:textId="77777777" w:rsidR="00B55A63" w:rsidRDefault="00854246">
            <w:pPr>
              <w:spacing w:before="118" w:line="27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Collect </w:t>
            </w:r>
            <w:r>
              <w:rPr>
                <w:rFonts w:eastAsia="Times New Roman"/>
                <w:b/>
                <w:color w:val="000000"/>
                <w:sz w:val="24"/>
              </w:rPr>
              <w:t xml:space="preserve">plasma </w:t>
            </w:r>
            <w:r>
              <w:rPr>
                <w:rFonts w:eastAsia="Times New Roman"/>
                <w:color w:val="000000"/>
                <w:sz w:val="24"/>
              </w:rPr>
              <w:t>sample</w:t>
            </w:r>
          </w:p>
          <w:p w14:paraId="49FCE21C" w14:textId="77777777" w:rsidR="00B55A63" w:rsidRDefault="00854246">
            <w:pPr>
              <w:spacing w:before="227" w:line="27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Avoid pre-analytic </w:t>
            </w:r>
            <w:r>
              <w:rPr>
                <w:rFonts w:eastAsia="Times New Roman"/>
                <w:color w:val="000000"/>
                <w:sz w:val="24"/>
              </w:rPr>
              <w:br/>
              <w:t>processes that increase</w:t>
            </w:r>
          </w:p>
        </w:tc>
      </w:tr>
      <w:tr w:rsidR="00B55A63" w14:paraId="329039FD" w14:textId="77777777">
        <w:trPr>
          <w:trHeight w:hRule="exact" w:val="110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90BCB8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</w:tcBorders>
          </w:tcPr>
          <w:p w14:paraId="4EA4C2A6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48" w:type="dxa"/>
            <w:tcBorders>
              <w:top w:val="single" w:sz="5" w:space="0" w:color="000000"/>
              <w:right w:val="single" w:sz="5" w:space="0" w:color="000000"/>
            </w:tcBorders>
          </w:tcPr>
          <w:p w14:paraId="21CC320C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A8C4BC" w14:textId="77777777" w:rsidR="00B55A63" w:rsidRDefault="00B55A63"/>
        </w:tc>
      </w:tr>
      <w:tr w:rsidR="00B55A63" w14:paraId="6D90F597" w14:textId="77777777">
        <w:trPr>
          <w:trHeight w:hRule="exact" w:val="730"/>
        </w:trPr>
        <w:tc>
          <w:tcPr>
            <w:tcW w:w="214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62A5" w14:textId="77777777" w:rsidR="00B55A63" w:rsidRDefault="00854246">
            <w:pPr>
              <w:spacing w:line="241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Inherited defects in erythrocyte membrane structure</w:t>
            </w:r>
          </w:p>
        </w:tc>
        <w:tc>
          <w:tcPr>
            <w:tcW w:w="403" w:type="dxa"/>
            <w:tcBorders>
              <w:left w:val="single" w:sz="5" w:space="0" w:color="000000"/>
              <w:bottom w:val="single" w:sz="5" w:space="0" w:color="000000"/>
            </w:tcBorders>
          </w:tcPr>
          <w:p w14:paraId="368E3593" w14:textId="77777777" w:rsidR="00B55A63" w:rsidRDefault="00854246">
            <w:pPr>
              <w:spacing w:after="542" w:line="183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bottom w:val="single" w:sz="5" w:space="0" w:color="000000"/>
              <w:right w:val="single" w:sz="5" w:space="0" w:color="000000"/>
            </w:tcBorders>
          </w:tcPr>
          <w:p w14:paraId="08AA15E2" w14:textId="77777777" w:rsidR="00B55A63" w:rsidRDefault="00854246">
            <w:pPr>
              <w:spacing w:after="537" w:line="188" w:lineRule="exact"/>
              <w:ind w:left="14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Patient diagnosis/chart review</w:t>
            </w:r>
          </w:p>
        </w:tc>
        <w:tc>
          <w:tcPr>
            <w:tcW w:w="2707" w:type="dxa"/>
            <w:tcBorders>
              <w:left w:val="single" w:sz="5" w:space="0" w:color="000000"/>
              <w:right w:val="single" w:sz="5" w:space="0" w:color="000000"/>
            </w:tcBorders>
          </w:tcPr>
          <w:p w14:paraId="00162B8A" w14:textId="77777777" w:rsidR="00B55A63" w:rsidRDefault="00854246">
            <w:pPr>
              <w:spacing w:before="45" w:after="403" w:line="277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rates of hemolysis*</w:t>
            </w:r>
          </w:p>
        </w:tc>
      </w:tr>
      <w:tr w:rsidR="00B55A63" w14:paraId="062F692E" w14:textId="77777777">
        <w:trPr>
          <w:trHeight w:hRule="exact" w:val="283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2AA55B" w14:textId="77777777" w:rsidR="00B55A63" w:rsidRDefault="00854246">
            <w:pPr>
              <w:spacing w:line="263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Thrombocytosis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14:paraId="18167325" w14:textId="77777777" w:rsidR="00B55A63" w:rsidRDefault="00854246">
            <w:pPr>
              <w:spacing w:line="246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14:paraId="304C1940" w14:textId="77777777" w:rsidR="00B55A63" w:rsidRDefault="00854246">
            <w:pPr>
              <w:spacing w:line="263" w:lineRule="exact"/>
              <w:ind w:left="14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Platelet count &gt; 500 x 10^9/L</w:t>
            </w:r>
          </w:p>
        </w:tc>
        <w:tc>
          <w:tcPr>
            <w:tcW w:w="2707" w:type="dxa"/>
            <w:tcBorders>
              <w:left w:val="single" w:sz="5" w:space="0" w:color="000000"/>
              <w:right w:val="single" w:sz="5" w:space="0" w:color="000000"/>
            </w:tcBorders>
          </w:tcPr>
          <w:p w14:paraId="727178AD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55A63" w14:paraId="0AED4C37" w14:textId="77777777">
        <w:trPr>
          <w:trHeight w:hRule="exact" w:val="279"/>
        </w:trPr>
        <w:tc>
          <w:tcPr>
            <w:tcW w:w="214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C594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DC29DA1" w14:textId="77777777" w:rsidR="00B55A63" w:rsidRDefault="00854246">
            <w:pPr>
              <w:spacing w:line="261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7E25DB50" w14:textId="77777777" w:rsidR="00B55A63" w:rsidRDefault="00854246">
            <w:pPr>
              <w:spacing w:line="272" w:lineRule="exact"/>
              <w:ind w:left="14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Patient diagnosis/chart review</w:t>
            </w:r>
          </w:p>
        </w:tc>
        <w:tc>
          <w:tcPr>
            <w:tcW w:w="270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8440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55A63" w14:paraId="7962AA5B" w14:textId="77777777">
        <w:trPr>
          <w:trHeight w:hRule="exact" w:val="288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C919FF7" w14:textId="77777777" w:rsidR="00B55A63" w:rsidRDefault="00854246">
            <w:pPr>
              <w:spacing w:line="272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Severe leukocytosis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14:paraId="09B2933C" w14:textId="77777777" w:rsidR="00B55A63" w:rsidRDefault="00854246">
            <w:pPr>
              <w:spacing w:line="261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14:paraId="22C729BC" w14:textId="77777777" w:rsidR="00B55A63" w:rsidRDefault="00854246">
            <w:pPr>
              <w:spacing w:line="272" w:lineRule="exact"/>
              <w:ind w:left="14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WBC count &gt; 50 x 10^9/L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98C8F8" w14:textId="77777777" w:rsidR="00B55A63" w:rsidRDefault="00854246">
            <w:pPr>
              <w:spacing w:line="27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Collect </w:t>
            </w:r>
            <w:r>
              <w:rPr>
                <w:rFonts w:eastAsia="Times New Roman"/>
                <w:b/>
                <w:color w:val="000000"/>
                <w:sz w:val="24"/>
              </w:rPr>
              <w:t xml:space="preserve">serum </w:t>
            </w:r>
            <w:r>
              <w:rPr>
                <w:rFonts w:eastAsia="Times New Roman"/>
                <w:color w:val="000000"/>
                <w:sz w:val="24"/>
              </w:rPr>
              <w:t>sample</w:t>
            </w:r>
          </w:p>
        </w:tc>
      </w:tr>
      <w:tr w:rsidR="00B55A63" w14:paraId="52537882" w14:textId="77777777">
        <w:trPr>
          <w:trHeight w:hRule="exact" w:val="278"/>
        </w:trPr>
        <w:tc>
          <w:tcPr>
            <w:tcW w:w="2146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92E6436" w14:textId="77777777" w:rsidR="00B55A63" w:rsidRDefault="00854246">
            <w:pPr>
              <w:spacing w:line="267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i.e.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CLL)</w:t>
            </w:r>
          </w:p>
        </w:tc>
        <w:tc>
          <w:tcPr>
            <w:tcW w:w="403" w:type="dxa"/>
            <w:tcBorders>
              <w:left w:val="single" w:sz="5" w:space="0" w:color="000000"/>
            </w:tcBorders>
            <w:vAlign w:val="center"/>
          </w:tcPr>
          <w:p w14:paraId="63C74EE5" w14:textId="77777777" w:rsidR="00B55A63" w:rsidRDefault="00854246">
            <w:pPr>
              <w:spacing w:line="255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•</w:t>
            </w:r>
          </w:p>
        </w:tc>
        <w:tc>
          <w:tcPr>
            <w:tcW w:w="3648" w:type="dxa"/>
            <w:tcBorders>
              <w:right w:val="single" w:sz="5" w:space="0" w:color="000000"/>
            </w:tcBorders>
            <w:vAlign w:val="center"/>
          </w:tcPr>
          <w:p w14:paraId="702A9AE1" w14:textId="77777777" w:rsidR="00B55A63" w:rsidRDefault="00854246">
            <w:pPr>
              <w:spacing w:line="267" w:lineRule="exact"/>
              <w:ind w:left="14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Patient diagnosis/chart review</w:t>
            </w:r>
          </w:p>
        </w:tc>
        <w:tc>
          <w:tcPr>
            <w:tcW w:w="2707" w:type="dxa"/>
            <w:tcBorders>
              <w:left w:val="single" w:sz="5" w:space="0" w:color="000000"/>
              <w:right w:val="single" w:sz="5" w:space="0" w:color="000000"/>
            </w:tcBorders>
          </w:tcPr>
          <w:p w14:paraId="2D8494F6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B55A63" w14:paraId="67C48870" w14:textId="77777777">
        <w:trPr>
          <w:trHeight w:hRule="exact" w:val="836"/>
        </w:trPr>
        <w:tc>
          <w:tcPr>
            <w:tcW w:w="214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F694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left w:val="single" w:sz="5" w:space="0" w:color="000000"/>
              <w:bottom w:val="single" w:sz="5" w:space="0" w:color="000000"/>
            </w:tcBorders>
          </w:tcPr>
          <w:p w14:paraId="0EFA866D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648" w:type="dxa"/>
            <w:tcBorders>
              <w:bottom w:val="single" w:sz="5" w:space="0" w:color="000000"/>
              <w:right w:val="single" w:sz="5" w:space="0" w:color="000000"/>
            </w:tcBorders>
          </w:tcPr>
          <w:p w14:paraId="3C03C456" w14:textId="77777777" w:rsidR="00B55A63" w:rsidRDefault="0085424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FEEAE" w14:textId="77777777" w:rsidR="00B55A63" w:rsidRDefault="00854246">
            <w:pPr>
              <w:spacing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Avoid pre-analytic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processes that increase </w:t>
            </w:r>
            <w:r>
              <w:rPr>
                <w:rFonts w:eastAsia="Times New Roman"/>
                <w:color w:val="000000"/>
                <w:sz w:val="24"/>
              </w:rPr>
              <w:br/>
              <w:t>rates of hemolysis*</w:t>
            </w:r>
          </w:p>
        </w:tc>
      </w:tr>
    </w:tbl>
    <w:p w14:paraId="79B31B02" w14:textId="77777777" w:rsidR="00B55A63" w:rsidRDefault="00854246">
      <w:pPr>
        <w:spacing w:line="273" w:lineRule="exact"/>
        <w:ind w:left="72" w:righ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*Pre-analytic processes that have been shown to </w:t>
      </w:r>
      <w:r>
        <w:rPr>
          <w:rFonts w:eastAsia="Times New Roman"/>
          <w:b/>
          <w:color w:val="000000"/>
          <w:sz w:val="24"/>
          <w:u w:val="single"/>
        </w:rPr>
        <w:t>INCREASE</w:t>
      </w:r>
      <w:r>
        <w:rPr>
          <w:rFonts w:eastAsia="Times New Roman"/>
          <w:color w:val="000000"/>
          <w:sz w:val="24"/>
        </w:rPr>
        <w:t xml:space="preserve"> rates of in-vitro hemolysis include:</w:t>
      </w:r>
    </w:p>
    <w:p w14:paraId="67201243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line="277" w:lineRule="exact"/>
        <w:ind w:left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Use of narrow-gauge needles</w:t>
      </w:r>
    </w:p>
    <w:p w14:paraId="54697BF7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5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Use of syringe and needle rather than evacuated tube collection systems</w:t>
      </w:r>
    </w:p>
    <w:p w14:paraId="6DC59496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Sampling blood via IV catheter</w:t>
      </w:r>
    </w:p>
    <w:p w14:paraId="4FE220DF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Non-standard (</w:t>
      </w:r>
      <w:proofErr w:type="gramStart"/>
      <w:r>
        <w:rPr>
          <w:rFonts w:eastAsia="Times New Roman"/>
          <w:color w:val="000000"/>
          <w:sz w:val="24"/>
        </w:rPr>
        <w:t>i.e.</w:t>
      </w:r>
      <w:proofErr w:type="gramEnd"/>
      <w:r>
        <w:rPr>
          <w:rFonts w:eastAsia="Times New Roman"/>
          <w:color w:val="000000"/>
          <w:sz w:val="24"/>
        </w:rPr>
        <w:t xml:space="preserve"> other than antecubital fossa) venipuncture site</w:t>
      </w:r>
    </w:p>
    <w:p w14:paraId="3113F7E2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Prolonged use of tourniquet</w:t>
      </w:r>
    </w:p>
    <w:p w14:paraId="66197004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Excessive fist pumping/clenching</w:t>
      </w:r>
    </w:p>
    <w:p w14:paraId="78EB3E43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5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Vigorous shaking of samples after collection</w:t>
      </w:r>
    </w:p>
    <w:p w14:paraId="73C0975C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Transportation of samples via pneumatic tube transport systems</w:t>
      </w:r>
    </w:p>
    <w:p w14:paraId="3E7B8A8D" w14:textId="77777777" w:rsidR="00B55A63" w:rsidRDefault="00854246">
      <w:pPr>
        <w:numPr>
          <w:ilvl w:val="0"/>
          <w:numId w:val="1"/>
        </w:numPr>
        <w:tabs>
          <w:tab w:val="left" w:pos="576"/>
        </w:tabs>
        <w:spacing w:before="16" w:after="221" w:line="277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Long-lasting/excessive centrifugation</w:t>
      </w:r>
    </w:p>
    <w:p w14:paraId="247F0CE1" w14:textId="77777777" w:rsidR="00B55A63" w:rsidRDefault="00C603E2">
      <w:pPr>
        <w:spacing w:before="36" w:line="225" w:lineRule="exact"/>
        <w:jc w:val="right"/>
        <w:textAlignment w:val="baseline"/>
        <w:rPr>
          <w:rFonts w:eastAsia="Times New Roman"/>
          <w:i/>
          <w:color w:val="000000"/>
          <w:sz w:val="20"/>
        </w:rPr>
      </w:pPr>
      <w:r>
        <w:pict w14:anchorId="7E0B627C">
          <v:line id="_x0000_s1031" style="position:absolute;left:0;text-align:left;z-index:251660800;mso-position-horizontal-relative:page;mso-position-vertical-relative:page" from="156.25pt,579.1pt" to="541.9pt,579.1pt" strokeweight="1.2pt">
            <w10:wrap anchorx="page" anchory="page"/>
          </v:line>
        </w:pict>
      </w:r>
      <w:r w:rsidR="00854246">
        <w:rPr>
          <w:rFonts w:eastAsia="Times New Roman"/>
          <w:i/>
          <w:color w:val="000000"/>
          <w:sz w:val="20"/>
        </w:rPr>
        <w:t>Continued on next page</w:t>
      </w:r>
    </w:p>
    <w:p w14:paraId="391DDC6B" w14:textId="77777777" w:rsidR="00B55A63" w:rsidRDefault="00854246">
      <w:pPr>
        <w:spacing w:before="2842" w:line="226" w:lineRule="exact"/>
        <w:jc w:val="righ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Page </w:t>
      </w:r>
      <w:r>
        <w:rPr>
          <w:rFonts w:eastAsia="Times New Roman"/>
          <w:b/>
          <w:color w:val="000000"/>
          <w:sz w:val="20"/>
        </w:rPr>
        <w:t xml:space="preserve">2 </w:t>
      </w:r>
      <w:r>
        <w:rPr>
          <w:rFonts w:eastAsia="Times New Roman"/>
          <w:color w:val="000000"/>
          <w:sz w:val="20"/>
        </w:rPr>
        <w:t xml:space="preserve">of </w:t>
      </w:r>
      <w:r>
        <w:rPr>
          <w:rFonts w:eastAsia="Times New Roman"/>
          <w:b/>
          <w:color w:val="000000"/>
          <w:sz w:val="20"/>
        </w:rPr>
        <w:t>4</w:t>
      </w:r>
    </w:p>
    <w:p w14:paraId="499DD60E" w14:textId="77777777" w:rsidR="00B55A63" w:rsidRDefault="00B55A63">
      <w:pPr>
        <w:sectPr w:rsidR="00B55A63">
          <w:pgSz w:w="12240" w:h="15840"/>
          <w:pgMar w:top="720" w:right="1403" w:bottom="484" w:left="1437" w:header="720" w:footer="720" w:gutter="0"/>
          <w:cols w:space="720"/>
        </w:sectPr>
      </w:pPr>
    </w:p>
    <w:p w14:paraId="4729A11D" w14:textId="77777777" w:rsidR="00B55A63" w:rsidRDefault="00C603E2">
      <w:pPr>
        <w:tabs>
          <w:tab w:val="right" w:pos="9216"/>
        </w:tabs>
        <w:spacing w:before="8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lastRenderedPageBreak/>
        <w:pict w14:anchorId="15CE195F">
          <v:shape id="_x0000_s1030" type="#_x0000_t202" style="position:absolute;left:0;text-align:left;margin-left:71.85pt;margin-top:36pt;width:470pt;height:35.5pt;z-index:-251662848;mso-wrap-distance-left:0;mso-wrap-distance-right:0;mso-wrap-distance-bottom:12.15pt;mso-position-horizontal-relative:page;mso-position-vertical-relative:page" filled="f" stroked="f">
            <v:textbox inset="0,0,0,0">
              <w:txbxContent>
                <w:p w14:paraId="51A42590" w14:textId="77777777" w:rsidR="00B55A63" w:rsidRDefault="00B55A63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12" w:color="000000"/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854246">
        <w:rPr>
          <w:rFonts w:ascii="Arial" w:eastAsia="Arial" w:hAnsi="Arial"/>
          <w:color w:val="000000"/>
          <w:sz w:val="20"/>
        </w:rPr>
        <w:t>Kaiser Permanente</w:t>
      </w:r>
      <w:r w:rsidR="00854246">
        <w:rPr>
          <w:rFonts w:ascii="Arial" w:eastAsia="Arial" w:hAnsi="Arial"/>
          <w:color w:val="000000"/>
          <w:sz w:val="20"/>
        </w:rPr>
        <w:tab/>
        <w:t>SCPMG Laboratory Systems</w:t>
      </w:r>
    </w:p>
    <w:p w14:paraId="2316C10F" w14:textId="77777777" w:rsidR="00B55A63" w:rsidRDefault="00854246">
      <w:pPr>
        <w:tabs>
          <w:tab w:val="right" w:pos="9216"/>
        </w:tabs>
        <w:spacing w:line="229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Medical Care Program</w:t>
      </w:r>
      <w:r>
        <w:rPr>
          <w:rFonts w:ascii="Arial" w:eastAsia="Arial" w:hAnsi="Arial"/>
          <w:color w:val="000000"/>
          <w:sz w:val="20"/>
        </w:rPr>
        <w:tab/>
        <w:t>Chemistry</w:t>
      </w:r>
    </w:p>
    <w:p w14:paraId="3AF92907" w14:textId="77777777" w:rsidR="00B55A63" w:rsidRDefault="00854246">
      <w:pPr>
        <w:tabs>
          <w:tab w:val="right" w:pos="9216"/>
        </w:tabs>
        <w:spacing w:before="1" w:after="250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California Division - South</w:t>
      </w:r>
      <w:r>
        <w:rPr>
          <w:rFonts w:ascii="Arial" w:eastAsia="Arial" w:hAnsi="Arial"/>
          <w:color w:val="000000"/>
          <w:sz w:val="20"/>
        </w:rPr>
        <w:tab/>
        <w:t>Procedure</w:t>
      </w:r>
    </w:p>
    <w:p w14:paraId="03A7BD73" w14:textId="77777777" w:rsidR="00B55A63" w:rsidRDefault="00854246">
      <w:pPr>
        <w:spacing w:before="2" w:after="223" w:line="362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Responding to Reports of </w:t>
      </w:r>
      <w:proofErr w:type="spellStart"/>
      <w:r>
        <w:rPr>
          <w:rFonts w:ascii="Arial" w:eastAsia="Arial" w:hAnsi="Arial"/>
          <w:b/>
          <w:color w:val="000000"/>
          <w:sz w:val="32"/>
        </w:rPr>
        <w:t>Pseudohyperkalemia</w:t>
      </w:r>
      <w:proofErr w:type="spellEnd"/>
      <w:r>
        <w:rPr>
          <w:rFonts w:ascii="Arial" w:eastAsia="Arial" w:hAnsi="Arial"/>
          <w:b/>
          <w:color w:val="000000"/>
          <w:sz w:val="24"/>
        </w:rPr>
        <w:t xml:space="preserve">, </w:t>
      </w:r>
      <w:r>
        <w:rPr>
          <w:rFonts w:ascii="Arial" w:eastAsia="Arial" w:hAnsi="Arial"/>
          <w:color w:val="000000"/>
          <w:sz w:val="24"/>
        </w:rPr>
        <w:t>Continued</w:t>
      </w:r>
    </w:p>
    <w:p w14:paraId="551B9854" w14:textId="77777777" w:rsidR="00B55A63" w:rsidRDefault="00C603E2">
      <w:pPr>
        <w:tabs>
          <w:tab w:val="left" w:pos="1800"/>
        </w:tabs>
        <w:spacing w:before="288" w:line="272" w:lineRule="exact"/>
        <w:ind w:left="1800" w:right="432" w:hanging="1800"/>
        <w:textAlignment w:val="baseline"/>
        <w:rPr>
          <w:rFonts w:eastAsia="Times New Roman"/>
          <w:b/>
          <w:color w:val="000000"/>
        </w:rPr>
      </w:pPr>
      <w:r>
        <w:pict w14:anchorId="1EB021C3">
          <v:line id="_x0000_s1029" style="position:absolute;left:0;text-align:left;z-index:251661824;mso-position-horizontal-relative:page;mso-position-vertical-relative:page" from="156.5pt,113.75pt" to="541.9pt,113.75pt" strokeweight=".95pt">
            <w10:wrap anchorx="page" anchory="page"/>
          </v:line>
        </w:pict>
      </w:r>
      <w:r w:rsidR="00854246">
        <w:rPr>
          <w:rFonts w:eastAsia="Times New Roman"/>
          <w:b/>
          <w:color w:val="000000"/>
        </w:rPr>
        <w:t>Procedure</w:t>
      </w:r>
      <w:r w:rsidR="00854246">
        <w:rPr>
          <w:rFonts w:eastAsia="Times New Roman"/>
          <w:b/>
          <w:color w:val="000000"/>
        </w:rPr>
        <w:tab/>
      </w:r>
      <w:r w:rsidR="00854246">
        <w:rPr>
          <w:rFonts w:eastAsia="Times New Roman"/>
          <w:color w:val="000000"/>
          <w:sz w:val="24"/>
        </w:rPr>
        <w:t xml:space="preserve">Follow the steps below to collect, process, and perform testing on patients with suspected </w:t>
      </w:r>
      <w:proofErr w:type="spellStart"/>
      <w:r w:rsidR="00854246">
        <w:rPr>
          <w:rFonts w:eastAsia="Times New Roman"/>
          <w:color w:val="000000"/>
          <w:sz w:val="24"/>
        </w:rPr>
        <w:t>pseudohyperkalemia</w:t>
      </w:r>
      <w:proofErr w:type="spellEnd"/>
      <w:r w:rsidR="00854246">
        <w:rPr>
          <w:rFonts w:eastAsia="Times New Roman"/>
          <w:color w:val="000000"/>
          <w:sz w:val="24"/>
        </w:rPr>
        <w:t>.</w:t>
      </w:r>
    </w:p>
    <w:tbl>
      <w:tblPr>
        <w:tblW w:w="0" w:type="auto"/>
        <w:tblInd w:w="1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427"/>
      </w:tblGrid>
      <w:tr w:rsidR="00B55A63" w14:paraId="1B894D13" w14:textId="77777777">
        <w:trPr>
          <w:trHeight w:hRule="exact" w:val="28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A728" w14:textId="77777777" w:rsidR="00B55A63" w:rsidRDefault="00854246">
            <w:pPr>
              <w:spacing w:line="24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Step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C7ECC" w14:textId="77777777" w:rsidR="00B55A63" w:rsidRDefault="00854246">
            <w:pPr>
              <w:spacing w:line="24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Action</w:t>
            </w:r>
          </w:p>
        </w:tc>
      </w:tr>
      <w:tr w:rsidR="00B55A63" w14:paraId="7AB16117" w14:textId="77777777">
        <w:trPr>
          <w:trHeight w:hRule="exact" w:val="199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9A21" w14:textId="77777777" w:rsidR="00B55A63" w:rsidRDefault="00854246">
            <w:pPr>
              <w:spacing w:after="1694" w:line="27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E817" w14:textId="77777777" w:rsidR="00B55A63" w:rsidRDefault="00854246">
            <w:pPr>
              <w:spacing w:line="279" w:lineRule="exact"/>
              <w:ind w:left="144" w:right="900"/>
              <w:textAlignment w:val="baseline"/>
              <w:rPr>
                <w:rFonts w:eastAsia="Times New Roman"/>
                <w:color w:val="000000"/>
                <w:spacing w:val="-2"/>
                <w:sz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</w:rPr>
              <w:t>Collect both red top serum (no SST) and lithium heparin vacutainers taking the following precautionary steps (if possible) to reduce the likelihood of hemolysis:</w:t>
            </w:r>
          </w:p>
          <w:p w14:paraId="481376D3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3" w:line="279" w:lineRule="exact"/>
              <w:ind w:left="288" w:right="648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Venipuncture from antecubital fossa with standard gauge multi-sample safety needle</w:t>
            </w:r>
          </w:p>
          <w:p w14:paraId="2DC24688" w14:textId="77777777" w:rsidR="00B55A63" w:rsidRDefault="00854246">
            <w:pPr>
              <w:numPr>
                <w:ilvl w:val="0"/>
                <w:numId w:val="1"/>
              </w:numPr>
              <w:tabs>
                <w:tab w:val="left" w:pos="288"/>
              </w:tabs>
              <w:spacing w:before="14" w:line="279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No tourniquet or fist pumping/clenching</w:t>
            </w:r>
          </w:p>
          <w:p w14:paraId="1118ACFF" w14:textId="77777777" w:rsidR="00B55A63" w:rsidRDefault="00854246">
            <w:pPr>
              <w:numPr>
                <w:ilvl w:val="0"/>
                <w:numId w:val="1"/>
              </w:numPr>
              <w:tabs>
                <w:tab w:val="left" w:pos="288"/>
              </w:tabs>
              <w:spacing w:before="9" w:line="269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Mix tubes gently</w:t>
            </w:r>
          </w:p>
        </w:tc>
      </w:tr>
      <w:tr w:rsidR="00B55A63" w14:paraId="7C5BC473" w14:textId="77777777">
        <w:trPr>
          <w:trHeight w:hRule="exact" w:val="561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A0E0" w14:textId="77777777" w:rsidR="00B55A63" w:rsidRDefault="00854246">
            <w:pPr>
              <w:spacing w:after="259" w:line="27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6C0C" w14:textId="77777777" w:rsidR="00B55A63" w:rsidRDefault="00854246">
            <w:pPr>
              <w:spacing w:line="268" w:lineRule="exact"/>
              <w:ind w:left="108" w:right="43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Walk specimen to the laboratory, avoid using pneumatic tube system</w:t>
            </w:r>
          </w:p>
        </w:tc>
      </w:tr>
      <w:tr w:rsidR="00B55A63" w14:paraId="740DF915" w14:textId="77777777">
        <w:trPr>
          <w:trHeight w:hRule="exact" w:val="28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C7A88" w14:textId="77777777" w:rsidR="00B55A63" w:rsidRDefault="00854246">
            <w:pPr>
              <w:spacing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5B3C3" w14:textId="77777777" w:rsidR="00B55A63" w:rsidRDefault="00854246">
            <w:pPr>
              <w:spacing w:line="274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Process specimen immediately without delay</w:t>
            </w:r>
          </w:p>
        </w:tc>
      </w:tr>
      <w:tr w:rsidR="00B55A63" w14:paraId="564443AA" w14:textId="77777777">
        <w:trPr>
          <w:trHeight w:hRule="exact" w:val="28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99223" w14:textId="77777777" w:rsidR="00B55A63" w:rsidRDefault="00854246">
            <w:pPr>
              <w:spacing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83E22" w14:textId="77777777" w:rsidR="00B55A63" w:rsidRDefault="00854246">
            <w:pPr>
              <w:spacing w:line="274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Temporarily turn auto-verification off (if applicable)</w:t>
            </w:r>
          </w:p>
        </w:tc>
      </w:tr>
      <w:tr w:rsidR="00B55A63" w14:paraId="57D53E6B" w14:textId="77777777">
        <w:trPr>
          <w:trHeight w:hRule="exact" w:val="28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4BC22" w14:textId="77777777" w:rsidR="00B55A63" w:rsidRDefault="00854246">
            <w:pPr>
              <w:spacing w:line="274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222FE" w14:textId="77777777" w:rsidR="00B55A63" w:rsidRDefault="00854246">
            <w:pPr>
              <w:spacing w:line="274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Analyze both serum and plasma samples</w:t>
            </w:r>
          </w:p>
        </w:tc>
      </w:tr>
      <w:tr w:rsidR="00B55A63" w14:paraId="7638A554" w14:textId="77777777">
        <w:trPr>
          <w:trHeight w:hRule="exact" w:val="166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680A" w14:textId="77777777" w:rsidR="00B55A63" w:rsidRDefault="00854246">
            <w:pPr>
              <w:spacing w:after="1359" w:line="27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00F3" w14:textId="77777777" w:rsidR="00B55A63" w:rsidRDefault="00854246">
            <w:pPr>
              <w:spacing w:line="279" w:lineRule="exact"/>
              <w:ind w:left="144" w:right="79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Report minimum potassium value between the serum and plasma samples</w:t>
            </w:r>
          </w:p>
          <w:p w14:paraId="2FCD68C2" w14:textId="77777777" w:rsidR="00B55A63" w:rsidRDefault="00854246">
            <w:pPr>
              <w:spacing w:before="262" w:line="274" w:lineRule="exact"/>
              <w:ind w:left="144" w:right="108"/>
              <w:textAlignment w:val="baseline"/>
              <w:rPr>
                <w:rFonts w:eastAsia="Times New Roman"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</w:rPr>
              <w:t xml:space="preserve">Note: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</w:rPr>
              <w:t>Pseudohyperkalemia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</w:rPr>
              <w:t xml:space="preserve"> may be present if difference between serum and plasma potassium exceeds the total allowable error (0.3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</w:rPr>
              <w:t>mEq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</w:rPr>
              <w:t>/L)</w:t>
            </w:r>
          </w:p>
        </w:tc>
      </w:tr>
      <w:tr w:rsidR="00B55A63" w14:paraId="49522072" w14:textId="77777777">
        <w:trPr>
          <w:trHeight w:hRule="exact" w:val="28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B72F6" w14:textId="77777777" w:rsidR="00B55A63" w:rsidRDefault="00854246">
            <w:pPr>
              <w:spacing w:line="270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6337C" w14:textId="77777777" w:rsidR="00B55A63" w:rsidRDefault="00854246">
            <w:pPr>
              <w:spacing w:line="270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Turn auto-verification back on (if applicable)</w:t>
            </w:r>
          </w:p>
        </w:tc>
      </w:tr>
      <w:tr w:rsidR="00B55A63" w14:paraId="5A91BE3F" w14:textId="77777777">
        <w:trPr>
          <w:trHeight w:hRule="exact" w:val="112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8DC1" w14:textId="77777777" w:rsidR="00B55A63" w:rsidRDefault="00854246">
            <w:pPr>
              <w:spacing w:after="821" w:line="279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6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04DE" w14:textId="77777777" w:rsidR="00B55A63" w:rsidRDefault="00854246">
            <w:pPr>
              <w:spacing w:line="276" w:lineRule="exact"/>
              <w:ind w:left="108" w:righ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Follow local procedures to notify the ordering provider of findings as needed. The assessment and instructions for subsequent potassium or electrolyte draws are to be made by the provider.</w:t>
            </w:r>
          </w:p>
        </w:tc>
      </w:tr>
    </w:tbl>
    <w:p w14:paraId="243C4BA2" w14:textId="77777777" w:rsidR="00B55A63" w:rsidRDefault="00854246">
      <w:pPr>
        <w:spacing w:after="221" w:line="273" w:lineRule="exact"/>
        <w:ind w:left="1800"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Note: STAT orders should be placed for ambulatory patients with suspected </w:t>
      </w:r>
      <w:proofErr w:type="spellStart"/>
      <w:r>
        <w:rPr>
          <w:rFonts w:eastAsia="Times New Roman"/>
          <w:color w:val="000000"/>
          <w:sz w:val="24"/>
        </w:rPr>
        <w:t>pseudohyperkalemia</w:t>
      </w:r>
      <w:proofErr w:type="spellEnd"/>
      <w:r>
        <w:rPr>
          <w:rFonts w:eastAsia="Times New Roman"/>
          <w:color w:val="000000"/>
          <w:sz w:val="24"/>
        </w:rPr>
        <w:t>. Patients should be drawn in a location with a testing laboratory to ensure timely processing and analysis.</w:t>
      </w:r>
    </w:p>
    <w:p w14:paraId="382E4A0A" w14:textId="77777777" w:rsidR="00B55A63" w:rsidRDefault="00C603E2">
      <w:pPr>
        <w:spacing w:before="31" w:after="3403" w:line="273" w:lineRule="exact"/>
        <w:jc w:val="right"/>
        <w:textAlignment w:val="baseline"/>
        <w:rPr>
          <w:rFonts w:eastAsia="Times New Roman"/>
          <w:i/>
          <w:color w:val="000000"/>
          <w:spacing w:val="-1"/>
          <w:sz w:val="24"/>
        </w:rPr>
      </w:pPr>
      <w:r>
        <w:pict w14:anchorId="660BFDEB">
          <v:line id="_x0000_s1028" style="position:absolute;left:0;text-align:left;z-index:251662848;mso-position-horizontal-relative:page;mso-position-vertical-relative:page" from="156.5pt,548.15pt" to="541.9pt,548.15pt" strokeweight=".95pt">
            <w10:wrap anchorx="page" anchory="page"/>
          </v:line>
        </w:pict>
      </w:r>
      <w:r w:rsidR="00854246">
        <w:rPr>
          <w:rFonts w:eastAsia="Times New Roman"/>
          <w:i/>
          <w:color w:val="000000"/>
          <w:spacing w:val="-1"/>
          <w:sz w:val="24"/>
        </w:rPr>
        <w:t>Continued on next page</w:t>
      </w:r>
    </w:p>
    <w:p w14:paraId="62DB2059" w14:textId="77777777" w:rsidR="00B55A63" w:rsidRDefault="00B55A63">
      <w:pPr>
        <w:spacing w:before="31" w:after="3403" w:line="273" w:lineRule="exact"/>
        <w:sectPr w:rsidR="00B55A63">
          <w:pgSz w:w="12240" w:h="15840"/>
          <w:pgMar w:top="720" w:right="1403" w:bottom="484" w:left="1437" w:header="720" w:footer="720" w:gutter="0"/>
          <w:cols w:space="720"/>
        </w:sectPr>
      </w:pPr>
    </w:p>
    <w:p w14:paraId="0B74D173" w14:textId="77777777" w:rsidR="00B55A63" w:rsidRDefault="00854246">
      <w:pPr>
        <w:spacing w:before="9" w:line="226" w:lineRule="exact"/>
        <w:textAlignment w:val="baseline"/>
        <w:rPr>
          <w:rFonts w:eastAsia="Times New Roman"/>
          <w:color w:val="000000"/>
          <w:spacing w:val="-7"/>
          <w:sz w:val="20"/>
        </w:rPr>
      </w:pPr>
      <w:r>
        <w:rPr>
          <w:rFonts w:eastAsia="Times New Roman"/>
          <w:color w:val="000000"/>
          <w:spacing w:val="-7"/>
          <w:sz w:val="20"/>
        </w:rPr>
        <w:t xml:space="preserve">Page </w:t>
      </w:r>
      <w:r>
        <w:rPr>
          <w:rFonts w:eastAsia="Times New Roman"/>
          <w:b/>
          <w:color w:val="000000"/>
          <w:spacing w:val="-7"/>
          <w:sz w:val="20"/>
        </w:rPr>
        <w:t xml:space="preserve">3 </w:t>
      </w:r>
      <w:r>
        <w:rPr>
          <w:rFonts w:eastAsia="Times New Roman"/>
          <w:color w:val="000000"/>
          <w:spacing w:val="-7"/>
          <w:sz w:val="20"/>
        </w:rPr>
        <w:t xml:space="preserve">of </w:t>
      </w:r>
      <w:r>
        <w:rPr>
          <w:rFonts w:eastAsia="Times New Roman"/>
          <w:b/>
          <w:color w:val="000000"/>
          <w:spacing w:val="-7"/>
          <w:sz w:val="20"/>
        </w:rPr>
        <w:t>4</w:t>
      </w:r>
    </w:p>
    <w:p w14:paraId="1B93D776" w14:textId="77777777" w:rsidR="00B55A63" w:rsidRDefault="00B55A63">
      <w:pPr>
        <w:sectPr w:rsidR="00B55A63">
          <w:type w:val="continuous"/>
          <w:pgSz w:w="12240" w:h="15840"/>
          <w:pgMar w:top="720" w:right="1422" w:bottom="484" w:left="9898" w:header="720" w:footer="720" w:gutter="0"/>
          <w:cols w:space="720"/>
        </w:sectPr>
      </w:pPr>
    </w:p>
    <w:p w14:paraId="11BD8391" w14:textId="77777777" w:rsidR="00B55A63" w:rsidRDefault="00C603E2">
      <w:pPr>
        <w:tabs>
          <w:tab w:val="right" w:pos="9216"/>
        </w:tabs>
        <w:spacing w:before="8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lastRenderedPageBreak/>
        <w:pict w14:anchorId="75191688">
          <v:shape id="_x0000_s1027" type="#_x0000_t202" style="position:absolute;left:0;text-align:left;margin-left:71.85pt;margin-top:36pt;width:470pt;height:35.5pt;z-index:-251661824;mso-wrap-distance-left:0;mso-wrap-distance-right:0;mso-wrap-distance-bottom:12.15pt;mso-position-horizontal-relative:page;mso-position-vertical-relative:page" filled="f" stroked="f">
            <v:textbox inset="0,0,0,0">
              <w:txbxContent>
                <w:p w14:paraId="7A118AB2" w14:textId="77777777" w:rsidR="00B55A63" w:rsidRDefault="00B55A63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12" w:color="000000"/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="00854246">
        <w:rPr>
          <w:rFonts w:ascii="Arial" w:eastAsia="Arial" w:hAnsi="Arial"/>
          <w:color w:val="000000"/>
          <w:sz w:val="20"/>
        </w:rPr>
        <w:t>Kaiser Permanente</w:t>
      </w:r>
      <w:r w:rsidR="00854246">
        <w:rPr>
          <w:rFonts w:ascii="Arial" w:eastAsia="Arial" w:hAnsi="Arial"/>
          <w:color w:val="000000"/>
          <w:sz w:val="20"/>
        </w:rPr>
        <w:tab/>
        <w:t>SCPMG Laboratory Systems</w:t>
      </w:r>
    </w:p>
    <w:p w14:paraId="2E6CFFE8" w14:textId="77777777" w:rsidR="00B55A63" w:rsidRDefault="00854246">
      <w:pPr>
        <w:tabs>
          <w:tab w:val="right" w:pos="9216"/>
        </w:tabs>
        <w:spacing w:line="229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Medical Care Program</w:t>
      </w:r>
      <w:r>
        <w:rPr>
          <w:rFonts w:ascii="Arial" w:eastAsia="Arial" w:hAnsi="Arial"/>
          <w:color w:val="000000"/>
          <w:sz w:val="20"/>
        </w:rPr>
        <w:tab/>
        <w:t>Chemistry</w:t>
      </w:r>
    </w:p>
    <w:p w14:paraId="26A243E5" w14:textId="77777777" w:rsidR="00B55A63" w:rsidRDefault="00854246">
      <w:pPr>
        <w:tabs>
          <w:tab w:val="right" w:pos="9216"/>
        </w:tabs>
        <w:spacing w:before="1" w:after="250" w:line="230" w:lineRule="exact"/>
        <w:ind w:left="102" w:right="3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California Division - South</w:t>
      </w:r>
      <w:r>
        <w:rPr>
          <w:rFonts w:ascii="Arial" w:eastAsia="Arial" w:hAnsi="Arial"/>
          <w:color w:val="000000"/>
          <w:sz w:val="20"/>
        </w:rPr>
        <w:tab/>
        <w:t>Procedure</w:t>
      </w:r>
    </w:p>
    <w:p w14:paraId="3A136F26" w14:textId="77777777" w:rsidR="00B55A63" w:rsidRDefault="00854246">
      <w:pPr>
        <w:spacing w:before="2" w:after="223" w:line="362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 xml:space="preserve">Responding to Reports of </w:t>
      </w:r>
      <w:proofErr w:type="spellStart"/>
      <w:r>
        <w:rPr>
          <w:rFonts w:ascii="Arial" w:eastAsia="Arial" w:hAnsi="Arial"/>
          <w:b/>
          <w:color w:val="000000"/>
          <w:sz w:val="32"/>
        </w:rPr>
        <w:t>Pseudohyperkalemia</w:t>
      </w:r>
      <w:proofErr w:type="spellEnd"/>
      <w:r>
        <w:rPr>
          <w:rFonts w:ascii="Arial" w:eastAsia="Arial" w:hAnsi="Arial"/>
          <w:b/>
          <w:color w:val="000000"/>
          <w:sz w:val="24"/>
        </w:rPr>
        <w:t xml:space="preserve">, </w:t>
      </w:r>
      <w:r>
        <w:rPr>
          <w:rFonts w:ascii="Arial" w:eastAsia="Arial" w:hAnsi="Arial"/>
          <w:color w:val="000000"/>
          <w:sz w:val="24"/>
        </w:rPr>
        <w:t>Continued</w:t>
      </w:r>
    </w:p>
    <w:p w14:paraId="169BDF2C" w14:textId="77777777" w:rsidR="00B55A63" w:rsidRDefault="00C603E2">
      <w:pPr>
        <w:spacing w:before="304" w:line="20" w:lineRule="exact"/>
      </w:pPr>
      <w:r>
        <w:pict w14:anchorId="5E824A67">
          <v:line id="_x0000_s1026" style="position:absolute;z-index:251663872;mso-position-horizontal-relative:page;mso-position-vertical-relative:page" from="156.5pt,113.75pt" to="541.9pt,113.75pt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707"/>
      </w:tblGrid>
      <w:tr w:rsidR="00B55A63" w14:paraId="1B5C1668" w14:textId="77777777">
        <w:trPr>
          <w:trHeight w:hRule="exact" w:val="3599"/>
        </w:trPr>
        <w:tc>
          <w:tcPr>
            <w:tcW w:w="1693" w:type="dxa"/>
          </w:tcPr>
          <w:p w14:paraId="74CD50B4" w14:textId="77777777" w:rsidR="00B55A63" w:rsidRDefault="00854246">
            <w:pPr>
              <w:spacing w:after="3106" w:line="241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Non-Controlled Documents</w:t>
            </w:r>
          </w:p>
        </w:tc>
        <w:tc>
          <w:tcPr>
            <w:tcW w:w="7707" w:type="dxa"/>
            <w:tcBorders>
              <w:bottom w:val="single" w:sz="7" w:space="0" w:color="000000"/>
            </w:tcBorders>
          </w:tcPr>
          <w:p w14:paraId="039E12AA" w14:textId="77777777" w:rsidR="00B55A63" w:rsidRDefault="00854246">
            <w:pPr>
              <w:spacing w:line="257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The following non-controlled documents support this policy:</w:t>
            </w:r>
          </w:p>
          <w:p w14:paraId="623EAE3E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7" w:line="276" w:lineRule="exact"/>
              <w:ind w:left="288" w:right="252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CMS, CDC, HSS. Clinical Laboratory Improvement Amendments of 1988 (CLIA) Proficiency Testing Regulations Related to Analytes and Acceptable Performance. Fed Reg 2019; 84:1536-1567.</w:t>
            </w:r>
          </w:p>
          <w:p w14:paraId="19AF59FE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4" w:line="276" w:lineRule="exact"/>
              <w:ind w:left="288" w:right="540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College of American Pathologists, All Common and Chemistry Testing Checklist</w:t>
            </w:r>
          </w:p>
          <w:p w14:paraId="771C141A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19" w:line="276" w:lineRule="exact"/>
              <w:ind w:left="288" w:right="396" w:hanging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Dewey, J.,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Mastenbrook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, J., &amp;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Bauler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, L. D. (2020). Differentiating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Pseudohyperkalemia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From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True Hyperkalemia in a Patient With Chronic Lymphocytic Leukemia and Diverticulitis.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Cureus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, 12(8), e9800. </w:t>
            </w:r>
            <w:hyperlink r:id="rId7">
              <w:r>
                <w:rPr>
                  <w:rFonts w:eastAsia="Times New Roman"/>
                  <w:color w:val="0000FF"/>
                  <w:sz w:val="24"/>
                  <w:u w:val="single"/>
                </w:rPr>
                <w:t>https://doi.org/10.7759/cureus.9800</w:t>
              </w:r>
            </w:hyperlink>
            <w:r>
              <w:rPr>
                <w:rFonts w:eastAsia="Times New Roman"/>
                <w:color w:val="0A0080"/>
                <w:sz w:val="24"/>
              </w:rPr>
              <w:t xml:space="preserve"> </w:t>
            </w:r>
          </w:p>
          <w:p w14:paraId="0B3C1772" w14:textId="77777777" w:rsidR="00B55A63" w:rsidRDefault="00854246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20" w:after="226" w:line="276" w:lineRule="exact"/>
              <w:ind w:left="288" w:right="684" w:hanging="144"/>
              <w:textAlignment w:val="baseline"/>
              <w:rPr>
                <w:rFonts w:eastAsia="Times New Roman"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</w:rPr>
              <w:t xml:space="preserve">Higgins, C. (2018).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</w:rPr>
              <w:t>Pseudohyperkalemia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</w:rPr>
              <w:t>. Retrieved January 24, 2023, from</w:t>
            </w:r>
            <w:hyperlink r:id="rId8">
              <w:r>
                <w:rPr>
                  <w:rFonts w:eastAsia="Times New Roman"/>
                  <w:color w:val="0000FF"/>
                  <w:spacing w:val="-1"/>
                  <w:sz w:val="24"/>
                  <w:u w:val="single"/>
                </w:rPr>
                <w:t xml:space="preserve"> https://acutecaretesting.org/en/articles/pseudohyperkalemia.</w:t>
              </w:r>
            </w:hyperlink>
            <w:r>
              <w:rPr>
                <w:rFonts w:eastAsia="Times New Roman"/>
                <w:color w:val="0A0080"/>
                <w:spacing w:val="-1"/>
                <w:sz w:val="24"/>
              </w:rPr>
              <w:t xml:space="preserve"> </w:t>
            </w:r>
          </w:p>
        </w:tc>
      </w:tr>
      <w:tr w:rsidR="00B55A63" w14:paraId="4E47AA8E" w14:textId="77777777">
        <w:trPr>
          <w:trHeight w:hRule="exact" w:val="38"/>
        </w:trPr>
        <w:tc>
          <w:tcPr>
            <w:tcW w:w="1693" w:type="dxa"/>
          </w:tcPr>
          <w:p w14:paraId="36D44AC8" w14:textId="77777777" w:rsidR="00B55A63" w:rsidRDefault="00B55A63"/>
        </w:tc>
        <w:tc>
          <w:tcPr>
            <w:tcW w:w="7707" w:type="dxa"/>
            <w:tcBorders>
              <w:top w:val="single" w:sz="7" w:space="0" w:color="000000"/>
            </w:tcBorders>
          </w:tcPr>
          <w:p w14:paraId="09459A93" w14:textId="77777777" w:rsidR="00B55A63" w:rsidRDefault="00B55A63"/>
        </w:tc>
      </w:tr>
    </w:tbl>
    <w:p w14:paraId="2E66E96C" w14:textId="77777777" w:rsidR="00B55A63" w:rsidRDefault="00B55A63">
      <w:pPr>
        <w:spacing w:after="232" w:line="20" w:lineRule="exact"/>
      </w:pPr>
    </w:p>
    <w:p w14:paraId="3D1593ED" w14:textId="77777777" w:rsidR="00B55A63" w:rsidRDefault="00854246">
      <w:pPr>
        <w:tabs>
          <w:tab w:val="left" w:pos="1800"/>
        </w:tabs>
        <w:spacing w:after="7174" w:line="273" w:lineRule="exact"/>
        <w:textAlignment w:val="baseline"/>
        <w:rPr>
          <w:rFonts w:eastAsia="Times New Roman"/>
          <w:b/>
          <w:color w:val="000000"/>
          <w:spacing w:val="-2"/>
        </w:rPr>
      </w:pPr>
      <w:r>
        <w:rPr>
          <w:rFonts w:eastAsia="Times New Roman"/>
          <w:b/>
          <w:color w:val="000000"/>
          <w:spacing w:val="-2"/>
        </w:rPr>
        <w:t>Author(s)</w:t>
      </w:r>
      <w:r>
        <w:rPr>
          <w:rFonts w:eastAsia="Times New Roman"/>
          <w:b/>
          <w:color w:val="000000"/>
          <w:spacing w:val="-2"/>
        </w:rPr>
        <w:tab/>
      </w:r>
      <w:r>
        <w:rPr>
          <w:rFonts w:eastAsia="Times New Roman"/>
          <w:color w:val="000000"/>
          <w:spacing w:val="-2"/>
          <w:sz w:val="24"/>
        </w:rPr>
        <w:t>Chemistry Working Group</w:t>
      </w:r>
    </w:p>
    <w:p w14:paraId="7FD8ADB5" w14:textId="77777777" w:rsidR="00B55A63" w:rsidRDefault="00854246">
      <w:pPr>
        <w:spacing w:before="2" w:line="205" w:lineRule="exact"/>
        <w:textAlignment w:val="baseline"/>
        <w:rPr>
          <w:rFonts w:ascii="Arial" w:eastAsia="Arial" w:hAnsi="Arial"/>
          <w:i/>
          <w:color w:val="000000"/>
          <w:sz w:val="18"/>
        </w:rPr>
      </w:pPr>
      <w:r>
        <w:rPr>
          <w:rFonts w:ascii="Arial" w:eastAsia="Arial" w:hAnsi="Arial"/>
          <w:i/>
          <w:color w:val="000000"/>
          <w:sz w:val="18"/>
        </w:rPr>
        <w:t>Regional Parent Document Reference Number: SCPMG-PPP-0547 Rev: 01</w:t>
      </w:r>
    </w:p>
    <w:p w14:paraId="368CE4F4" w14:textId="77777777" w:rsidR="00B55A63" w:rsidRDefault="00854246">
      <w:pPr>
        <w:spacing w:before="535" w:line="226" w:lineRule="exact"/>
        <w:jc w:val="righ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Page </w:t>
      </w:r>
      <w:r>
        <w:rPr>
          <w:rFonts w:eastAsia="Times New Roman"/>
          <w:b/>
          <w:color w:val="000000"/>
          <w:sz w:val="20"/>
        </w:rPr>
        <w:t xml:space="preserve">4 </w:t>
      </w:r>
      <w:r>
        <w:rPr>
          <w:rFonts w:eastAsia="Times New Roman"/>
          <w:color w:val="000000"/>
          <w:sz w:val="20"/>
        </w:rPr>
        <w:t xml:space="preserve">of </w:t>
      </w:r>
      <w:r>
        <w:rPr>
          <w:rFonts w:eastAsia="Times New Roman"/>
          <w:b/>
          <w:color w:val="000000"/>
          <w:sz w:val="20"/>
        </w:rPr>
        <w:t>4</w:t>
      </w:r>
    </w:p>
    <w:sectPr w:rsidR="00B55A63">
      <w:pgSz w:w="12240" w:h="15840"/>
      <w:pgMar w:top="720" w:right="1403" w:bottom="484" w:left="14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11E8" w14:textId="77777777" w:rsidR="007B6F6A" w:rsidRDefault="00854246">
      <w:r>
        <w:separator/>
      </w:r>
    </w:p>
  </w:endnote>
  <w:endnote w:type="continuationSeparator" w:id="0">
    <w:p w14:paraId="2786CC2E" w14:textId="77777777" w:rsidR="007B6F6A" w:rsidRDefault="008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39F1" w14:textId="77777777" w:rsidR="00B55A63" w:rsidRDefault="00B55A63"/>
  </w:footnote>
  <w:footnote w:type="continuationSeparator" w:id="0">
    <w:p w14:paraId="01A25045" w14:textId="77777777" w:rsidR="00B55A63" w:rsidRDefault="0085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43C9C"/>
    <w:multiLevelType w:val="multilevel"/>
    <w:tmpl w:val="F4808422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036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63"/>
    <w:rsid w:val="007B6F6A"/>
    <w:rsid w:val="00854246"/>
    <w:rsid w:val="00B55A63"/>
    <w:rsid w:val="00C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275994D"/>
  <w15:docId w15:val="{8AB710BB-ECE6-4804-9179-F0F3F77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utecaretesting.org/en/articles/pseudohyperkale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7759/cureus.9800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4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J1. Lee</dc:creator>
  <cp:lastModifiedBy>Lisa R Tran</cp:lastModifiedBy>
  <cp:revision>2</cp:revision>
  <dcterms:created xsi:type="dcterms:W3CDTF">2023-07-06T16:20:00Z</dcterms:created>
  <dcterms:modified xsi:type="dcterms:W3CDTF">2023-07-06T16:20:00Z</dcterms:modified>
</cp:coreProperties>
</file>