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1BF" w:rsidRPr="00E521BF" w:rsidRDefault="00E521BF" w:rsidP="00E521BF">
      <w:r>
        <w:t xml:space="preserve">    </w:t>
      </w:r>
    </w:p>
    <w:p w:rsidR="00CA773A" w:rsidRDefault="00CA773A" w:rsidP="00CA773A">
      <w:pPr>
        <w:pStyle w:val="Heading4"/>
      </w:pPr>
      <w:r>
        <w:t>COMPETENCY ASSESSMENT</w:t>
      </w:r>
    </w:p>
    <w:p w:rsidR="001E2055" w:rsidRPr="001E2055" w:rsidRDefault="001E2055" w:rsidP="001E2055"/>
    <w:p w:rsidR="00CA773A" w:rsidRDefault="00CA773A" w:rsidP="00CA773A">
      <w:pPr>
        <w:pStyle w:val="BlockLine"/>
      </w:pPr>
      <w:r>
        <w:t xml:space="preserve"> </w:t>
      </w:r>
    </w:p>
    <w:tbl>
      <w:tblPr>
        <w:tblW w:w="0" w:type="auto"/>
        <w:tblLayout w:type="fixed"/>
        <w:tblLook w:val="0000"/>
      </w:tblPr>
      <w:tblGrid>
        <w:gridCol w:w="1728"/>
        <w:gridCol w:w="7740"/>
      </w:tblGrid>
      <w:tr w:rsidR="00CA773A" w:rsidTr="00E1190B">
        <w:trPr>
          <w:cantSplit/>
        </w:trPr>
        <w:tc>
          <w:tcPr>
            <w:tcW w:w="1728" w:type="dxa"/>
          </w:tcPr>
          <w:p w:rsidR="00CA773A" w:rsidRDefault="00CA773A" w:rsidP="00E1190B">
            <w:pPr>
              <w:pStyle w:val="Heading5"/>
            </w:pPr>
            <w:r>
              <w:t>Purpose</w:t>
            </w:r>
          </w:p>
        </w:tc>
        <w:tc>
          <w:tcPr>
            <w:tcW w:w="7740" w:type="dxa"/>
          </w:tcPr>
          <w:p w:rsidR="00CA773A" w:rsidRDefault="00CA773A" w:rsidP="00E1190B">
            <w:pPr>
              <w:pStyle w:val="BlockText"/>
            </w:pPr>
            <w:r>
              <w:t>To define the policy for the Competency Assessment Program for SCPMG-KP Riverside Clinical Laboratory personnel.</w:t>
            </w:r>
          </w:p>
        </w:tc>
      </w:tr>
    </w:tbl>
    <w:p w:rsidR="00CA773A" w:rsidRDefault="00CA773A" w:rsidP="00CA773A">
      <w:pPr>
        <w:pStyle w:val="BlockLine"/>
      </w:pPr>
      <w:r>
        <w:t xml:space="preserve"> </w:t>
      </w:r>
    </w:p>
    <w:tbl>
      <w:tblPr>
        <w:tblW w:w="0" w:type="auto"/>
        <w:tblLayout w:type="fixed"/>
        <w:tblLook w:val="0000"/>
      </w:tblPr>
      <w:tblGrid>
        <w:gridCol w:w="1728"/>
        <w:gridCol w:w="7740"/>
      </w:tblGrid>
      <w:tr w:rsidR="00CA773A" w:rsidTr="00E1190B">
        <w:trPr>
          <w:cantSplit/>
        </w:trPr>
        <w:tc>
          <w:tcPr>
            <w:tcW w:w="1728" w:type="dxa"/>
          </w:tcPr>
          <w:p w:rsidR="001E2055" w:rsidRDefault="001E2055" w:rsidP="00E1190B">
            <w:pPr>
              <w:pStyle w:val="Heading5"/>
            </w:pPr>
          </w:p>
          <w:p w:rsidR="00CA773A" w:rsidRDefault="00CA773A" w:rsidP="00E1190B">
            <w:pPr>
              <w:pStyle w:val="Heading5"/>
            </w:pPr>
            <w:r>
              <w:t>Policy</w:t>
            </w:r>
          </w:p>
        </w:tc>
        <w:tc>
          <w:tcPr>
            <w:tcW w:w="7740" w:type="dxa"/>
          </w:tcPr>
          <w:p w:rsidR="001E2055" w:rsidRDefault="001E2055" w:rsidP="00E1190B">
            <w:pPr>
              <w:pStyle w:val="BlockText"/>
            </w:pPr>
          </w:p>
          <w:p w:rsidR="00CA773A" w:rsidRDefault="00CA773A" w:rsidP="00E1190B">
            <w:pPr>
              <w:pStyle w:val="BlockText"/>
            </w:pPr>
            <w:r>
              <w:t>To ensure ongoing continued competency of all technical staff involved in pre-analytical, analytical, and post-analytical phases of testing as well as to perform the job correctly, safely, and to recognize and solve minor problems without needing assistance.</w:t>
            </w:r>
          </w:p>
          <w:p w:rsidR="00CA773A" w:rsidRDefault="00CA773A" w:rsidP="00E1190B">
            <w:pPr>
              <w:pStyle w:val="BlockText"/>
            </w:pPr>
          </w:p>
          <w:p w:rsidR="00CA773A" w:rsidRDefault="00CA773A" w:rsidP="00E1190B">
            <w:pPr>
              <w:pStyle w:val="BlockText"/>
            </w:pPr>
            <w:r>
              <w:t>To ensure compliance with all applicable JCAHO,</w:t>
            </w:r>
            <w:r w:rsidR="00366749">
              <w:t xml:space="preserve"> CAP,</w:t>
            </w:r>
            <w:r>
              <w:t xml:space="preserve"> COLA, Centers for Medicare and Medicaid (CMS) and the California Department of Health and Services (CDHS) regulations/requirements.</w:t>
            </w:r>
          </w:p>
        </w:tc>
      </w:tr>
    </w:tbl>
    <w:p w:rsidR="00CA773A" w:rsidRDefault="00CA773A" w:rsidP="00CA773A">
      <w:pPr>
        <w:pStyle w:val="BlockLine"/>
      </w:pPr>
    </w:p>
    <w:tbl>
      <w:tblPr>
        <w:tblW w:w="0" w:type="auto"/>
        <w:tblLayout w:type="fixed"/>
        <w:tblLook w:val="0000"/>
      </w:tblPr>
      <w:tblGrid>
        <w:gridCol w:w="1728"/>
        <w:gridCol w:w="7740"/>
      </w:tblGrid>
      <w:tr w:rsidR="00CA773A" w:rsidTr="00E1190B">
        <w:trPr>
          <w:cantSplit/>
        </w:trPr>
        <w:tc>
          <w:tcPr>
            <w:tcW w:w="1728" w:type="dxa"/>
          </w:tcPr>
          <w:p w:rsidR="00CA773A" w:rsidRDefault="00CA773A" w:rsidP="00E1190B">
            <w:pPr>
              <w:pStyle w:val="Heading5"/>
            </w:pPr>
            <w:r>
              <w:t>Frequency of Assessment</w:t>
            </w:r>
          </w:p>
        </w:tc>
        <w:tc>
          <w:tcPr>
            <w:tcW w:w="7740" w:type="dxa"/>
          </w:tcPr>
          <w:p w:rsidR="00DD74F3" w:rsidRDefault="000B4471" w:rsidP="00366749">
            <w:pPr>
              <w:pStyle w:val="BlockText"/>
            </w:pPr>
            <w:r>
              <w:t>I</w:t>
            </w:r>
            <w:r w:rsidR="00DD74F3">
              <w:t xml:space="preserve">nitial </w:t>
            </w:r>
            <w:r w:rsidR="00366749">
              <w:t xml:space="preserve">assessment </w:t>
            </w:r>
            <w:r w:rsidR="002C0757">
              <w:t xml:space="preserve">(New/Initial Orientation) </w:t>
            </w:r>
            <w:r w:rsidR="00366749">
              <w:t xml:space="preserve">of competency must be assessed </w:t>
            </w:r>
            <w:r w:rsidR="00E332CA">
              <w:t xml:space="preserve">by each section managers </w:t>
            </w:r>
            <w:r w:rsidR="00DD74F3">
              <w:t>within 2 months for fulltime employees and within 3</w:t>
            </w:r>
            <w:r w:rsidR="00D61DFE">
              <w:t xml:space="preserve"> months for part time / per diem </w:t>
            </w:r>
            <w:r w:rsidR="00DD74F3">
              <w:t xml:space="preserve">employees using all department specific orientation checklists from the time of initial employment or transfer before the staff performs patient testing. </w:t>
            </w:r>
          </w:p>
          <w:p w:rsidR="00DD74F3" w:rsidRDefault="00DD74F3" w:rsidP="00366749">
            <w:pPr>
              <w:pStyle w:val="BlockText"/>
            </w:pPr>
          </w:p>
          <w:p w:rsidR="000B3561" w:rsidRPr="006B2E14" w:rsidRDefault="000B3561" w:rsidP="00366749">
            <w:pPr>
              <w:pStyle w:val="BlockText"/>
            </w:pPr>
            <w:r>
              <w:t>F</w:t>
            </w:r>
            <w:r w:rsidR="00DD74F3">
              <w:t>ormal assessment</w:t>
            </w:r>
            <w:r>
              <w:t xml:space="preserve"> (6 months Review)</w:t>
            </w:r>
            <w:r w:rsidR="00DD74F3">
              <w:t xml:space="preserve"> of competency must be assessed by each section managers</w:t>
            </w:r>
            <w:r w:rsidR="00D61DFE">
              <w:t xml:space="preserve"> 6 months from </w:t>
            </w:r>
            <w:r w:rsidR="00D61DFE" w:rsidRPr="006B2E14">
              <w:t>date of com</w:t>
            </w:r>
            <w:r w:rsidR="006B2E14" w:rsidRPr="006B2E14">
              <w:t>pletion of initial orientation i</w:t>
            </w:r>
            <w:r w:rsidR="00D61DFE" w:rsidRPr="006B2E14">
              <w:t>n all departments.</w:t>
            </w:r>
          </w:p>
          <w:p w:rsidR="000B3561" w:rsidRDefault="000B3561" w:rsidP="00366749">
            <w:pPr>
              <w:pStyle w:val="BlockText"/>
            </w:pPr>
          </w:p>
          <w:p w:rsidR="000B3561" w:rsidRDefault="00F239B4" w:rsidP="00366749">
            <w:pPr>
              <w:pStyle w:val="BlockText"/>
            </w:pPr>
            <w:r>
              <w:t>Formal assessment (Annual Review) must be assessed by each section managers a</w:t>
            </w:r>
            <w:r w:rsidR="000B3561">
              <w:t>fter an individual has performed h</w:t>
            </w:r>
            <w:r w:rsidR="00D61DFE">
              <w:t xml:space="preserve">is/her duties for one year </w:t>
            </w:r>
            <w:r w:rsidR="00D61DFE" w:rsidRPr="006B2E14">
              <w:t>from date of com</w:t>
            </w:r>
            <w:r w:rsidR="006B2E14" w:rsidRPr="006B2E14">
              <w:t>pletion of initial orientation i</w:t>
            </w:r>
            <w:r w:rsidR="00D61DFE" w:rsidRPr="006B2E14">
              <w:t>n all departments</w:t>
            </w:r>
            <w:r w:rsidR="00D61DFE">
              <w:t>,</w:t>
            </w:r>
            <w:r>
              <w:t xml:space="preserve"> </w:t>
            </w:r>
            <w:r w:rsidR="000B4471">
              <w:t xml:space="preserve">thereafter competency must be assessed annually. </w:t>
            </w:r>
            <w:r w:rsidR="000B3561">
              <w:t xml:space="preserve"> </w:t>
            </w:r>
          </w:p>
          <w:p w:rsidR="00DD74F3" w:rsidRDefault="00DD74F3" w:rsidP="00366749">
            <w:pPr>
              <w:pStyle w:val="BlockText"/>
            </w:pPr>
            <w:r>
              <w:t xml:space="preserve">  </w:t>
            </w:r>
          </w:p>
          <w:p w:rsidR="00366749" w:rsidRDefault="00366749" w:rsidP="00366749">
            <w:pPr>
              <w:pStyle w:val="BlockText"/>
            </w:pPr>
            <w:r>
              <w:t>Retraining and reassessment of</w:t>
            </w:r>
            <w:r w:rsidR="00F239B4">
              <w:t xml:space="preserve"> employee competency </w:t>
            </w:r>
            <w:r>
              <w:t>must occur when problems are identified with employee performance.</w:t>
            </w:r>
          </w:p>
          <w:p w:rsidR="00366749" w:rsidRDefault="00366749" w:rsidP="00366749">
            <w:pPr>
              <w:pStyle w:val="BlockText"/>
            </w:pPr>
          </w:p>
          <w:p w:rsidR="00CA773A" w:rsidRDefault="00366749" w:rsidP="00366749">
            <w:pPr>
              <w:pStyle w:val="BlockText"/>
            </w:pPr>
            <w:r>
              <w:t>When test methodologies or instrumentation change, personnel must demonstrate competency before testing patient specimens on the new methodology or instrumentation.</w:t>
            </w:r>
          </w:p>
        </w:tc>
      </w:tr>
    </w:tbl>
    <w:p w:rsidR="00E85BE6" w:rsidRDefault="00E85BE6" w:rsidP="00E85BE6">
      <w:r>
        <w:t xml:space="preserve">  </w:t>
      </w:r>
      <w:r w:rsidR="000B4471">
        <w:t xml:space="preserve">                              _</w:t>
      </w:r>
      <w:r>
        <w:t>___________________________________________________________</w:t>
      </w:r>
    </w:p>
    <w:p w:rsidR="005D2058" w:rsidRPr="001E2055" w:rsidRDefault="00E85BE6" w:rsidP="001E2055">
      <w:pPr>
        <w:ind w:left="1440"/>
        <w:rPr>
          <w:sz w:val="20"/>
        </w:rPr>
      </w:pPr>
      <w:r w:rsidRPr="001E2055">
        <w:rPr>
          <w:sz w:val="20"/>
        </w:rPr>
        <w:t xml:space="preserve">                                                                                                                   </w:t>
      </w:r>
      <w:r w:rsidRPr="001E2055">
        <w:rPr>
          <w:i/>
          <w:sz w:val="20"/>
        </w:rPr>
        <w:t>Continued on next page</w:t>
      </w:r>
    </w:p>
    <w:p w:rsidR="00CA773A" w:rsidRDefault="00CA773A"/>
    <w:p w:rsidR="00CA773A" w:rsidRDefault="00CA773A"/>
    <w:p w:rsidR="002C0757" w:rsidRDefault="002C0757"/>
    <w:p w:rsidR="00CA773A" w:rsidRPr="00366749" w:rsidRDefault="00CA773A" w:rsidP="00CA773A">
      <w:pPr>
        <w:pStyle w:val="Heading4"/>
        <w:rPr>
          <w:b w:val="0"/>
          <w:sz w:val="24"/>
          <w:szCs w:val="24"/>
        </w:rPr>
      </w:pPr>
      <w:r>
        <w:t>COMPETENCY ASSESSMENT</w:t>
      </w:r>
      <w:r w:rsidR="00366749">
        <w:t xml:space="preserve">, </w:t>
      </w:r>
      <w:r w:rsidR="00366749" w:rsidRPr="00366749">
        <w:rPr>
          <w:b w:val="0"/>
          <w:sz w:val="24"/>
          <w:szCs w:val="24"/>
        </w:rPr>
        <w:t>continued</w:t>
      </w:r>
    </w:p>
    <w:p w:rsidR="00366749" w:rsidRDefault="00366749" w:rsidP="00366749">
      <w:pPr>
        <w:pStyle w:val="BlockLine"/>
      </w:pPr>
    </w:p>
    <w:tbl>
      <w:tblPr>
        <w:tblW w:w="0" w:type="auto"/>
        <w:tblLayout w:type="fixed"/>
        <w:tblLook w:val="0000"/>
      </w:tblPr>
      <w:tblGrid>
        <w:gridCol w:w="1728"/>
        <w:gridCol w:w="7740"/>
      </w:tblGrid>
      <w:tr w:rsidR="00366749" w:rsidTr="00366749">
        <w:trPr>
          <w:cantSplit/>
        </w:trPr>
        <w:tc>
          <w:tcPr>
            <w:tcW w:w="1728" w:type="dxa"/>
          </w:tcPr>
          <w:p w:rsidR="00366749" w:rsidRDefault="00366749" w:rsidP="00E1190B">
            <w:pPr>
              <w:pStyle w:val="Heading5"/>
            </w:pPr>
            <w:r>
              <w:t>Scope of Assessment</w:t>
            </w:r>
          </w:p>
        </w:tc>
        <w:tc>
          <w:tcPr>
            <w:tcW w:w="7740" w:type="dxa"/>
          </w:tcPr>
          <w:p w:rsidR="00366749" w:rsidRDefault="00366749" w:rsidP="00366749">
            <w:r>
              <w:t>Employee compe</w:t>
            </w:r>
            <w:r w:rsidR="00CE0524">
              <w:t>tency is based on their formal job d</w:t>
            </w:r>
            <w:r>
              <w:t xml:space="preserve">escriptions that reflect the scope of responsibilities specific to their job category. The elements of competency assessment include but are not limited to: </w:t>
            </w:r>
          </w:p>
          <w:p w:rsidR="00366749" w:rsidRDefault="00366749" w:rsidP="00366749"/>
          <w:p w:rsidR="00366749" w:rsidRDefault="00366749" w:rsidP="00366749">
            <w:pPr>
              <w:pStyle w:val="BlockText"/>
              <w:numPr>
                <w:ilvl w:val="0"/>
                <w:numId w:val="1"/>
              </w:numPr>
            </w:pPr>
            <w:r w:rsidRPr="008843C4">
              <w:t>Direct observations of routine patient test performance including, as applicable, patient preparation; and specimen collection, handling, processing and testing.</w:t>
            </w:r>
          </w:p>
          <w:p w:rsidR="00366749" w:rsidRPr="008843C4" w:rsidRDefault="00366749" w:rsidP="00366749"/>
          <w:p w:rsidR="00366749" w:rsidRPr="008843C4" w:rsidRDefault="00366749" w:rsidP="00366749">
            <w:pPr>
              <w:pStyle w:val="BlockText"/>
              <w:numPr>
                <w:ilvl w:val="0"/>
                <w:numId w:val="1"/>
              </w:numPr>
            </w:pPr>
            <w:r w:rsidRPr="008843C4">
              <w:t>Monitoring the recording and reporting of test results, including’ as applicable, critical reporting</w:t>
            </w:r>
            <w:r w:rsidRPr="00366749">
              <w:t xml:space="preserve">. </w:t>
            </w:r>
          </w:p>
          <w:p w:rsidR="00366749" w:rsidRPr="008843C4" w:rsidRDefault="00366749" w:rsidP="00366749">
            <w:r w:rsidRPr="008843C4">
              <w:t xml:space="preserve"> </w:t>
            </w:r>
          </w:p>
          <w:p w:rsidR="00366749" w:rsidRPr="008843C4" w:rsidRDefault="00366749" w:rsidP="00366749">
            <w:pPr>
              <w:pStyle w:val="BlockText"/>
              <w:numPr>
                <w:ilvl w:val="0"/>
                <w:numId w:val="1"/>
              </w:numPr>
            </w:pPr>
            <w:r w:rsidRPr="008843C4">
              <w:t>Review of intermediate test results or worksheets, quality control records, proficiency testing results, and preventive maintenance records.</w:t>
            </w:r>
          </w:p>
          <w:p w:rsidR="00366749" w:rsidRPr="008843C4" w:rsidRDefault="00366749" w:rsidP="00366749"/>
          <w:p w:rsidR="00366749" w:rsidRPr="008843C4" w:rsidRDefault="00366749" w:rsidP="00366749">
            <w:pPr>
              <w:pStyle w:val="BlockText"/>
              <w:numPr>
                <w:ilvl w:val="0"/>
                <w:numId w:val="1"/>
              </w:numPr>
            </w:pPr>
            <w:r w:rsidRPr="008843C4">
              <w:t>Direct Observation of performance of instrument maintenance and function checks.</w:t>
            </w:r>
          </w:p>
          <w:p w:rsidR="00366749" w:rsidRPr="008843C4" w:rsidRDefault="00366749" w:rsidP="00366749"/>
          <w:p w:rsidR="00366749" w:rsidRPr="00366749" w:rsidRDefault="00366749" w:rsidP="00366749">
            <w:pPr>
              <w:pStyle w:val="BlockText"/>
              <w:numPr>
                <w:ilvl w:val="0"/>
                <w:numId w:val="1"/>
              </w:numPr>
            </w:pPr>
            <w:r w:rsidRPr="008843C4">
              <w:t xml:space="preserve">Assessment of test performance through testing previously analyzed specimens, internal blind testing samples or external proficiency testing samples: and </w:t>
            </w:r>
          </w:p>
          <w:p w:rsidR="00366749" w:rsidRPr="00366749" w:rsidRDefault="00366749" w:rsidP="00366749"/>
          <w:p w:rsidR="00366749" w:rsidRPr="002826EF" w:rsidRDefault="00366749" w:rsidP="00366749">
            <w:pPr>
              <w:pStyle w:val="BlockText"/>
              <w:numPr>
                <w:ilvl w:val="0"/>
                <w:numId w:val="1"/>
              </w:numPr>
            </w:pPr>
            <w:r w:rsidRPr="002826EF">
              <w:t>Evaluation of problem solving skills.</w:t>
            </w:r>
          </w:p>
          <w:p w:rsidR="00366749" w:rsidRPr="00366749" w:rsidRDefault="00366749" w:rsidP="00366749"/>
          <w:p w:rsidR="00366749" w:rsidRDefault="00366749" w:rsidP="00366749">
            <w:pPr>
              <w:pStyle w:val="BlockText"/>
              <w:numPr>
                <w:ilvl w:val="0"/>
                <w:numId w:val="3"/>
              </w:numPr>
            </w:pPr>
            <w:r>
              <w:rPr>
                <w:i/>
              </w:rPr>
              <w:t>Competency Criteria</w:t>
            </w:r>
            <w:r>
              <w:t xml:space="preserve">: </w:t>
            </w:r>
            <w:r w:rsidR="000F77D0">
              <w:rPr>
                <w:u w:val="single"/>
              </w:rPr>
              <w:t xml:space="preserve">A grade of </w:t>
            </w:r>
            <w:r w:rsidR="000F77D0">
              <w:sym w:font="Symbol" w:char="F0B3"/>
            </w:r>
            <w:r w:rsidR="000F77D0" w:rsidRPr="002C5625">
              <w:rPr>
                <w:u w:val="single"/>
              </w:rPr>
              <w:t xml:space="preserve"> 80% </w:t>
            </w:r>
            <w:r w:rsidR="000F77D0">
              <w:rPr>
                <w:u w:val="single"/>
              </w:rPr>
              <w:t xml:space="preserve">or “Passed” </w:t>
            </w:r>
            <w:r>
              <w:rPr>
                <w:u w:val="single"/>
              </w:rPr>
              <w:t>adherence to and correct application of all elements of competency assessment that are observed</w:t>
            </w:r>
            <w:r>
              <w:t>.</w:t>
            </w:r>
          </w:p>
          <w:p w:rsidR="00366749" w:rsidRDefault="00366749" w:rsidP="00366749"/>
          <w:p w:rsidR="00E85BE6" w:rsidRDefault="00E85BE6" w:rsidP="00366749">
            <w:r>
              <w:t xml:space="preserve">Other elements of competency may be assessed as applicable. Each section managers must evaluate and document the competency of all testing personnel for each test system. A TEST SYSTEM is the process that includes pre-analytic, analytic, and post- analytic steps used to produce a test result or set of results. A test system may be manual, automated, multi-channel or single use and can include reagents, components, equipment or instruments required to produce results. </w:t>
            </w:r>
          </w:p>
          <w:p w:rsidR="00E85BE6" w:rsidRDefault="00E85BE6" w:rsidP="00366749"/>
          <w:p w:rsidR="00366749" w:rsidRDefault="00E85BE6" w:rsidP="00366749">
            <w:r>
              <w:t xml:space="preserve">For </w:t>
            </w:r>
            <w:proofErr w:type="spellStart"/>
            <w:r>
              <w:t>nonwaived</w:t>
            </w:r>
            <w:proofErr w:type="spellEnd"/>
            <w:r>
              <w:t xml:space="preserve"> test systems, all the above six elements must be assessed annually (unless any are not applicable to the test system)</w:t>
            </w:r>
            <w:r w:rsidR="0015029F">
              <w:t xml:space="preserve"> by section managers or designee.</w:t>
            </w:r>
            <w:r>
              <w:t xml:space="preserve"> For waived test systems </w:t>
            </w:r>
            <w:r w:rsidR="002C5625">
              <w:t>section managers</w:t>
            </w:r>
            <w:r w:rsidR="0015029F">
              <w:t xml:space="preserve"> or designee</w:t>
            </w:r>
            <w:r w:rsidR="002C5625">
              <w:t xml:space="preserve"> may select which elements to assess. </w:t>
            </w:r>
            <w:r>
              <w:t>______________________________________________________________</w:t>
            </w:r>
          </w:p>
          <w:p w:rsidR="00366749" w:rsidRPr="001E2055" w:rsidRDefault="00E85BE6" w:rsidP="00366749">
            <w:pPr>
              <w:rPr>
                <w:i/>
                <w:sz w:val="20"/>
              </w:rPr>
            </w:pPr>
            <w:r>
              <w:t xml:space="preserve">                                                                                       </w:t>
            </w:r>
            <w:r w:rsidR="00366749" w:rsidRPr="001E2055">
              <w:rPr>
                <w:i/>
                <w:sz w:val="20"/>
              </w:rPr>
              <w:t>Continued on next page</w:t>
            </w:r>
          </w:p>
        </w:tc>
      </w:tr>
    </w:tbl>
    <w:p w:rsidR="00CA773A" w:rsidRDefault="00CA773A"/>
    <w:p w:rsidR="002C5625" w:rsidRPr="00366749" w:rsidRDefault="002C5625" w:rsidP="002C5625">
      <w:pPr>
        <w:pStyle w:val="Heading4"/>
        <w:rPr>
          <w:b w:val="0"/>
          <w:sz w:val="24"/>
          <w:szCs w:val="24"/>
        </w:rPr>
      </w:pPr>
      <w:r>
        <w:t xml:space="preserve">COMPETENCY ASSESSMENT, </w:t>
      </w:r>
      <w:r w:rsidRPr="00366749">
        <w:rPr>
          <w:b w:val="0"/>
          <w:sz w:val="24"/>
          <w:szCs w:val="24"/>
        </w:rPr>
        <w:t>continued</w:t>
      </w:r>
    </w:p>
    <w:p w:rsidR="002C5625" w:rsidRDefault="002C5625" w:rsidP="002C5625">
      <w:pPr>
        <w:pStyle w:val="BlockLine"/>
      </w:pPr>
    </w:p>
    <w:p w:rsidR="002C5625" w:rsidRDefault="002C5625"/>
    <w:tbl>
      <w:tblPr>
        <w:tblW w:w="0" w:type="auto"/>
        <w:tblLayout w:type="fixed"/>
        <w:tblLook w:val="0000"/>
      </w:tblPr>
      <w:tblGrid>
        <w:gridCol w:w="1728"/>
        <w:gridCol w:w="7740"/>
      </w:tblGrid>
      <w:tr w:rsidR="002C5625" w:rsidTr="00E1190B">
        <w:trPr>
          <w:cantSplit/>
        </w:trPr>
        <w:tc>
          <w:tcPr>
            <w:tcW w:w="1728" w:type="dxa"/>
          </w:tcPr>
          <w:p w:rsidR="002C5625" w:rsidRDefault="002C5625" w:rsidP="00E1190B">
            <w:pPr>
              <w:pStyle w:val="Heading5"/>
            </w:pPr>
            <w:r>
              <w:t xml:space="preserve">Assessment </w:t>
            </w:r>
            <w:r w:rsidR="00314838">
              <w:t>T</w:t>
            </w:r>
            <w:r w:rsidR="00191F30">
              <w:t xml:space="preserve">ools </w:t>
            </w:r>
          </w:p>
        </w:tc>
        <w:tc>
          <w:tcPr>
            <w:tcW w:w="7740" w:type="dxa"/>
          </w:tcPr>
          <w:p w:rsidR="006C160B" w:rsidRDefault="006C160B" w:rsidP="006C160B">
            <w:pPr>
              <w:pStyle w:val="ListParagraph"/>
              <w:numPr>
                <w:ilvl w:val="0"/>
                <w:numId w:val="6"/>
              </w:numPr>
            </w:pPr>
            <w:r>
              <w:t>RMC Orientation Training and Assessment Checklist</w:t>
            </w:r>
          </w:p>
          <w:p w:rsidR="005368AF" w:rsidRDefault="000B4471" w:rsidP="006C160B">
            <w:pPr>
              <w:pStyle w:val="ListParagraph"/>
              <w:numPr>
                <w:ilvl w:val="0"/>
                <w:numId w:val="10"/>
              </w:numPr>
            </w:pPr>
            <w:r>
              <w:t xml:space="preserve">New/ Initial </w:t>
            </w:r>
            <w:r w:rsidR="00F239B4">
              <w:t xml:space="preserve">Orientation </w:t>
            </w:r>
            <w:r>
              <w:t xml:space="preserve">- given to all employees within 2-3 months of initial employment/transfer. </w:t>
            </w:r>
          </w:p>
          <w:p w:rsidR="006C160B" w:rsidRPr="006B2E14" w:rsidRDefault="00F239B4" w:rsidP="006C160B">
            <w:pPr>
              <w:pStyle w:val="ListParagraph"/>
              <w:numPr>
                <w:ilvl w:val="0"/>
                <w:numId w:val="10"/>
              </w:numPr>
            </w:pPr>
            <w:r>
              <w:t>6 Month Review</w:t>
            </w:r>
            <w:r w:rsidR="000B4471">
              <w:t xml:space="preserve">- </w:t>
            </w:r>
            <w:r w:rsidR="002C0757">
              <w:t xml:space="preserve">given </w:t>
            </w:r>
            <w:r w:rsidR="00D61DFE">
              <w:t xml:space="preserve">6 months </w:t>
            </w:r>
            <w:r w:rsidR="00D61DFE" w:rsidRPr="006B2E14">
              <w:t xml:space="preserve">from </w:t>
            </w:r>
            <w:r w:rsidRPr="006B2E14">
              <w:t xml:space="preserve">date of </w:t>
            </w:r>
            <w:r w:rsidR="00D61DFE" w:rsidRPr="006B2E14">
              <w:t xml:space="preserve">completion of </w:t>
            </w:r>
            <w:r w:rsidR="002C0757" w:rsidRPr="006B2E14">
              <w:t xml:space="preserve">initial </w:t>
            </w:r>
            <w:r w:rsidR="006B2E14" w:rsidRPr="006B2E14">
              <w:t>orientation in</w:t>
            </w:r>
            <w:r w:rsidR="00D61DFE" w:rsidRPr="006B2E14">
              <w:t xml:space="preserve"> all departments</w:t>
            </w:r>
            <w:r w:rsidRPr="006B2E14">
              <w:t xml:space="preserve">. </w:t>
            </w:r>
          </w:p>
          <w:p w:rsidR="006C160B" w:rsidRPr="00D61DFE" w:rsidRDefault="000B4471" w:rsidP="006C160B">
            <w:pPr>
              <w:pStyle w:val="ListParagraph"/>
              <w:numPr>
                <w:ilvl w:val="0"/>
                <w:numId w:val="10"/>
              </w:numPr>
              <w:rPr>
                <w:color w:val="FF0000"/>
              </w:rPr>
            </w:pPr>
            <w:r w:rsidRPr="006B2E14">
              <w:t xml:space="preserve">Annual </w:t>
            </w:r>
            <w:r w:rsidR="00F239B4" w:rsidRPr="006B2E14">
              <w:t>Review</w:t>
            </w:r>
            <w:r w:rsidR="002C0757" w:rsidRPr="006B2E14">
              <w:t xml:space="preserve">- given after the individual </w:t>
            </w:r>
            <w:r w:rsidR="00F239B4" w:rsidRPr="006B2E14">
              <w:t>has performed his/he</w:t>
            </w:r>
            <w:r w:rsidR="00D61DFE" w:rsidRPr="006B2E14">
              <w:t xml:space="preserve">r duties for one year from </w:t>
            </w:r>
            <w:r w:rsidR="00F239B4" w:rsidRPr="006B2E14">
              <w:t>date of</w:t>
            </w:r>
            <w:r w:rsidR="00D61DFE" w:rsidRPr="006B2E14">
              <w:t xml:space="preserve"> comp</w:t>
            </w:r>
            <w:r w:rsidR="006B2E14" w:rsidRPr="006B2E14">
              <w:t>letion of initial orientation in</w:t>
            </w:r>
            <w:r w:rsidR="00D61DFE" w:rsidRPr="006B2E14">
              <w:t xml:space="preserve"> all departments</w:t>
            </w:r>
            <w:r w:rsidR="00D61DFE" w:rsidRPr="00D61DFE">
              <w:rPr>
                <w:color w:val="FF0000"/>
              </w:rPr>
              <w:t>.</w:t>
            </w:r>
          </w:p>
          <w:p w:rsidR="00AF3285" w:rsidRDefault="006C160B" w:rsidP="00D020B9">
            <w:pPr>
              <w:pStyle w:val="ListParagraph"/>
            </w:pPr>
            <w:r>
              <w:rPr>
                <w:i/>
              </w:rPr>
              <w:t xml:space="preserve">      </w:t>
            </w:r>
          </w:p>
          <w:p w:rsidR="006C160B" w:rsidRDefault="006C160B" w:rsidP="006C160B">
            <w:pPr>
              <w:pStyle w:val="ListParagraph"/>
              <w:numPr>
                <w:ilvl w:val="0"/>
                <w:numId w:val="6"/>
              </w:numPr>
            </w:pPr>
            <w:r>
              <w:t>RMC Competency Assessment Checklist</w:t>
            </w:r>
          </w:p>
          <w:p w:rsidR="006C160B" w:rsidRDefault="005368AF" w:rsidP="006C160B">
            <w:pPr>
              <w:pStyle w:val="ListParagraph"/>
              <w:numPr>
                <w:ilvl w:val="0"/>
                <w:numId w:val="10"/>
              </w:numPr>
            </w:pPr>
            <w:r>
              <w:t xml:space="preserve">Annually given </w:t>
            </w:r>
            <w:r w:rsidR="006C160B">
              <w:t>to all employees</w:t>
            </w:r>
            <w:r>
              <w:t xml:space="preserve"> by each department.</w:t>
            </w:r>
          </w:p>
          <w:p w:rsidR="006C160B" w:rsidRDefault="006C160B" w:rsidP="006C160B">
            <w:pPr>
              <w:pStyle w:val="ListParagraph"/>
              <w:numPr>
                <w:ilvl w:val="0"/>
                <w:numId w:val="10"/>
              </w:numPr>
            </w:pPr>
            <w:r>
              <w:t xml:space="preserve">Minimum of 3 tests/test systems </w:t>
            </w:r>
            <w:r w:rsidR="00D020B9">
              <w:t xml:space="preserve">for each department </w:t>
            </w:r>
            <w:r>
              <w:t xml:space="preserve">must be included </w:t>
            </w:r>
          </w:p>
          <w:p w:rsidR="0042527C" w:rsidRDefault="006C160B" w:rsidP="00D020B9">
            <w:pPr>
              <w:pStyle w:val="ListParagraph"/>
            </w:pPr>
            <w:r>
              <w:rPr>
                <w:i/>
              </w:rPr>
              <w:t xml:space="preserve">        </w:t>
            </w:r>
          </w:p>
          <w:p w:rsidR="00AF3285" w:rsidRDefault="00E332CA" w:rsidP="002C5625">
            <w:pPr>
              <w:pStyle w:val="ListParagraph"/>
              <w:numPr>
                <w:ilvl w:val="0"/>
                <w:numId w:val="6"/>
              </w:numPr>
            </w:pPr>
            <w:r>
              <w:t>L</w:t>
            </w:r>
            <w:r w:rsidR="00886A29">
              <w:t>ab sections</w:t>
            </w:r>
            <w:r>
              <w:t xml:space="preserve"> documented testing:</w:t>
            </w:r>
          </w:p>
          <w:p w:rsidR="00886A29" w:rsidRDefault="00886A29" w:rsidP="00886A29">
            <w:pPr>
              <w:pStyle w:val="ListParagraph"/>
              <w:numPr>
                <w:ilvl w:val="0"/>
                <w:numId w:val="10"/>
              </w:numPr>
            </w:pPr>
            <w:r>
              <w:t>Quiz</w:t>
            </w:r>
          </w:p>
          <w:p w:rsidR="004E46C2" w:rsidRDefault="00886A29" w:rsidP="0071184B">
            <w:pPr>
              <w:pStyle w:val="ListParagraph"/>
              <w:numPr>
                <w:ilvl w:val="0"/>
                <w:numId w:val="10"/>
              </w:numPr>
            </w:pPr>
            <w:r>
              <w:t>Case Studies</w:t>
            </w:r>
          </w:p>
          <w:p w:rsidR="00886A29" w:rsidRDefault="00D020B9" w:rsidP="00D020B9">
            <w:pPr>
              <w:pStyle w:val="ListParagraph"/>
              <w:ind w:left="1080"/>
            </w:pPr>
            <w:r>
              <w:rPr>
                <w:i/>
              </w:rPr>
              <w:t xml:space="preserve"> </w:t>
            </w:r>
          </w:p>
          <w:p w:rsidR="002C5625" w:rsidRDefault="002C5625" w:rsidP="002C5625">
            <w:pPr>
              <w:pStyle w:val="ListParagraph"/>
              <w:numPr>
                <w:ilvl w:val="0"/>
                <w:numId w:val="6"/>
              </w:numPr>
            </w:pPr>
            <w:r>
              <w:t xml:space="preserve">The Clinical Laboratory is currently enrolled with a web based competency assessment program, the </w:t>
            </w:r>
            <w:r w:rsidRPr="002C5625">
              <w:rPr>
                <w:b/>
                <w:u w:val="single"/>
              </w:rPr>
              <w:t>MTS University of Washington Lab Competency Assessmen</w:t>
            </w:r>
            <w:r w:rsidR="001100A6">
              <w:rPr>
                <w:b/>
                <w:u w:val="single"/>
              </w:rPr>
              <w:t xml:space="preserve">t and College of American </w:t>
            </w:r>
            <w:r w:rsidRPr="002C5625">
              <w:rPr>
                <w:b/>
                <w:u w:val="single"/>
              </w:rPr>
              <w:t>of Pathologist</w:t>
            </w:r>
            <w:r w:rsidR="001100A6">
              <w:rPr>
                <w:b/>
                <w:u w:val="single"/>
              </w:rPr>
              <w:t>s</w:t>
            </w:r>
            <w:r w:rsidRPr="002C5625">
              <w:rPr>
                <w:b/>
                <w:u w:val="single"/>
              </w:rPr>
              <w:t xml:space="preserve"> (CAP)</w:t>
            </w:r>
            <w:r w:rsidRPr="002C5625">
              <w:rPr>
                <w:b/>
              </w:rPr>
              <w:t xml:space="preserve">. </w:t>
            </w:r>
            <w:r>
              <w:t xml:space="preserve">Both are online, image-based software application designed to make Competency Assessment more meaningful and less burdensome to administer. Lab staff is assigned and complete a module exam online annually, view results and documentation is administered. Depending upon the availability, the competency of the following staff will be assessed by this method, but are not limited to: </w:t>
            </w:r>
          </w:p>
          <w:p w:rsidR="006B2E14" w:rsidRDefault="006B2E14" w:rsidP="006B2E14">
            <w:pPr>
              <w:pStyle w:val="ListParagraph"/>
              <w:numPr>
                <w:ilvl w:val="0"/>
                <w:numId w:val="8"/>
              </w:numPr>
            </w:pPr>
            <w:r>
              <w:t>Clinical Lab Scientists</w:t>
            </w:r>
          </w:p>
          <w:p w:rsidR="006B2E14" w:rsidRDefault="006B2E14" w:rsidP="006B2E14">
            <w:pPr>
              <w:pStyle w:val="ListParagraph"/>
              <w:numPr>
                <w:ilvl w:val="0"/>
                <w:numId w:val="8"/>
              </w:numPr>
            </w:pPr>
            <w:r>
              <w:t>Medical Lab Technicians</w:t>
            </w:r>
          </w:p>
          <w:p w:rsidR="002C5625" w:rsidRPr="00D020B9" w:rsidRDefault="00886A29" w:rsidP="006B2E14">
            <w:pPr>
              <w:pStyle w:val="ListParagraph"/>
              <w:numPr>
                <w:ilvl w:val="0"/>
                <w:numId w:val="8"/>
              </w:numPr>
            </w:pPr>
            <w:r>
              <w:t>Phlebotomists</w:t>
            </w:r>
          </w:p>
        </w:tc>
      </w:tr>
      <w:tr w:rsidR="002C5625" w:rsidTr="00E1190B">
        <w:trPr>
          <w:cantSplit/>
        </w:trPr>
        <w:tc>
          <w:tcPr>
            <w:tcW w:w="1728" w:type="dxa"/>
          </w:tcPr>
          <w:p w:rsidR="002C5625" w:rsidRDefault="002C5625" w:rsidP="00E1190B">
            <w:pPr>
              <w:pStyle w:val="Heading5"/>
            </w:pPr>
          </w:p>
        </w:tc>
        <w:tc>
          <w:tcPr>
            <w:tcW w:w="7740" w:type="dxa"/>
          </w:tcPr>
          <w:p w:rsidR="00191F30" w:rsidRDefault="00191F30" w:rsidP="00191F30">
            <w:pPr>
              <w:pStyle w:val="BlockText"/>
            </w:pPr>
          </w:p>
          <w:p w:rsidR="004E46C2" w:rsidRDefault="00191F30" w:rsidP="004E46C2">
            <w:pPr>
              <w:pStyle w:val="ListParagraph"/>
              <w:numPr>
                <w:ilvl w:val="0"/>
                <w:numId w:val="6"/>
              </w:numPr>
            </w:pPr>
            <w:r>
              <w:t>Other key indicators:</w:t>
            </w:r>
          </w:p>
          <w:p w:rsidR="00191F30" w:rsidRDefault="00191F30" w:rsidP="00191F30">
            <w:pPr>
              <w:pStyle w:val="ListParagraph"/>
              <w:numPr>
                <w:ilvl w:val="0"/>
                <w:numId w:val="13"/>
              </w:numPr>
            </w:pPr>
            <w:r>
              <w:t>Performance on internal audits</w:t>
            </w:r>
            <w:r w:rsidR="003D1D55">
              <w:t xml:space="preserve"> and proficiency testing surveys</w:t>
            </w:r>
          </w:p>
          <w:p w:rsidR="004E46C2" w:rsidRDefault="004E46C2" w:rsidP="00191F30">
            <w:pPr>
              <w:pStyle w:val="ListParagraph"/>
              <w:numPr>
                <w:ilvl w:val="0"/>
                <w:numId w:val="13"/>
              </w:numPr>
            </w:pPr>
            <w:r>
              <w:t>Routine section managers reviews</w:t>
            </w:r>
          </w:p>
          <w:p w:rsidR="002C5625" w:rsidRDefault="00191F30" w:rsidP="00191F30">
            <w:pPr>
              <w:pStyle w:val="ListParagraph"/>
              <w:numPr>
                <w:ilvl w:val="0"/>
                <w:numId w:val="13"/>
              </w:numPr>
            </w:pPr>
            <w:r>
              <w:t>Number of documented technical counseling memos</w:t>
            </w:r>
          </w:p>
        </w:tc>
      </w:tr>
    </w:tbl>
    <w:p w:rsidR="002C5625" w:rsidRDefault="002C5625"/>
    <w:p w:rsidR="002C5625" w:rsidRDefault="00D020B9" w:rsidP="00944153">
      <w:pPr>
        <w:ind w:left="1440"/>
      </w:pPr>
      <w:r w:rsidRPr="00D020B9">
        <w:rPr>
          <w:b/>
        </w:rPr>
        <w:t>NOTE:</w:t>
      </w:r>
      <w:r>
        <w:rPr>
          <w:i/>
        </w:rPr>
        <w:t xml:space="preserve"> </w:t>
      </w:r>
      <w:r w:rsidRPr="002C5625">
        <w:rPr>
          <w:i/>
        </w:rPr>
        <w:t>Competency Criteria</w:t>
      </w:r>
      <w:r>
        <w:t xml:space="preserve">: Assessment tools from </w:t>
      </w:r>
      <w:r w:rsidR="00944153">
        <w:t xml:space="preserve">A thru D must have </w:t>
      </w:r>
      <w:r w:rsidR="00944153">
        <w:rPr>
          <w:u w:val="single"/>
        </w:rPr>
        <w:t xml:space="preserve">a </w:t>
      </w:r>
      <w:r w:rsidRPr="002C5625">
        <w:rPr>
          <w:u w:val="single"/>
        </w:rPr>
        <w:t xml:space="preserve">grade of </w:t>
      </w:r>
      <w:r>
        <w:sym w:font="Symbol" w:char="F0B3"/>
      </w:r>
      <w:r w:rsidRPr="002C5625">
        <w:rPr>
          <w:u w:val="single"/>
        </w:rPr>
        <w:t xml:space="preserve"> 80% </w:t>
      </w:r>
      <w:r w:rsidR="00944153">
        <w:rPr>
          <w:u w:val="single"/>
        </w:rPr>
        <w:t xml:space="preserve">or PASSED </w:t>
      </w:r>
      <w:r w:rsidRPr="002C5625">
        <w:rPr>
          <w:u w:val="single"/>
        </w:rPr>
        <w:t>for each course</w:t>
      </w:r>
      <w:r w:rsidR="00066953">
        <w:rPr>
          <w:u w:val="single"/>
        </w:rPr>
        <w:t>/department</w:t>
      </w:r>
      <w:r w:rsidRPr="002C5625">
        <w:rPr>
          <w:u w:val="single"/>
        </w:rPr>
        <w:t xml:space="preserve"> module</w:t>
      </w:r>
    </w:p>
    <w:p w:rsidR="0071184B" w:rsidRDefault="0071184B" w:rsidP="0071184B">
      <w:r>
        <w:t xml:space="preserve">                                _____________________________________________________________</w:t>
      </w:r>
    </w:p>
    <w:p w:rsidR="0071184B" w:rsidRPr="001E2055" w:rsidRDefault="0071184B" w:rsidP="0071184B">
      <w:pPr>
        <w:rPr>
          <w:sz w:val="20"/>
        </w:rPr>
      </w:pPr>
      <w:r>
        <w:t xml:space="preserve">                                                                                                                  </w:t>
      </w:r>
      <w:r w:rsidR="001E2055">
        <w:t xml:space="preserve">      </w:t>
      </w:r>
      <w:r>
        <w:t xml:space="preserve"> </w:t>
      </w:r>
      <w:r w:rsidRPr="001E2055">
        <w:rPr>
          <w:i/>
          <w:sz w:val="20"/>
        </w:rPr>
        <w:t>Continued on next page</w:t>
      </w:r>
    </w:p>
    <w:p w:rsidR="00CA773A" w:rsidRDefault="00CA773A"/>
    <w:p w:rsidR="00191F30" w:rsidRPr="004433B8" w:rsidRDefault="00191F30" w:rsidP="00191F30">
      <w:pPr>
        <w:pStyle w:val="Heading4"/>
        <w:rPr>
          <w:b w:val="0"/>
          <w:sz w:val="24"/>
          <w:szCs w:val="24"/>
        </w:rPr>
      </w:pPr>
      <w:r>
        <w:t xml:space="preserve">COMPETENCY ASSESSMENT, </w:t>
      </w:r>
      <w:r w:rsidRPr="004433B8">
        <w:rPr>
          <w:b w:val="0"/>
          <w:sz w:val="24"/>
          <w:szCs w:val="24"/>
        </w:rPr>
        <w:t>continued</w:t>
      </w:r>
    </w:p>
    <w:p w:rsidR="00191F30" w:rsidRDefault="00191F30" w:rsidP="00191F30">
      <w:pPr>
        <w:pStyle w:val="BlockLine"/>
      </w:pPr>
      <w:r>
        <w:t xml:space="preserve"> </w:t>
      </w:r>
    </w:p>
    <w:tbl>
      <w:tblPr>
        <w:tblW w:w="0" w:type="auto"/>
        <w:tblLayout w:type="fixed"/>
        <w:tblLook w:val="0000"/>
      </w:tblPr>
      <w:tblGrid>
        <w:gridCol w:w="1728"/>
        <w:gridCol w:w="7740"/>
      </w:tblGrid>
      <w:tr w:rsidR="004433B8" w:rsidTr="00E1190B">
        <w:trPr>
          <w:cantSplit/>
        </w:trPr>
        <w:tc>
          <w:tcPr>
            <w:tcW w:w="1728" w:type="dxa"/>
          </w:tcPr>
          <w:p w:rsidR="004433B8" w:rsidRDefault="004433B8" w:rsidP="00E1190B">
            <w:pPr>
              <w:pStyle w:val="Heading5"/>
            </w:pPr>
            <w:r>
              <w:t>Corrective Action</w:t>
            </w:r>
          </w:p>
        </w:tc>
        <w:tc>
          <w:tcPr>
            <w:tcW w:w="7740" w:type="dxa"/>
          </w:tcPr>
          <w:p w:rsidR="004433B8" w:rsidRDefault="004433B8" w:rsidP="00E1190B">
            <w:pPr>
              <w:pStyle w:val="BlockText"/>
            </w:pPr>
            <w:r>
              <w:t xml:space="preserve">If one or more of the criteria are not met, a corrective action is initiated. Plan for corrective action must be performed describing the irregularity, the reasons for the unsuccessful competency evaluation, the corrective action taken, and the result of the corrective action must be in the employee’s competency file. </w:t>
            </w:r>
          </w:p>
          <w:p w:rsidR="004433B8" w:rsidRDefault="004433B8" w:rsidP="00E1190B">
            <w:pPr>
              <w:pStyle w:val="BlockText"/>
            </w:pPr>
          </w:p>
          <w:p w:rsidR="00372DCD" w:rsidRDefault="00372DCD" w:rsidP="00372DCD">
            <w:pPr>
              <w:pStyle w:val="BlockText"/>
            </w:pPr>
            <w:r>
              <w:t>Any staff who failed lab sections documented testing such as quizzes and case studies for Competency Assessment will be given one chance to retake and pass the exam.</w:t>
            </w:r>
          </w:p>
          <w:p w:rsidR="00372DCD" w:rsidRDefault="00372DCD" w:rsidP="00E1190B">
            <w:pPr>
              <w:pStyle w:val="BlockText"/>
            </w:pPr>
          </w:p>
          <w:p w:rsidR="004433B8" w:rsidRDefault="004433B8" w:rsidP="00E1190B">
            <w:pPr>
              <w:pStyle w:val="BlockText"/>
            </w:pPr>
            <w:r>
              <w:t xml:space="preserve">Any staff who failed the Competency Assessment with MTS University of Washington </w:t>
            </w:r>
            <w:r w:rsidR="001100A6">
              <w:t xml:space="preserve">and College of American Pathologists </w:t>
            </w:r>
            <w:r>
              <w:t xml:space="preserve">must undergo continuing education </w:t>
            </w:r>
            <w:r w:rsidR="00372DCD">
              <w:t xml:space="preserve">pertaining to the exams which are </w:t>
            </w:r>
            <w:r>
              <w:t>curren</w:t>
            </w:r>
            <w:r w:rsidR="0071184B">
              <w:t>tly offered by both web sites</w:t>
            </w:r>
            <w:r>
              <w:t xml:space="preserve"> befo</w:t>
            </w:r>
            <w:r w:rsidR="003D1D55">
              <w:t xml:space="preserve">re </w:t>
            </w:r>
            <w:r>
              <w:t xml:space="preserve">re-taking the competency assessment. </w:t>
            </w:r>
          </w:p>
          <w:p w:rsidR="004433B8" w:rsidRDefault="004433B8" w:rsidP="00E1190B">
            <w:pPr>
              <w:pStyle w:val="BlockText"/>
            </w:pPr>
          </w:p>
          <w:p w:rsidR="004433B8" w:rsidRDefault="004433B8" w:rsidP="00E1190B">
            <w:pPr>
              <w:pStyle w:val="BlockText"/>
            </w:pPr>
            <w:r>
              <w:t>Completed corrective action must be done within 30 days of initiation.</w:t>
            </w:r>
          </w:p>
          <w:p w:rsidR="004433B8" w:rsidRDefault="004433B8" w:rsidP="00E1190B">
            <w:pPr>
              <w:pStyle w:val="BlockText"/>
            </w:pPr>
          </w:p>
          <w:p w:rsidR="004433B8" w:rsidRDefault="004433B8" w:rsidP="00E1190B">
            <w:pPr>
              <w:pStyle w:val="BlockText"/>
            </w:pPr>
            <w:r>
              <w:t>If corrective action does not result in successful competency, the employee must discontinue performance of patient testing in the deficient area and initiate further remedial training or disciplinary action. Document the action taken in the employee’s competency file.</w:t>
            </w:r>
          </w:p>
        </w:tc>
      </w:tr>
    </w:tbl>
    <w:p w:rsidR="00191F30" w:rsidRDefault="00191F30"/>
    <w:p w:rsidR="00372DCD" w:rsidRPr="006C2304" w:rsidRDefault="00372DCD" w:rsidP="00372DCD">
      <w:pPr>
        <w:rPr>
          <w:rFonts w:ascii="Arial" w:hAnsi="Arial" w:cs="Arial"/>
          <w:b/>
          <w:sz w:val="32"/>
          <w:szCs w:val="32"/>
        </w:rPr>
      </w:pPr>
    </w:p>
    <w:tbl>
      <w:tblPr>
        <w:tblW w:w="9828" w:type="dxa"/>
        <w:tblLayout w:type="fixed"/>
        <w:tblLook w:val="0000"/>
      </w:tblPr>
      <w:tblGrid>
        <w:gridCol w:w="1548"/>
        <w:gridCol w:w="180"/>
        <w:gridCol w:w="5850"/>
        <w:gridCol w:w="2160"/>
        <w:gridCol w:w="90"/>
      </w:tblGrid>
      <w:tr w:rsidR="00372DCD" w:rsidRPr="00805E5E" w:rsidTr="001A21D7">
        <w:tc>
          <w:tcPr>
            <w:tcW w:w="1548" w:type="dxa"/>
          </w:tcPr>
          <w:p w:rsidR="00372DCD" w:rsidRDefault="00372DCD" w:rsidP="001A21D7">
            <w:pPr>
              <w:rPr>
                <w:b/>
                <w:szCs w:val="22"/>
              </w:rPr>
            </w:pPr>
          </w:p>
        </w:tc>
        <w:tc>
          <w:tcPr>
            <w:tcW w:w="8280" w:type="dxa"/>
            <w:gridSpan w:val="4"/>
            <w:tcBorders>
              <w:top w:val="single" w:sz="4" w:space="0" w:color="auto"/>
            </w:tcBorders>
          </w:tcPr>
          <w:p w:rsidR="00372DCD" w:rsidRPr="00695BF7" w:rsidRDefault="00372DCD" w:rsidP="001A21D7">
            <w:pPr>
              <w:tabs>
                <w:tab w:val="left" w:pos="360"/>
              </w:tabs>
            </w:pPr>
          </w:p>
        </w:tc>
      </w:tr>
      <w:tr w:rsidR="00372DCD" w:rsidTr="001A21D7">
        <w:trPr>
          <w:gridAfter w:val="1"/>
          <w:wAfter w:w="90" w:type="dxa"/>
          <w:cantSplit/>
        </w:trPr>
        <w:tc>
          <w:tcPr>
            <w:tcW w:w="1728" w:type="dxa"/>
            <w:gridSpan w:val="2"/>
          </w:tcPr>
          <w:p w:rsidR="00372DCD" w:rsidRDefault="00372DCD" w:rsidP="001A21D7">
            <w:pPr>
              <w:pStyle w:val="Heading5"/>
            </w:pPr>
            <w:r>
              <w:t>Controlled and Non-Controlled Documents</w:t>
            </w:r>
          </w:p>
        </w:tc>
        <w:tc>
          <w:tcPr>
            <w:tcW w:w="8010" w:type="dxa"/>
            <w:gridSpan w:val="2"/>
          </w:tcPr>
          <w:p w:rsidR="00372DCD" w:rsidRDefault="00372DCD" w:rsidP="001A21D7">
            <w:pPr>
              <w:pStyle w:val="BlockText"/>
            </w:pPr>
            <w:r>
              <w:t>The following controlled</w:t>
            </w:r>
            <w:r w:rsidR="001D267A">
              <w:t xml:space="preserve"> and non-controlled </w:t>
            </w:r>
            <w:r>
              <w:t>documents support this procedure.</w:t>
            </w:r>
          </w:p>
        </w:tc>
      </w:tr>
      <w:tr w:rsidR="00372DCD" w:rsidTr="001A21D7">
        <w:trPr>
          <w:gridAfter w:val="1"/>
          <w:wAfter w:w="90" w:type="dxa"/>
          <w:cantSplit/>
        </w:trPr>
        <w:tc>
          <w:tcPr>
            <w:tcW w:w="1728" w:type="dxa"/>
            <w:gridSpan w:val="2"/>
          </w:tcPr>
          <w:p w:rsidR="00372DCD" w:rsidRDefault="00372DCD" w:rsidP="001A21D7">
            <w:pPr>
              <w:pStyle w:val="Heading5"/>
            </w:pPr>
          </w:p>
        </w:tc>
        <w:tc>
          <w:tcPr>
            <w:tcW w:w="8010" w:type="dxa"/>
            <w:gridSpan w:val="2"/>
            <w:tcBorders>
              <w:bottom w:val="single" w:sz="4" w:space="0" w:color="auto"/>
            </w:tcBorders>
          </w:tcPr>
          <w:p w:rsidR="00372DCD" w:rsidRDefault="00372DCD" w:rsidP="001A21D7">
            <w:pPr>
              <w:pStyle w:val="BlockText"/>
            </w:pPr>
          </w:p>
        </w:tc>
      </w:tr>
      <w:tr w:rsidR="00372DCD" w:rsidTr="001A21D7">
        <w:trPr>
          <w:gridAfter w:val="1"/>
          <w:wAfter w:w="90" w:type="dxa"/>
          <w:cantSplit/>
        </w:trPr>
        <w:tc>
          <w:tcPr>
            <w:tcW w:w="1728" w:type="dxa"/>
            <w:gridSpan w:val="2"/>
            <w:tcBorders>
              <w:right w:val="single" w:sz="4" w:space="0" w:color="auto"/>
            </w:tcBorders>
          </w:tcPr>
          <w:p w:rsidR="00372DCD" w:rsidRDefault="00372DCD" w:rsidP="001A21D7">
            <w:pPr>
              <w:pStyle w:val="Heading5"/>
            </w:pPr>
          </w:p>
        </w:tc>
        <w:tc>
          <w:tcPr>
            <w:tcW w:w="5850" w:type="dxa"/>
            <w:tcBorders>
              <w:top w:val="single" w:sz="4" w:space="0" w:color="auto"/>
              <w:left w:val="single" w:sz="4" w:space="0" w:color="auto"/>
              <w:bottom w:val="single" w:sz="4" w:space="0" w:color="auto"/>
              <w:right w:val="single" w:sz="4" w:space="0" w:color="auto"/>
            </w:tcBorders>
          </w:tcPr>
          <w:p w:rsidR="00372DCD" w:rsidRDefault="00372DCD" w:rsidP="001A21D7">
            <w:pPr>
              <w:pStyle w:val="BlockText"/>
            </w:pPr>
            <w:r>
              <w:rPr>
                <w:b/>
              </w:rPr>
              <w:t>Forms</w:t>
            </w:r>
          </w:p>
        </w:tc>
        <w:tc>
          <w:tcPr>
            <w:tcW w:w="2160" w:type="dxa"/>
            <w:tcBorders>
              <w:top w:val="single" w:sz="4" w:space="0" w:color="auto"/>
              <w:left w:val="single" w:sz="4" w:space="0" w:color="auto"/>
              <w:bottom w:val="single" w:sz="4" w:space="0" w:color="auto"/>
              <w:right w:val="single" w:sz="4" w:space="0" w:color="auto"/>
            </w:tcBorders>
          </w:tcPr>
          <w:p w:rsidR="00372DCD" w:rsidRDefault="00372DCD" w:rsidP="001A21D7">
            <w:pPr>
              <w:pStyle w:val="BlockText"/>
            </w:pPr>
            <w:r>
              <w:rPr>
                <w:b/>
              </w:rPr>
              <w:t>Number</w:t>
            </w:r>
          </w:p>
        </w:tc>
      </w:tr>
      <w:tr w:rsidR="00372DCD" w:rsidTr="001A21D7">
        <w:trPr>
          <w:gridAfter w:val="1"/>
          <w:wAfter w:w="90" w:type="dxa"/>
          <w:cantSplit/>
        </w:trPr>
        <w:tc>
          <w:tcPr>
            <w:tcW w:w="1728" w:type="dxa"/>
            <w:gridSpan w:val="2"/>
            <w:tcBorders>
              <w:right w:val="single" w:sz="4" w:space="0" w:color="auto"/>
            </w:tcBorders>
          </w:tcPr>
          <w:p w:rsidR="00372DCD" w:rsidRDefault="00372DCD" w:rsidP="001A21D7">
            <w:pPr>
              <w:pStyle w:val="Heading5"/>
            </w:pPr>
          </w:p>
        </w:tc>
        <w:tc>
          <w:tcPr>
            <w:tcW w:w="5850" w:type="dxa"/>
            <w:tcBorders>
              <w:top w:val="single" w:sz="4" w:space="0" w:color="auto"/>
              <w:left w:val="single" w:sz="4" w:space="0" w:color="auto"/>
              <w:bottom w:val="single" w:sz="4" w:space="0" w:color="auto"/>
              <w:right w:val="single" w:sz="4" w:space="0" w:color="auto"/>
            </w:tcBorders>
          </w:tcPr>
          <w:p w:rsidR="00372DCD" w:rsidRDefault="0042527C" w:rsidP="001A21D7">
            <w:pPr>
              <w:pStyle w:val="BlockText"/>
            </w:pPr>
            <w:r>
              <w:t xml:space="preserve">RMC </w:t>
            </w:r>
            <w:r w:rsidR="003B77FF">
              <w:t xml:space="preserve">Departmental </w:t>
            </w:r>
            <w:r w:rsidR="00372DCD">
              <w:t xml:space="preserve">Employee Orientation </w:t>
            </w:r>
            <w:r w:rsidR="001D267A">
              <w:t xml:space="preserve">Training </w:t>
            </w:r>
            <w:r w:rsidR="00372DCD">
              <w:t xml:space="preserve">and Assessment </w:t>
            </w:r>
            <w:r w:rsidR="001D267A">
              <w:t>Checklist</w:t>
            </w:r>
          </w:p>
        </w:tc>
        <w:tc>
          <w:tcPr>
            <w:tcW w:w="2160" w:type="dxa"/>
            <w:tcBorders>
              <w:top w:val="single" w:sz="4" w:space="0" w:color="auto"/>
              <w:left w:val="single" w:sz="4" w:space="0" w:color="auto"/>
              <w:bottom w:val="single" w:sz="4" w:space="0" w:color="auto"/>
              <w:right w:val="single" w:sz="4" w:space="0" w:color="auto"/>
            </w:tcBorders>
          </w:tcPr>
          <w:p w:rsidR="00372DCD" w:rsidRDefault="00372DCD" w:rsidP="001A21D7">
            <w:pPr>
              <w:pStyle w:val="BlockText"/>
            </w:pPr>
          </w:p>
        </w:tc>
      </w:tr>
      <w:tr w:rsidR="00372DCD" w:rsidTr="001A21D7">
        <w:trPr>
          <w:gridAfter w:val="1"/>
          <w:wAfter w:w="90" w:type="dxa"/>
          <w:cantSplit/>
        </w:trPr>
        <w:tc>
          <w:tcPr>
            <w:tcW w:w="1728" w:type="dxa"/>
            <w:gridSpan w:val="2"/>
            <w:tcBorders>
              <w:right w:val="single" w:sz="4" w:space="0" w:color="auto"/>
            </w:tcBorders>
          </w:tcPr>
          <w:p w:rsidR="00372DCD" w:rsidRDefault="00372DCD" w:rsidP="001A21D7">
            <w:pPr>
              <w:pStyle w:val="Heading5"/>
            </w:pPr>
          </w:p>
        </w:tc>
        <w:tc>
          <w:tcPr>
            <w:tcW w:w="5850" w:type="dxa"/>
            <w:tcBorders>
              <w:top w:val="single" w:sz="4" w:space="0" w:color="auto"/>
              <w:left w:val="single" w:sz="4" w:space="0" w:color="auto"/>
              <w:bottom w:val="single" w:sz="4" w:space="0" w:color="auto"/>
              <w:right w:val="single" w:sz="4" w:space="0" w:color="auto"/>
            </w:tcBorders>
          </w:tcPr>
          <w:p w:rsidR="00372DCD" w:rsidRDefault="0042527C" w:rsidP="001A21D7">
            <w:pPr>
              <w:pStyle w:val="BlockText"/>
            </w:pPr>
            <w:r>
              <w:t xml:space="preserve">RMC </w:t>
            </w:r>
            <w:r w:rsidR="001D267A">
              <w:t>Competency Assessment Form</w:t>
            </w:r>
          </w:p>
        </w:tc>
        <w:tc>
          <w:tcPr>
            <w:tcW w:w="2160" w:type="dxa"/>
            <w:tcBorders>
              <w:top w:val="single" w:sz="4" w:space="0" w:color="auto"/>
              <w:left w:val="single" w:sz="4" w:space="0" w:color="auto"/>
              <w:bottom w:val="single" w:sz="4" w:space="0" w:color="auto"/>
              <w:right w:val="single" w:sz="4" w:space="0" w:color="auto"/>
            </w:tcBorders>
          </w:tcPr>
          <w:p w:rsidR="00372DCD" w:rsidRDefault="00372DCD" w:rsidP="001A21D7">
            <w:pPr>
              <w:pStyle w:val="BlockText"/>
            </w:pPr>
          </w:p>
        </w:tc>
      </w:tr>
    </w:tbl>
    <w:p w:rsidR="00372DCD" w:rsidRDefault="00372DCD"/>
    <w:p w:rsidR="00372DCD" w:rsidRDefault="00372DCD" w:rsidP="00372DCD">
      <w:pPr>
        <w:pStyle w:val="BlockLine"/>
      </w:pPr>
    </w:p>
    <w:tbl>
      <w:tblPr>
        <w:tblW w:w="0" w:type="auto"/>
        <w:tblLayout w:type="fixed"/>
        <w:tblLook w:val="0000"/>
      </w:tblPr>
      <w:tblGrid>
        <w:gridCol w:w="1728"/>
        <w:gridCol w:w="7740"/>
      </w:tblGrid>
      <w:tr w:rsidR="00372DCD" w:rsidTr="001A21D7">
        <w:trPr>
          <w:cantSplit/>
        </w:trPr>
        <w:tc>
          <w:tcPr>
            <w:tcW w:w="1728" w:type="dxa"/>
          </w:tcPr>
          <w:p w:rsidR="00372DCD" w:rsidRDefault="004F1418" w:rsidP="001A21D7">
            <w:pPr>
              <w:pStyle w:val="Heading5"/>
            </w:pPr>
            <w:r>
              <w:t xml:space="preserve">References </w:t>
            </w:r>
          </w:p>
        </w:tc>
        <w:tc>
          <w:tcPr>
            <w:tcW w:w="7740" w:type="dxa"/>
          </w:tcPr>
          <w:p w:rsidR="004F1418" w:rsidRDefault="004F1418" w:rsidP="001A21D7">
            <w:pPr>
              <w:pStyle w:val="BlockText"/>
            </w:pPr>
            <w:r>
              <w:t>CAP General Laboratory Checklist and website www.cap.org</w:t>
            </w:r>
          </w:p>
          <w:p w:rsidR="004F1418" w:rsidRDefault="004F1418" w:rsidP="001A21D7">
            <w:pPr>
              <w:pStyle w:val="BlockText"/>
            </w:pPr>
            <w:r>
              <w:t>MTS University Of Washington website www.medtraining.org</w:t>
            </w:r>
          </w:p>
        </w:tc>
      </w:tr>
    </w:tbl>
    <w:p w:rsidR="00372DCD" w:rsidRDefault="00372DCD"/>
    <w:p w:rsidR="004F1418" w:rsidRDefault="004F1418" w:rsidP="004F1418">
      <w:r>
        <w:t xml:space="preserve">                                _____________________________________________________________</w:t>
      </w:r>
    </w:p>
    <w:p w:rsidR="004F1418" w:rsidRDefault="004F1418" w:rsidP="004F1418">
      <w:r>
        <w:t xml:space="preserve">                                                                                                                   </w:t>
      </w:r>
      <w:r w:rsidRPr="00E85BE6">
        <w:rPr>
          <w:i/>
        </w:rPr>
        <w:t>Continued on next page</w:t>
      </w:r>
    </w:p>
    <w:p w:rsidR="004F1418" w:rsidRDefault="004F1418"/>
    <w:p w:rsidR="00D75E8D" w:rsidRDefault="00D75E8D" w:rsidP="004F1418">
      <w:pPr>
        <w:pStyle w:val="Heading4"/>
      </w:pPr>
    </w:p>
    <w:p w:rsidR="004F1418" w:rsidRDefault="004F1418" w:rsidP="004F1418">
      <w:pPr>
        <w:pStyle w:val="Heading4"/>
        <w:rPr>
          <w:b w:val="0"/>
          <w:sz w:val="24"/>
          <w:szCs w:val="24"/>
        </w:rPr>
      </w:pPr>
      <w:r>
        <w:t xml:space="preserve">COMPETENCY ASSESSMENT, </w:t>
      </w:r>
      <w:r w:rsidRPr="004433B8">
        <w:rPr>
          <w:b w:val="0"/>
          <w:sz w:val="24"/>
          <w:szCs w:val="24"/>
        </w:rPr>
        <w:t>continued</w:t>
      </w:r>
    </w:p>
    <w:p w:rsidR="004F1418" w:rsidRPr="004F1418" w:rsidRDefault="004F1418" w:rsidP="004F1418"/>
    <w:p w:rsidR="00372DCD" w:rsidRDefault="00372DCD" w:rsidP="00372DCD">
      <w:pPr>
        <w:pStyle w:val="BlockLine"/>
      </w:pPr>
    </w:p>
    <w:tbl>
      <w:tblPr>
        <w:tblW w:w="0" w:type="auto"/>
        <w:tblLayout w:type="fixed"/>
        <w:tblLook w:val="0000"/>
      </w:tblPr>
      <w:tblGrid>
        <w:gridCol w:w="1728"/>
        <w:gridCol w:w="7740"/>
      </w:tblGrid>
      <w:tr w:rsidR="00372DCD" w:rsidTr="001A21D7">
        <w:trPr>
          <w:cantSplit/>
        </w:trPr>
        <w:tc>
          <w:tcPr>
            <w:tcW w:w="1728" w:type="dxa"/>
          </w:tcPr>
          <w:p w:rsidR="00372DCD" w:rsidRDefault="00372DCD" w:rsidP="001A21D7">
            <w:pPr>
              <w:pStyle w:val="Heading5"/>
            </w:pPr>
            <w:r>
              <w:t xml:space="preserve">Author </w:t>
            </w:r>
          </w:p>
        </w:tc>
        <w:tc>
          <w:tcPr>
            <w:tcW w:w="7740" w:type="dxa"/>
          </w:tcPr>
          <w:p w:rsidR="00372DCD" w:rsidRDefault="00372DCD" w:rsidP="001A21D7">
            <w:pPr>
              <w:pStyle w:val="BlockText"/>
            </w:pPr>
            <w:r>
              <w:t>Carlo E. Punu, CLS</w:t>
            </w:r>
            <w:r w:rsidR="004F1418">
              <w:t>, MT</w:t>
            </w:r>
          </w:p>
          <w:p w:rsidR="004F1418" w:rsidRDefault="004F1418" w:rsidP="001A21D7">
            <w:pPr>
              <w:pStyle w:val="BlockText"/>
            </w:pPr>
          </w:p>
        </w:tc>
      </w:tr>
    </w:tbl>
    <w:p w:rsidR="004F1418" w:rsidRDefault="004F1418" w:rsidP="004F1418">
      <w:pPr>
        <w:pStyle w:val="BlockLine"/>
      </w:pPr>
    </w:p>
    <w:tbl>
      <w:tblPr>
        <w:tblW w:w="9863" w:type="dxa"/>
        <w:tblLayout w:type="fixed"/>
        <w:tblLook w:val="0000"/>
      </w:tblPr>
      <w:tblGrid>
        <w:gridCol w:w="1732"/>
        <w:gridCol w:w="7736"/>
        <w:gridCol w:w="360"/>
        <w:gridCol w:w="35"/>
      </w:tblGrid>
      <w:tr w:rsidR="004F1418" w:rsidTr="004F1418">
        <w:trPr>
          <w:gridAfter w:val="2"/>
          <w:wAfter w:w="395" w:type="dxa"/>
          <w:cantSplit/>
        </w:trPr>
        <w:tc>
          <w:tcPr>
            <w:tcW w:w="1728" w:type="dxa"/>
          </w:tcPr>
          <w:p w:rsidR="004F1418" w:rsidRDefault="004F1418" w:rsidP="001A21D7">
            <w:pPr>
              <w:pStyle w:val="Heading5"/>
            </w:pPr>
            <w:r>
              <w:t>Distribution</w:t>
            </w:r>
          </w:p>
        </w:tc>
        <w:tc>
          <w:tcPr>
            <w:tcW w:w="7740" w:type="dxa"/>
          </w:tcPr>
          <w:p w:rsidR="004F1418" w:rsidRDefault="004F1418" w:rsidP="001A21D7">
            <w:pPr>
              <w:pStyle w:val="BlockText"/>
            </w:pPr>
            <w:r>
              <w:t xml:space="preserve">Kaiser Permanente Riverside Medical Center Laboratory </w:t>
            </w:r>
          </w:p>
          <w:p w:rsidR="004F1418" w:rsidRDefault="004F1418" w:rsidP="001A21D7">
            <w:pPr>
              <w:pStyle w:val="BlockText"/>
            </w:pPr>
          </w:p>
        </w:tc>
      </w:tr>
      <w:tr w:rsidR="004F1418" w:rsidTr="004F1418">
        <w:trPr>
          <w:cantSplit/>
          <w:trHeight w:val="80"/>
        </w:trPr>
        <w:tc>
          <w:tcPr>
            <w:tcW w:w="1733" w:type="dxa"/>
          </w:tcPr>
          <w:p w:rsidR="004F1418" w:rsidRDefault="004F1418" w:rsidP="001A21D7">
            <w:pPr>
              <w:pStyle w:val="Heading5"/>
            </w:pPr>
          </w:p>
        </w:tc>
        <w:tc>
          <w:tcPr>
            <w:tcW w:w="8130" w:type="dxa"/>
            <w:gridSpan w:val="3"/>
            <w:tcBorders>
              <w:bottom w:val="single" w:sz="4" w:space="0" w:color="auto"/>
            </w:tcBorders>
          </w:tcPr>
          <w:p w:rsidR="004F1418" w:rsidRDefault="004F1418" w:rsidP="001A21D7">
            <w:pPr>
              <w:pStyle w:val="BulletText1"/>
              <w:numPr>
                <w:ilvl w:val="0"/>
                <w:numId w:val="0"/>
              </w:numPr>
              <w:tabs>
                <w:tab w:val="num" w:pos="720"/>
              </w:tabs>
            </w:pPr>
          </w:p>
        </w:tc>
      </w:tr>
      <w:tr w:rsidR="004F1418" w:rsidTr="004F1418">
        <w:trPr>
          <w:gridAfter w:val="1"/>
          <w:wAfter w:w="30" w:type="dxa"/>
          <w:cantSplit/>
        </w:trPr>
        <w:tc>
          <w:tcPr>
            <w:tcW w:w="9833" w:type="dxa"/>
            <w:gridSpan w:val="3"/>
          </w:tcPr>
          <w:p w:rsidR="004F1418" w:rsidRDefault="004F1418" w:rsidP="001A21D7">
            <w:pPr>
              <w:pStyle w:val="BulletText1"/>
              <w:numPr>
                <w:ilvl w:val="0"/>
                <w:numId w:val="0"/>
              </w:numPr>
              <w:tabs>
                <w:tab w:val="num" w:pos="720"/>
              </w:tabs>
            </w:pPr>
          </w:p>
        </w:tc>
      </w:tr>
      <w:tr w:rsidR="004F1418" w:rsidTr="004F1418">
        <w:trPr>
          <w:gridAfter w:val="1"/>
          <w:wAfter w:w="30" w:type="dxa"/>
          <w:cantSplit/>
        </w:trPr>
        <w:tc>
          <w:tcPr>
            <w:tcW w:w="9833" w:type="dxa"/>
            <w:gridSpan w:val="3"/>
          </w:tcPr>
          <w:p w:rsidR="004F1418" w:rsidRDefault="004F1418" w:rsidP="001A21D7">
            <w:r>
              <w:t>Reviewed and approved by:</w:t>
            </w:r>
          </w:p>
          <w:p w:rsidR="004F1418" w:rsidRDefault="004F1418" w:rsidP="001A21D7"/>
          <w:p w:rsidR="004F1418" w:rsidRDefault="004F1418" w:rsidP="001A21D7"/>
          <w:p w:rsidR="004F1418" w:rsidRDefault="004F1418" w:rsidP="001A21D7"/>
          <w:p w:rsidR="004F1418" w:rsidRDefault="004F1418" w:rsidP="001A21D7"/>
          <w:tbl>
            <w:tblPr>
              <w:tblW w:w="0" w:type="auto"/>
              <w:tblInd w:w="350" w:type="dxa"/>
              <w:tblLayout w:type="fixed"/>
              <w:tblCellMar>
                <w:left w:w="80" w:type="dxa"/>
                <w:right w:w="80" w:type="dxa"/>
              </w:tblCellMar>
              <w:tblLook w:val="0000"/>
            </w:tblPr>
            <w:tblGrid>
              <w:gridCol w:w="6570"/>
              <w:gridCol w:w="2440"/>
            </w:tblGrid>
            <w:tr w:rsidR="004F1418" w:rsidTr="001A21D7">
              <w:tc>
                <w:tcPr>
                  <w:tcW w:w="6570" w:type="dxa"/>
                  <w:tcBorders>
                    <w:top w:val="single" w:sz="6" w:space="0" w:color="auto"/>
                    <w:left w:val="single" w:sz="6" w:space="0" w:color="auto"/>
                    <w:bottom w:val="single" w:sz="6" w:space="0" w:color="auto"/>
                    <w:right w:val="single" w:sz="6" w:space="0" w:color="auto"/>
                  </w:tcBorders>
                </w:tcPr>
                <w:p w:rsidR="004F1418" w:rsidRDefault="004F1418" w:rsidP="001A21D7">
                  <w:pPr>
                    <w:pStyle w:val="TableHeaderText"/>
                  </w:pPr>
                  <w:r>
                    <w:t>SIGNATURE</w:t>
                  </w:r>
                </w:p>
              </w:tc>
              <w:tc>
                <w:tcPr>
                  <w:tcW w:w="2440" w:type="dxa"/>
                  <w:tcBorders>
                    <w:top w:val="single" w:sz="6" w:space="0" w:color="auto"/>
                    <w:left w:val="single" w:sz="6" w:space="0" w:color="auto"/>
                    <w:bottom w:val="single" w:sz="6" w:space="0" w:color="auto"/>
                    <w:right w:val="single" w:sz="6" w:space="0" w:color="auto"/>
                  </w:tcBorders>
                </w:tcPr>
                <w:p w:rsidR="004F1418" w:rsidRDefault="004F1418" w:rsidP="001A21D7">
                  <w:pPr>
                    <w:pStyle w:val="TableHeaderText"/>
                  </w:pPr>
                  <w:r>
                    <w:t>DATE</w:t>
                  </w:r>
                </w:p>
              </w:tc>
            </w:tr>
            <w:tr w:rsidR="004F1418" w:rsidTr="001A21D7">
              <w:trPr>
                <w:trHeight w:val="885"/>
              </w:trPr>
              <w:tc>
                <w:tcPr>
                  <w:tcW w:w="6570" w:type="dxa"/>
                  <w:tcBorders>
                    <w:top w:val="single" w:sz="6" w:space="0" w:color="auto"/>
                    <w:left w:val="single" w:sz="6" w:space="0" w:color="auto"/>
                    <w:bottom w:val="single" w:sz="6" w:space="0" w:color="auto"/>
                    <w:right w:val="single" w:sz="6" w:space="0" w:color="auto"/>
                  </w:tcBorders>
                </w:tcPr>
                <w:p w:rsidR="004F1418" w:rsidRDefault="004F1418" w:rsidP="001A21D7">
                  <w:pPr>
                    <w:pStyle w:val="TableText"/>
                  </w:pPr>
                </w:p>
              </w:tc>
              <w:tc>
                <w:tcPr>
                  <w:tcW w:w="2440" w:type="dxa"/>
                  <w:tcBorders>
                    <w:top w:val="single" w:sz="6" w:space="0" w:color="auto"/>
                    <w:left w:val="single" w:sz="6" w:space="0" w:color="auto"/>
                    <w:bottom w:val="single" w:sz="6" w:space="0" w:color="auto"/>
                    <w:right w:val="single" w:sz="6" w:space="0" w:color="auto"/>
                  </w:tcBorders>
                </w:tcPr>
                <w:p w:rsidR="004F1418" w:rsidRDefault="004F1418" w:rsidP="001A21D7">
                  <w:pPr>
                    <w:pStyle w:val="TableText"/>
                  </w:pPr>
                </w:p>
              </w:tc>
            </w:tr>
            <w:tr w:rsidR="004F1418" w:rsidTr="001A21D7">
              <w:tc>
                <w:tcPr>
                  <w:tcW w:w="6570" w:type="dxa"/>
                  <w:tcBorders>
                    <w:top w:val="single" w:sz="6" w:space="0" w:color="auto"/>
                    <w:left w:val="single" w:sz="6" w:space="0" w:color="auto"/>
                    <w:bottom w:val="single" w:sz="6" w:space="0" w:color="auto"/>
                    <w:right w:val="single" w:sz="6" w:space="0" w:color="auto"/>
                  </w:tcBorders>
                </w:tcPr>
                <w:p w:rsidR="004F1418" w:rsidRDefault="004F1418" w:rsidP="001A21D7">
                  <w:pPr>
                    <w:pStyle w:val="TableText"/>
                    <w:rPr>
                      <w:b/>
                    </w:rPr>
                  </w:pPr>
                  <w:r>
                    <w:rPr>
                      <w:b/>
                    </w:rPr>
                    <w:t xml:space="preserve">Denise </w:t>
                  </w:r>
                  <w:proofErr w:type="spellStart"/>
                  <w:r>
                    <w:rPr>
                      <w:b/>
                    </w:rPr>
                    <w:t>Topliff</w:t>
                  </w:r>
                  <w:proofErr w:type="spellEnd"/>
                  <w:r>
                    <w:rPr>
                      <w:b/>
                    </w:rPr>
                    <w:t>, MHA, CLS</w:t>
                  </w:r>
                </w:p>
                <w:p w:rsidR="004F1418" w:rsidRDefault="004F1418" w:rsidP="001A21D7">
                  <w:pPr>
                    <w:pStyle w:val="TableText"/>
                    <w:rPr>
                      <w:b/>
                    </w:rPr>
                  </w:pPr>
                  <w:r>
                    <w:rPr>
                      <w:b/>
                    </w:rPr>
                    <w:t>Director, Clinical Laboratory – Riverside Medical Center</w:t>
                  </w:r>
                </w:p>
              </w:tc>
              <w:tc>
                <w:tcPr>
                  <w:tcW w:w="2440" w:type="dxa"/>
                  <w:tcBorders>
                    <w:top w:val="single" w:sz="6" w:space="0" w:color="auto"/>
                    <w:left w:val="single" w:sz="6" w:space="0" w:color="auto"/>
                    <w:bottom w:val="single" w:sz="6" w:space="0" w:color="auto"/>
                    <w:right w:val="single" w:sz="6" w:space="0" w:color="auto"/>
                  </w:tcBorders>
                  <w:shd w:val="pct35" w:color="auto" w:fill="FFFFFF"/>
                </w:tcPr>
                <w:p w:rsidR="004F1418" w:rsidRDefault="004F1418" w:rsidP="001A21D7">
                  <w:pPr>
                    <w:pStyle w:val="TableText"/>
                  </w:pPr>
                </w:p>
              </w:tc>
            </w:tr>
            <w:tr w:rsidR="004F1418" w:rsidTr="001A21D7">
              <w:trPr>
                <w:trHeight w:val="867"/>
              </w:trPr>
              <w:tc>
                <w:tcPr>
                  <w:tcW w:w="6570" w:type="dxa"/>
                  <w:tcBorders>
                    <w:top w:val="single" w:sz="6" w:space="0" w:color="auto"/>
                    <w:left w:val="single" w:sz="6" w:space="0" w:color="auto"/>
                    <w:bottom w:val="single" w:sz="6" w:space="0" w:color="auto"/>
                    <w:right w:val="single" w:sz="6" w:space="0" w:color="auto"/>
                  </w:tcBorders>
                </w:tcPr>
                <w:p w:rsidR="004F1418" w:rsidRDefault="004F1418" w:rsidP="001A21D7">
                  <w:pPr>
                    <w:pStyle w:val="TableText"/>
                  </w:pPr>
                </w:p>
              </w:tc>
              <w:tc>
                <w:tcPr>
                  <w:tcW w:w="2440" w:type="dxa"/>
                  <w:tcBorders>
                    <w:top w:val="single" w:sz="6" w:space="0" w:color="auto"/>
                    <w:left w:val="single" w:sz="6" w:space="0" w:color="auto"/>
                    <w:bottom w:val="single" w:sz="6" w:space="0" w:color="auto"/>
                    <w:right w:val="single" w:sz="6" w:space="0" w:color="auto"/>
                  </w:tcBorders>
                </w:tcPr>
                <w:p w:rsidR="004F1418" w:rsidRDefault="004F1418" w:rsidP="001A21D7">
                  <w:pPr>
                    <w:pStyle w:val="TableText"/>
                  </w:pPr>
                </w:p>
              </w:tc>
            </w:tr>
            <w:tr w:rsidR="004F1418" w:rsidTr="001A21D7">
              <w:tc>
                <w:tcPr>
                  <w:tcW w:w="6570" w:type="dxa"/>
                  <w:tcBorders>
                    <w:top w:val="single" w:sz="6" w:space="0" w:color="auto"/>
                    <w:left w:val="single" w:sz="6" w:space="0" w:color="auto"/>
                    <w:bottom w:val="single" w:sz="6" w:space="0" w:color="auto"/>
                    <w:right w:val="single" w:sz="6" w:space="0" w:color="auto"/>
                  </w:tcBorders>
                </w:tcPr>
                <w:p w:rsidR="004F1418" w:rsidRDefault="004F1418" w:rsidP="001A21D7">
                  <w:pPr>
                    <w:pStyle w:val="TableText"/>
                    <w:rPr>
                      <w:b/>
                    </w:rPr>
                  </w:pPr>
                  <w:r>
                    <w:rPr>
                      <w:b/>
                    </w:rPr>
                    <w:t xml:space="preserve">Dong </w:t>
                  </w:r>
                  <w:proofErr w:type="spellStart"/>
                  <w:r>
                    <w:rPr>
                      <w:b/>
                    </w:rPr>
                    <w:t>Quach</w:t>
                  </w:r>
                  <w:proofErr w:type="spellEnd"/>
                  <w:r>
                    <w:rPr>
                      <w:b/>
                    </w:rPr>
                    <w:t>, M.D.</w:t>
                  </w:r>
                </w:p>
                <w:p w:rsidR="004F1418" w:rsidRDefault="004F1418" w:rsidP="001A21D7">
                  <w:pPr>
                    <w:pStyle w:val="TableText"/>
                    <w:rPr>
                      <w:b/>
                    </w:rPr>
                  </w:pPr>
                  <w:r>
                    <w:rPr>
                      <w:b/>
                    </w:rPr>
                    <w:t>Medical Director, Clinical Laboratory – Riverside Medical Center</w:t>
                  </w:r>
                </w:p>
              </w:tc>
              <w:tc>
                <w:tcPr>
                  <w:tcW w:w="2440" w:type="dxa"/>
                  <w:tcBorders>
                    <w:top w:val="single" w:sz="6" w:space="0" w:color="auto"/>
                    <w:left w:val="single" w:sz="6" w:space="0" w:color="auto"/>
                    <w:bottom w:val="single" w:sz="6" w:space="0" w:color="auto"/>
                    <w:right w:val="single" w:sz="6" w:space="0" w:color="auto"/>
                  </w:tcBorders>
                  <w:shd w:val="pct35" w:color="auto" w:fill="FFFFFF"/>
                </w:tcPr>
                <w:p w:rsidR="004F1418" w:rsidRDefault="004F1418" w:rsidP="001A21D7">
                  <w:pPr>
                    <w:pStyle w:val="TableText"/>
                  </w:pPr>
                </w:p>
              </w:tc>
            </w:tr>
          </w:tbl>
          <w:p w:rsidR="004F1418" w:rsidRDefault="004F1418" w:rsidP="001A21D7">
            <w:pPr>
              <w:pStyle w:val="BulletText1"/>
              <w:numPr>
                <w:ilvl w:val="0"/>
                <w:numId w:val="0"/>
              </w:numPr>
              <w:tabs>
                <w:tab w:val="num" w:pos="720"/>
              </w:tabs>
            </w:pPr>
          </w:p>
        </w:tc>
      </w:tr>
      <w:tr w:rsidR="004F1418" w:rsidTr="004F1418">
        <w:trPr>
          <w:gridAfter w:val="1"/>
          <w:wAfter w:w="30" w:type="dxa"/>
          <w:cantSplit/>
        </w:trPr>
        <w:tc>
          <w:tcPr>
            <w:tcW w:w="9833" w:type="dxa"/>
            <w:gridSpan w:val="3"/>
          </w:tcPr>
          <w:p w:rsidR="004F1418" w:rsidRDefault="004F1418" w:rsidP="001A21D7">
            <w:pPr>
              <w:pStyle w:val="BulletText1"/>
              <w:numPr>
                <w:ilvl w:val="0"/>
                <w:numId w:val="0"/>
              </w:numPr>
              <w:tabs>
                <w:tab w:val="num" w:pos="720"/>
              </w:tabs>
            </w:pPr>
          </w:p>
        </w:tc>
      </w:tr>
      <w:tr w:rsidR="004F1418" w:rsidTr="004F1418">
        <w:trPr>
          <w:gridAfter w:val="1"/>
          <w:wAfter w:w="30" w:type="dxa"/>
          <w:cantSplit/>
        </w:trPr>
        <w:tc>
          <w:tcPr>
            <w:tcW w:w="9833" w:type="dxa"/>
            <w:gridSpan w:val="3"/>
          </w:tcPr>
          <w:p w:rsidR="004F1418" w:rsidRDefault="004F1418" w:rsidP="001A21D7">
            <w:pPr>
              <w:pStyle w:val="BulletText1"/>
              <w:numPr>
                <w:ilvl w:val="0"/>
                <w:numId w:val="0"/>
              </w:numPr>
              <w:tabs>
                <w:tab w:val="num" w:pos="720"/>
              </w:tabs>
            </w:pPr>
          </w:p>
        </w:tc>
      </w:tr>
      <w:tr w:rsidR="004F1418" w:rsidTr="004F1418">
        <w:trPr>
          <w:gridAfter w:val="1"/>
          <w:wAfter w:w="30" w:type="dxa"/>
          <w:cantSplit/>
          <w:trHeight w:val="80"/>
        </w:trPr>
        <w:tc>
          <w:tcPr>
            <w:tcW w:w="1733" w:type="dxa"/>
          </w:tcPr>
          <w:p w:rsidR="004F1418" w:rsidRDefault="004F1418" w:rsidP="001A21D7">
            <w:pPr>
              <w:pStyle w:val="Heading5"/>
            </w:pPr>
          </w:p>
        </w:tc>
        <w:tc>
          <w:tcPr>
            <w:tcW w:w="8100" w:type="dxa"/>
            <w:gridSpan w:val="2"/>
            <w:tcBorders>
              <w:bottom w:val="single" w:sz="4" w:space="0" w:color="auto"/>
            </w:tcBorders>
          </w:tcPr>
          <w:p w:rsidR="004F1418" w:rsidRDefault="004F1418" w:rsidP="001A21D7">
            <w:pPr>
              <w:pStyle w:val="BulletText1"/>
              <w:numPr>
                <w:ilvl w:val="0"/>
                <w:numId w:val="0"/>
              </w:numPr>
              <w:tabs>
                <w:tab w:val="num" w:pos="720"/>
              </w:tabs>
            </w:pPr>
          </w:p>
        </w:tc>
      </w:tr>
    </w:tbl>
    <w:p w:rsidR="00372DCD" w:rsidRDefault="004F1418">
      <w:pPr>
        <w:rPr>
          <w:i/>
          <w:sz w:val="20"/>
        </w:rPr>
      </w:pPr>
      <w:r>
        <w:tab/>
      </w:r>
      <w:r>
        <w:tab/>
        <w:t xml:space="preserve">                             </w:t>
      </w:r>
      <w:r>
        <w:tab/>
      </w:r>
      <w:r>
        <w:tab/>
      </w:r>
      <w:r>
        <w:tab/>
      </w:r>
      <w:r>
        <w:tab/>
      </w:r>
      <w:r>
        <w:tab/>
      </w:r>
      <w:r>
        <w:tab/>
      </w:r>
      <w:r>
        <w:rPr>
          <w:i/>
          <w:sz w:val="20"/>
        </w:rPr>
        <w:t>Continued on next page</w:t>
      </w:r>
    </w:p>
    <w:p w:rsidR="004F1418" w:rsidRDefault="004F1418">
      <w:pPr>
        <w:rPr>
          <w:i/>
          <w:sz w:val="20"/>
        </w:rPr>
      </w:pPr>
    </w:p>
    <w:p w:rsidR="004F1418" w:rsidRDefault="004F1418">
      <w:pPr>
        <w:rPr>
          <w:i/>
          <w:sz w:val="20"/>
        </w:rPr>
      </w:pPr>
    </w:p>
    <w:p w:rsidR="004F1418" w:rsidRDefault="004F1418">
      <w:pPr>
        <w:rPr>
          <w:i/>
          <w:sz w:val="20"/>
        </w:rPr>
      </w:pPr>
    </w:p>
    <w:p w:rsidR="004F1418" w:rsidRDefault="004F1418">
      <w:pPr>
        <w:rPr>
          <w:i/>
          <w:sz w:val="20"/>
        </w:rPr>
      </w:pPr>
    </w:p>
    <w:p w:rsidR="004F1418" w:rsidRDefault="004F1418">
      <w:pPr>
        <w:rPr>
          <w:i/>
          <w:sz w:val="20"/>
        </w:rPr>
      </w:pPr>
    </w:p>
    <w:p w:rsidR="004F1418" w:rsidRDefault="004F1418">
      <w:pPr>
        <w:rPr>
          <w:i/>
          <w:sz w:val="20"/>
        </w:rPr>
      </w:pPr>
    </w:p>
    <w:p w:rsidR="004F1418" w:rsidRDefault="004F1418">
      <w:pPr>
        <w:rPr>
          <w:i/>
          <w:sz w:val="20"/>
        </w:rPr>
      </w:pPr>
    </w:p>
    <w:p w:rsidR="004F1418" w:rsidRDefault="004F1418">
      <w:pPr>
        <w:rPr>
          <w:i/>
          <w:sz w:val="20"/>
        </w:rPr>
      </w:pPr>
    </w:p>
    <w:p w:rsidR="004F1418" w:rsidRDefault="004F1418">
      <w:pPr>
        <w:rPr>
          <w:i/>
          <w:sz w:val="20"/>
        </w:rPr>
      </w:pPr>
    </w:p>
    <w:p w:rsidR="004F1418" w:rsidRDefault="004F1418">
      <w:pPr>
        <w:rPr>
          <w:i/>
          <w:sz w:val="20"/>
        </w:rPr>
      </w:pPr>
    </w:p>
    <w:p w:rsidR="004F1418" w:rsidRDefault="004F1418">
      <w:pPr>
        <w:rPr>
          <w:i/>
          <w:sz w:val="20"/>
        </w:rPr>
      </w:pPr>
    </w:p>
    <w:p w:rsidR="000F77D0" w:rsidRDefault="000F77D0" w:rsidP="004F1418">
      <w:pPr>
        <w:pStyle w:val="Heading4"/>
      </w:pPr>
    </w:p>
    <w:p w:rsidR="004F1418" w:rsidRDefault="004F1418" w:rsidP="004F1418">
      <w:pPr>
        <w:pStyle w:val="Heading4"/>
        <w:rPr>
          <w:b w:val="0"/>
          <w:sz w:val="24"/>
          <w:szCs w:val="24"/>
        </w:rPr>
      </w:pPr>
      <w:r>
        <w:t xml:space="preserve">COMPETENCY ASSESSMENT, </w:t>
      </w:r>
      <w:r w:rsidRPr="004433B8">
        <w:rPr>
          <w:b w:val="0"/>
          <w:sz w:val="24"/>
          <w:szCs w:val="24"/>
        </w:rPr>
        <w:t>continued</w:t>
      </w:r>
    </w:p>
    <w:p w:rsidR="00210364" w:rsidRPr="00210364" w:rsidRDefault="00210364" w:rsidP="00210364">
      <w:pPr>
        <w:pStyle w:val="Heading2"/>
        <w:jc w:val="center"/>
        <w:rPr>
          <w:b w:val="0"/>
          <w:color w:val="auto"/>
          <w:sz w:val="32"/>
          <w:szCs w:val="32"/>
        </w:rPr>
      </w:pPr>
      <w:r w:rsidRPr="00210364">
        <w:rPr>
          <w:b w:val="0"/>
          <w:color w:val="auto"/>
          <w:sz w:val="32"/>
          <w:szCs w:val="32"/>
        </w:rPr>
        <w:t>HISTORY PAGE</w:t>
      </w:r>
    </w:p>
    <w:p w:rsidR="00210364" w:rsidRPr="00552F24" w:rsidRDefault="00210364" w:rsidP="00210364"/>
    <w:p w:rsidR="00210364" w:rsidRPr="0058160F" w:rsidRDefault="00210364" w:rsidP="00210364">
      <w:pPr>
        <w:pStyle w:val="Heading4"/>
        <w:jc w:val="center"/>
        <w:rPr>
          <w:sz w:val="24"/>
          <w:szCs w:val="24"/>
        </w:rPr>
      </w:pPr>
      <w:r w:rsidRPr="00CB4E4D">
        <w:rPr>
          <w:b w:val="0"/>
          <w:sz w:val="24"/>
          <w:szCs w:val="24"/>
        </w:rPr>
        <w:t>Effective Date</w:t>
      </w:r>
      <w:r>
        <w:rPr>
          <w:sz w:val="24"/>
          <w:szCs w:val="24"/>
        </w:rPr>
        <w:t xml:space="preserve">: </w:t>
      </w:r>
      <w:r>
        <w:rPr>
          <w:b w:val="0"/>
          <w:sz w:val="24"/>
          <w:szCs w:val="24"/>
          <w:u w:val="single"/>
        </w:rPr>
        <w:t>________</w:t>
      </w:r>
    </w:p>
    <w:p w:rsidR="00210364" w:rsidRDefault="00210364" w:rsidP="00210364">
      <w:pPr>
        <w:pStyle w:val="MemoLine"/>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6"/>
        <w:gridCol w:w="2832"/>
        <w:gridCol w:w="1350"/>
        <w:gridCol w:w="1260"/>
        <w:gridCol w:w="1260"/>
        <w:gridCol w:w="1350"/>
      </w:tblGrid>
      <w:tr w:rsidR="00210364" w:rsidTr="001A21D7">
        <w:tc>
          <w:tcPr>
            <w:tcW w:w="1596" w:type="dxa"/>
          </w:tcPr>
          <w:p w:rsidR="00210364" w:rsidRPr="00552F24" w:rsidRDefault="00210364" w:rsidP="001A21D7">
            <w:pPr>
              <w:rPr>
                <w:sz w:val="20"/>
              </w:rPr>
            </w:pPr>
            <w:r w:rsidRPr="00552F24">
              <w:rPr>
                <w:sz w:val="20"/>
              </w:rPr>
              <w:t>Change type:</w:t>
            </w:r>
          </w:p>
          <w:p w:rsidR="00210364" w:rsidRPr="00552F24" w:rsidRDefault="00210364" w:rsidP="001A21D7">
            <w:pPr>
              <w:rPr>
                <w:sz w:val="20"/>
              </w:rPr>
            </w:pPr>
            <w:r w:rsidRPr="00552F24">
              <w:rPr>
                <w:sz w:val="20"/>
              </w:rPr>
              <w:t>New, major, minor</w:t>
            </w:r>
          </w:p>
        </w:tc>
        <w:tc>
          <w:tcPr>
            <w:tcW w:w="2832" w:type="dxa"/>
          </w:tcPr>
          <w:p w:rsidR="00210364" w:rsidRPr="00552F24" w:rsidRDefault="00210364" w:rsidP="001A21D7">
            <w:pPr>
              <w:rPr>
                <w:sz w:val="20"/>
              </w:rPr>
            </w:pPr>
            <w:r w:rsidRPr="00552F24">
              <w:rPr>
                <w:sz w:val="20"/>
              </w:rPr>
              <w:t>Changes made to SOP - describe</w:t>
            </w:r>
          </w:p>
        </w:tc>
        <w:tc>
          <w:tcPr>
            <w:tcW w:w="1350" w:type="dxa"/>
          </w:tcPr>
          <w:p w:rsidR="00210364" w:rsidRPr="00552F24" w:rsidRDefault="00210364" w:rsidP="001A21D7">
            <w:pPr>
              <w:jc w:val="center"/>
              <w:rPr>
                <w:sz w:val="20"/>
              </w:rPr>
            </w:pPr>
            <w:r w:rsidRPr="00552F24">
              <w:rPr>
                <w:sz w:val="20"/>
              </w:rPr>
              <w:t>Signature responsible person/date</w:t>
            </w:r>
          </w:p>
        </w:tc>
        <w:tc>
          <w:tcPr>
            <w:tcW w:w="1260" w:type="dxa"/>
          </w:tcPr>
          <w:p w:rsidR="00210364" w:rsidRPr="00552F24" w:rsidRDefault="00210364" w:rsidP="001A21D7">
            <w:pPr>
              <w:jc w:val="center"/>
              <w:rPr>
                <w:sz w:val="20"/>
              </w:rPr>
            </w:pPr>
            <w:r w:rsidRPr="00552F24">
              <w:rPr>
                <w:sz w:val="20"/>
              </w:rPr>
              <w:t>Medical Director review/date</w:t>
            </w:r>
          </w:p>
        </w:tc>
        <w:tc>
          <w:tcPr>
            <w:tcW w:w="1260" w:type="dxa"/>
          </w:tcPr>
          <w:p w:rsidR="00210364" w:rsidRPr="00552F24" w:rsidRDefault="00210364" w:rsidP="001A21D7">
            <w:pPr>
              <w:jc w:val="center"/>
              <w:rPr>
                <w:sz w:val="20"/>
              </w:rPr>
            </w:pPr>
            <w:r w:rsidRPr="00552F24">
              <w:rPr>
                <w:sz w:val="20"/>
              </w:rPr>
              <w:t>Laboratory Director review/date</w:t>
            </w:r>
          </w:p>
        </w:tc>
        <w:tc>
          <w:tcPr>
            <w:tcW w:w="1350" w:type="dxa"/>
          </w:tcPr>
          <w:p w:rsidR="00210364" w:rsidRPr="00552F24" w:rsidRDefault="00210364" w:rsidP="001A21D7">
            <w:pPr>
              <w:jc w:val="center"/>
              <w:rPr>
                <w:sz w:val="20"/>
              </w:rPr>
            </w:pPr>
            <w:r w:rsidRPr="00552F24">
              <w:rPr>
                <w:sz w:val="20"/>
              </w:rPr>
              <w:t>Date change implemented</w:t>
            </w:r>
          </w:p>
        </w:tc>
      </w:tr>
      <w:tr w:rsidR="00210364" w:rsidTr="001A21D7">
        <w:trPr>
          <w:trHeight w:hRule="exact" w:val="440"/>
        </w:trPr>
        <w:tc>
          <w:tcPr>
            <w:tcW w:w="1596" w:type="dxa"/>
          </w:tcPr>
          <w:p w:rsidR="00210364" w:rsidRDefault="00210364" w:rsidP="001A21D7">
            <w:r>
              <w:t>New</w:t>
            </w:r>
          </w:p>
        </w:tc>
        <w:tc>
          <w:tcPr>
            <w:tcW w:w="2832" w:type="dxa"/>
          </w:tcPr>
          <w:p w:rsidR="00210364" w:rsidRDefault="00210364" w:rsidP="001A21D7"/>
        </w:tc>
        <w:tc>
          <w:tcPr>
            <w:tcW w:w="1350" w:type="dxa"/>
          </w:tcPr>
          <w:p w:rsidR="00210364" w:rsidRDefault="00210364" w:rsidP="001A21D7"/>
        </w:tc>
        <w:tc>
          <w:tcPr>
            <w:tcW w:w="1260" w:type="dxa"/>
          </w:tcPr>
          <w:p w:rsidR="00210364" w:rsidRDefault="00210364" w:rsidP="001A21D7"/>
        </w:tc>
        <w:tc>
          <w:tcPr>
            <w:tcW w:w="1260" w:type="dxa"/>
          </w:tcPr>
          <w:p w:rsidR="00210364" w:rsidRDefault="00210364" w:rsidP="001A21D7"/>
        </w:tc>
        <w:tc>
          <w:tcPr>
            <w:tcW w:w="1350" w:type="dxa"/>
          </w:tcPr>
          <w:p w:rsidR="00210364" w:rsidRDefault="00210364" w:rsidP="001A21D7"/>
        </w:tc>
      </w:tr>
      <w:tr w:rsidR="00210364" w:rsidTr="001A21D7">
        <w:trPr>
          <w:trHeight w:hRule="exact" w:val="440"/>
        </w:trPr>
        <w:tc>
          <w:tcPr>
            <w:tcW w:w="1596" w:type="dxa"/>
          </w:tcPr>
          <w:p w:rsidR="00210364" w:rsidRDefault="00210364" w:rsidP="001A21D7"/>
        </w:tc>
        <w:tc>
          <w:tcPr>
            <w:tcW w:w="2832" w:type="dxa"/>
          </w:tcPr>
          <w:p w:rsidR="00210364" w:rsidRDefault="00210364" w:rsidP="001A21D7"/>
        </w:tc>
        <w:tc>
          <w:tcPr>
            <w:tcW w:w="1350" w:type="dxa"/>
          </w:tcPr>
          <w:p w:rsidR="00210364" w:rsidRDefault="00210364" w:rsidP="001A21D7"/>
        </w:tc>
        <w:tc>
          <w:tcPr>
            <w:tcW w:w="1260" w:type="dxa"/>
          </w:tcPr>
          <w:p w:rsidR="00210364" w:rsidRDefault="00210364" w:rsidP="001A21D7"/>
        </w:tc>
        <w:tc>
          <w:tcPr>
            <w:tcW w:w="1260" w:type="dxa"/>
          </w:tcPr>
          <w:p w:rsidR="00210364" w:rsidRDefault="00210364" w:rsidP="001A21D7"/>
        </w:tc>
        <w:tc>
          <w:tcPr>
            <w:tcW w:w="1350" w:type="dxa"/>
          </w:tcPr>
          <w:p w:rsidR="00210364" w:rsidRDefault="00210364" w:rsidP="001A21D7"/>
        </w:tc>
      </w:tr>
      <w:tr w:rsidR="00210364" w:rsidTr="001A21D7">
        <w:trPr>
          <w:trHeight w:hRule="exact" w:val="440"/>
        </w:trPr>
        <w:tc>
          <w:tcPr>
            <w:tcW w:w="1596" w:type="dxa"/>
          </w:tcPr>
          <w:p w:rsidR="00210364" w:rsidRDefault="00210364" w:rsidP="001A21D7"/>
        </w:tc>
        <w:tc>
          <w:tcPr>
            <w:tcW w:w="2832" w:type="dxa"/>
          </w:tcPr>
          <w:p w:rsidR="00210364" w:rsidRDefault="00210364" w:rsidP="001A21D7"/>
        </w:tc>
        <w:tc>
          <w:tcPr>
            <w:tcW w:w="1350" w:type="dxa"/>
          </w:tcPr>
          <w:p w:rsidR="00210364" w:rsidRDefault="00210364" w:rsidP="001A21D7"/>
        </w:tc>
        <w:tc>
          <w:tcPr>
            <w:tcW w:w="1260" w:type="dxa"/>
          </w:tcPr>
          <w:p w:rsidR="00210364" w:rsidRDefault="00210364" w:rsidP="001A21D7"/>
        </w:tc>
        <w:tc>
          <w:tcPr>
            <w:tcW w:w="1260" w:type="dxa"/>
          </w:tcPr>
          <w:p w:rsidR="00210364" w:rsidRDefault="00210364" w:rsidP="001A21D7"/>
        </w:tc>
        <w:tc>
          <w:tcPr>
            <w:tcW w:w="1350" w:type="dxa"/>
          </w:tcPr>
          <w:p w:rsidR="00210364" w:rsidRDefault="00210364" w:rsidP="001A21D7"/>
        </w:tc>
      </w:tr>
      <w:tr w:rsidR="00210364" w:rsidTr="001A21D7">
        <w:trPr>
          <w:trHeight w:hRule="exact" w:val="440"/>
        </w:trPr>
        <w:tc>
          <w:tcPr>
            <w:tcW w:w="1596" w:type="dxa"/>
          </w:tcPr>
          <w:p w:rsidR="00210364" w:rsidRDefault="00210364" w:rsidP="001A21D7"/>
        </w:tc>
        <w:tc>
          <w:tcPr>
            <w:tcW w:w="2832" w:type="dxa"/>
          </w:tcPr>
          <w:p w:rsidR="00210364" w:rsidRDefault="00210364" w:rsidP="001A21D7"/>
        </w:tc>
        <w:tc>
          <w:tcPr>
            <w:tcW w:w="1350" w:type="dxa"/>
          </w:tcPr>
          <w:p w:rsidR="00210364" w:rsidRDefault="00210364" w:rsidP="001A21D7"/>
        </w:tc>
        <w:tc>
          <w:tcPr>
            <w:tcW w:w="1260" w:type="dxa"/>
          </w:tcPr>
          <w:p w:rsidR="00210364" w:rsidRDefault="00210364" w:rsidP="001A21D7"/>
        </w:tc>
        <w:tc>
          <w:tcPr>
            <w:tcW w:w="1260" w:type="dxa"/>
          </w:tcPr>
          <w:p w:rsidR="00210364" w:rsidRDefault="00210364" w:rsidP="001A21D7"/>
        </w:tc>
        <w:tc>
          <w:tcPr>
            <w:tcW w:w="1350" w:type="dxa"/>
          </w:tcPr>
          <w:p w:rsidR="00210364" w:rsidRDefault="00210364" w:rsidP="001A21D7"/>
        </w:tc>
      </w:tr>
      <w:tr w:rsidR="00210364" w:rsidTr="001A21D7">
        <w:trPr>
          <w:trHeight w:hRule="exact" w:val="440"/>
        </w:trPr>
        <w:tc>
          <w:tcPr>
            <w:tcW w:w="1596" w:type="dxa"/>
          </w:tcPr>
          <w:p w:rsidR="00210364" w:rsidRDefault="00210364" w:rsidP="001A21D7"/>
        </w:tc>
        <w:tc>
          <w:tcPr>
            <w:tcW w:w="2832" w:type="dxa"/>
          </w:tcPr>
          <w:p w:rsidR="00210364" w:rsidRDefault="00210364" w:rsidP="001A21D7"/>
        </w:tc>
        <w:tc>
          <w:tcPr>
            <w:tcW w:w="1350" w:type="dxa"/>
          </w:tcPr>
          <w:p w:rsidR="00210364" w:rsidRDefault="00210364" w:rsidP="001A21D7"/>
        </w:tc>
        <w:tc>
          <w:tcPr>
            <w:tcW w:w="1260" w:type="dxa"/>
          </w:tcPr>
          <w:p w:rsidR="00210364" w:rsidRDefault="00210364" w:rsidP="001A21D7"/>
        </w:tc>
        <w:tc>
          <w:tcPr>
            <w:tcW w:w="1260" w:type="dxa"/>
          </w:tcPr>
          <w:p w:rsidR="00210364" w:rsidRDefault="00210364" w:rsidP="001A21D7"/>
        </w:tc>
        <w:tc>
          <w:tcPr>
            <w:tcW w:w="1350" w:type="dxa"/>
          </w:tcPr>
          <w:p w:rsidR="00210364" w:rsidRDefault="00210364" w:rsidP="001A21D7"/>
        </w:tc>
      </w:tr>
      <w:tr w:rsidR="00210364" w:rsidTr="001A21D7">
        <w:trPr>
          <w:trHeight w:hRule="exact" w:val="440"/>
        </w:trPr>
        <w:tc>
          <w:tcPr>
            <w:tcW w:w="1596" w:type="dxa"/>
          </w:tcPr>
          <w:p w:rsidR="00210364" w:rsidRDefault="00210364" w:rsidP="001A21D7"/>
        </w:tc>
        <w:tc>
          <w:tcPr>
            <w:tcW w:w="2832" w:type="dxa"/>
          </w:tcPr>
          <w:p w:rsidR="00210364" w:rsidRDefault="00210364" w:rsidP="001A21D7"/>
        </w:tc>
        <w:tc>
          <w:tcPr>
            <w:tcW w:w="1350" w:type="dxa"/>
          </w:tcPr>
          <w:p w:rsidR="00210364" w:rsidRDefault="00210364" w:rsidP="001A21D7"/>
        </w:tc>
        <w:tc>
          <w:tcPr>
            <w:tcW w:w="1260" w:type="dxa"/>
          </w:tcPr>
          <w:p w:rsidR="00210364" w:rsidRDefault="00210364" w:rsidP="001A21D7"/>
        </w:tc>
        <w:tc>
          <w:tcPr>
            <w:tcW w:w="1260" w:type="dxa"/>
          </w:tcPr>
          <w:p w:rsidR="00210364" w:rsidRDefault="00210364" w:rsidP="001A21D7"/>
        </w:tc>
        <w:tc>
          <w:tcPr>
            <w:tcW w:w="1350" w:type="dxa"/>
          </w:tcPr>
          <w:p w:rsidR="00210364" w:rsidRDefault="00210364" w:rsidP="001A21D7"/>
        </w:tc>
      </w:tr>
      <w:tr w:rsidR="00210364" w:rsidTr="001A21D7">
        <w:trPr>
          <w:trHeight w:hRule="exact" w:val="440"/>
        </w:trPr>
        <w:tc>
          <w:tcPr>
            <w:tcW w:w="1596" w:type="dxa"/>
          </w:tcPr>
          <w:p w:rsidR="00210364" w:rsidRDefault="00210364" w:rsidP="001A21D7"/>
        </w:tc>
        <w:tc>
          <w:tcPr>
            <w:tcW w:w="2832" w:type="dxa"/>
          </w:tcPr>
          <w:p w:rsidR="00210364" w:rsidRDefault="00210364" w:rsidP="001A21D7"/>
        </w:tc>
        <w:tc>
          <w:tcPr>
            <w:tcW w:w="1350" w:type="dxa"/>
          </w:tcPr>
          <w:p w:rsidR="00210364" w:rsidRDefault="00210364" w:rsidP="001A21D7"/>
        </w:tc>
        <w:tc>
          <w:tcPr>
            <w:tcW w:w="1260" w:type="dxa"/>
          </w:tcPr>
          <w:p w:rsidR="00210364" w:rsidRDefault="00210364" w:rsidP="001A21D7"/>
        </w:tc>
        <w:tc>
          <w:tcPr>
            <w:tcW w:w="1260" w:type="dxa"/>
          </w:tcPr>
          <w:p w:rsidR="00210364" w:rsidRDefault="00210364" w:rsidP="001A21D7"/>
        </w:tc>
        <w:tc>
          <w:tcPr>
            <w:tcW w:w="1350" w:type="dxa"/>
          </w:tcPr>
          <w:p w:rsidR="00210364" w:rsidRDefault="00210364" w:rsidP="001A21D7"/>
        </w:tc>
      </w:tr>
      <w:tr w:rsidR="00210364" w:rsidTr="001A21D7">
        <w:trPr>
          <w:trHeight w:hRule="exact" w:val="440"/>
        </w:trPr>
        <w:tc>
          <w:tcPr>
            <w:tcW w:w="1596" w:type="dxa"/>
          </w:tcPr>
          <w:p w:rsidR="00210364" w:rsidRDefault="00210364" w:rsidP="001A21D7"/>
        </w:tc>
        <w:tc>
          <w:tcPr>
            <w:tcW w:w="2832" w:type="dxa"/>
          </w:tcPr>
          <w:p w:rsidR="00210364" w:rsidRDefault="00210364" w:rsidP="001A21D7"/>
        </w:tc>
        <w:tc>
          <w:tcPr>
            <w:tcW w:w="1350" w:type="dxa"/>
          </w:tcPr>
          <w:p w:rsidR="00210364" w:rsidRDefault="00210364" w:rsidP="001A21D7"/>
        </w:tc>
        <w:tc>
          <w:tcPr>
            <w:tcW w:w="1260" w:type="dxa"/>
          </w:tcPr>
          <w:p w:rsidR="00210364" w:rsidRDefault="00210364" w:rsidP="001A21D7"/>
        </w:tc>
        <w:tc>
          <w:tcPr>
            <w:tcW w:w="1260" w:type="dxa"/>
          </w:tcPr>
          <w:p w:rsidR="00210364" w:rsidRDefault="00210364" w:rsidP="001A21D7"/>
        </w:tc>
        <w:tc>
          <w:tcPr>
            <w:tcW w:w="1350" w:type="dxa"/>
          </w:tcPr>
          <w:p w:rsidR="00210364" w:rsidRDefault="00210364" w:rsidP="001A21D7"/>
        </w:tc>
      </w:tr>
      <w:tr w:rsidR="00210364" w:rsidTr="001A21D7">
        <w:trPr>
          <w:trHeight w:hRule="exact" w:val="440"/>
        </w:trPr>
        <w:tc>
          <w:tcPr>
            <w:tcW w:w="1596" w:type="dxa"/>
          </w:tcPr>
          <w:p w:rsidR="00210364" w:rsidRDefault="00210364" w:rsidP="001A21D7"/>
        </w:tc>
        <w:tc>
          <w:tcPr>
            <w:tcW w:w="2832" w:type="dxa"/>
          </w:tcPr>
          <w:p w:rsidR="00210364" w:rsidRDefault="00210364" w:rsidP="001A21D7"/>
        </w:tc>
        <w:tc>
          <w:tcPr>
            <w:tcW w:w="1350" w:type="dxa"/>
          </w:tcPr>
          <w:p w:rsidR="00210364" w:rsidRDefault="00210364" w:rsidP="001A21D7"/>
        </w:tc>
        <w:tc>
          <w:tcPr>
            <w:tcW w:w="1260" w:type="dxa"/>
          </w:tcPr>
          <w:p w:rsidR="00210364" w:rsidRDefault="00210364" w:rsidP="001A21D7"/>
        </w:tc>
        <w:tc>
          <w:tcPr>
            <w:tcW w:w="1260" w:type="dxa"/>
          </w:tcPr>
          <w:p w:rsidR="00210364" w:rsidRDefault="00210364" w:rsidP="001A21D7"/>
        </w:tc>
        <w:tc>
          <w:tcPr>
            <w:tcW w:w="1350" w:type="dxa"/>
          </w:tcPr>
          <w:p w:rsidR="00210364" w:rsidRDefault="00210364" w:rsidP="001A21D7"/>
        </w:tc>
      </w:tr>
      <w:tr w:rsidR="00210364" w:rsidTr="001A21D7">
        <w:trPr>
          <w:trHeight w:hRule="exact" w:val="440"/>
        </w:trPr>
        <w:tc>
          <w:tcPr>
            <w:tcW w:w="1596" w:type="dxa"/>
          </w:tcPr>
          <w:p w:rsidR="00210364" w:rsidRDefault="00210364" w:rsidP="001A21D7"/>
        </w:tc>
        <w:tc>
          <w:tcPr>
            <w:tcW w:w="2832" w:type="dxa"/>
          </w:tcPr>
          <w:p w:rsidR="00210364" w:rsidRDefault="00210364" w:rsidP="001A21D7"/>
        </w:tc>
        <w:tc>
          <w:tcPr>
            <w:tcW w:w="1350" w:type="dxa"/>
          </w:tcPr>
          <w:p w:rsidR="00210364" w:rsidRDefault="00210364" w:rsidP="001A21D7"/>
        </w:tc>
        <w:tc>
          <w:tcPr>
            <w:tcW w:w="1260" w:type="dxa"/>
          </w:tcPr>
          <w:p w:rsidR="00210364" w:rsidRDefault="00210364" w:rsidP="001A21D7"/>
        </w:tc>
        <w:tc>
          <w:tcPr>
            <w:tcW w:w="1260" w:type="dxa"/>
          </w:tcPr>
          <w:p w:rsidR="00210364" w:rsidRDefault="00210364" w:rsidP="001A21D7"/>
        </w:tc>
        <w:tc>
          <w:tcPr>
            <w:tcW w:w="1350" w:type="dxa"/>
          </w:tcPr>
          <w:p w:rsidR="00210364" w:rsidRDefault="00210364" w:rsidP="001A21D7"/>
        </w:tc>
      </w:tr>
      <w:tr w:rsidR="00210364" w:rsidTr="001A21D7">
        <w:trPr>
          <w:trHeight w:hRule="exact" w:val="440"/>
        </w:trPr>
        <w:tc>
          <w:tcPr>
            <w:tcW w:w="1596" w:type="dxa"/>
          </w:tcPr>
          <w:p w:rsidR="00210364" w:rsidRDefault="00210364" w:rsidP="001A21D7"/>
        </w:tc>
        <w:tc>
          <w:tcPr>
            <w:tcW w:w="2832" w:type="dxa"/>
          </w:tcPr>
          <w:p w:rsidR="00210364" w:rsidRDefault="00210364" w:rsidP="001A21D7"/>
        </w:tc>
        <w:tc>
          <w:tcPr>
            <w:tcW w:w="1350" w:type="dxa"/>
          </w:tcPr>
          <w:p w:rsidR="00210364" w:rsidRDefault="00210364" w:rsidP="001A21D7"/>
        </w:tc>
        <w:tc>
          <w:tcPr>
            <w:tcW w:w="1260" w:type="dxa"/>
          </w:tcPr>
          <w:p w:rsidR="00210364" w:rsidRDefault="00210364" w:rsidP="001A21D7"/>
        </w:tc>
        <w:tc>
          <w:tcPr>
            <w:tcW w:w="1260" w:type="dxa"/>
          </w:tcPr>
          <w:p w:rsidR="00210364" w:rsidRDefault="00210364" w:rsidP="001A21D7"/>
        </w:tc>
        <w:tc>
          <w:tcPr>
            <w:tcW w:w="1350" w:type="dxa"/>
          </w:tcPr>
          <w:p w:rsidR="00210364" w:rsidRDefault="00210364" w:rsidP="001A21D7"/>
        </w:tc>
      </w:tr>
      <w:tr w:rsidR="00210364" w:rsidTr="001A21D7">
        <w:trPr>
          <w:trHeight w:hRule="exact" w:val="440"/>
        </w:trPr>
        <w:tc>
          <w:tcPr>
            <w:tcW w:w="1596" w:type="dxa"/>
          </w:tcPr>
          <w:p w:rsidR="00210364" w:rsidRDefault="00210364" w:rsidP="001A21D7"/>
        </w:tc>
        <w:tc>
          <w:tcPr>
            <w:tcW w:w="2832" w:type="dxa"/>
          </w:tcPr>
          <w:p w:rsidR="00210364" w:rsidRDefault="00210364" w:rsidP="001A21D7"/>
        </w:tc>
        <w:tc>
          <w:tcPr>
            <w:tcW w:w="1350" w:type="dxa"/>
          </w:tcPr>
          <w:p w:rsidR="00210364" w:rsidRDefault="00210364" w:rsidP="001A21D7"/>
        </w:tc>
        <w:tc>
          <w:tcPr>
            <w:tcW w:w="1260" w:type="dxa"/>
          </w:tcPr>
          <w:p w:rsidR="00210364" w:rsidRDefault="00210364" w:rsidP="001A21D7"/>
        </w:tc>
        <w:tc>
          <w:tcPr>
            <w:tcW w:w="1260" w:type="dxa"/>
          </w:tcPr>
          <w:p w:rsidR="00210364" w:rsidRDefault="00210364" w:rsidP="001A21D7"/>
        </w:tc>
        <w:tc>
          <w:tcPr>
            <w:tcW w:w="1350" w:type="dxa"/>
          </w:tcPr>
          <w:p w:rsidR="00210364" w:rsidRDefault="00210364" w:rsidP="001A21D7"/>
        </w:tc>
      </w:tr>
      <w:tr w:rsidR="00210364" w:rsidTr="001A21D7">
        <w:trPr>
          <w:trHeight w:hRule="exact" w:val="440"/>
        </w:trPr>
        <w:tc>
          <w:tcPr>
            <w:tcW w:w="1596" w:type="dxa"/>
          </w:tcPr>
          <w:p w:rsidR="00210364" w:rsidRDefault="00210364" w:rsidP="001A21D7"/>
        </w:tc>
        <w:tc>
          <w:tcPr>
            <w:tcW w:w="2832" w:type="dxa"/>
          </w:tcPr>
          <w:p w:rsidR="00210364" w:rsidRDefault="00210364" w:rsidP="001A21D7"/>
        </w:tc>
        <w:tc>
          <w:tcPr>
            <w:tcW w:w="1350" w:type="dxa"/>
          </w:tcPr>
          <w:p w:rsidR="00210364" w:rsidRDefault="00210364" w:rsidP="001A21D7"/>
        </w:tc>
        <w:tc>
          <w:tcPr>
            <w:tcW w:w="1260" w:type="dxa"/>
          </w:tcPr>
          <w:p w:rsidR="00210364" w:rsidRDefault="00210364" w:rsidP="001A21D7"/>
        </w:tc>
        <w:tc>
          <w:tcPr>
            <w:tcW w:w="1260" w:type="dxa"/>
          </w:tcPr>
          <w:p w:rsidR="00210364" w:rsidRDefault="00210364" w:rsidP="001A21D7"/>
        </w:tc>
        <w:tc>
          <w:tcPr>
            <w:tcW w:w="1350" w:type="dxa"/>
          </w:tcPr>
          <w:p w:rsidR="00210364" w:rsidRDefault="00210364" w:rsidP="001A21D7"/>
        </w:tc>
      </w:tr>
      <w:tr w:rsidR="00210364" w:rsidTr="001A21D7">
        <w:trPr>
          <w:trHeight w:hRule="exact" w:val="440"/>
        </w:trPr>
        <w:tc>
          <w:tcPr>
            <w:tcW w:w="1596" w:type="dxa"/>
          </w:tcPr>
          <w:p w:rsidR="00210364" w:rsidRDefault="00210364" w:rsidP="001A21D7"/>
        </w:tc>
        <w:tc>
          <w:tcPr>
            <w:tcW w:w="2832" w:type="dxa"/>
          </w:tcPr>
          <w:p w:rsidR="00210364" w:rsidRDefault="00210364" w:rsidP="001A21D7"/>
        </w:tc>
        <w:tc>
          <w:tcPr>
            <w:tcW w:w="1350" w:type="dxa"/>
          </w:tcPr>
          <w:p w:rsidR="00210364" w:rsidRDefault="00210364" w:rsidP="001A21D7"/>
        </w:tc>
        <w:tc>
          <w:tcPr>
            <w:tcW w:w="1260" w:type="dxa"/>
          </w:tcPr>
          <w:p w:rsidR="00210364" w:rsidRDefault="00210364" w:rsidP="001A21D7"/>
        </w:tc>
        <w:tc>
          <w:tcPr>
            <w:tcW w:w="1260" w:type="dxa"/>
          </w:tcPr>
          <w:p w:rsidR="00210364" w:rsidRDefault="00210364" w:rsidP="001A21D7"/>
        </w:tc>
        <w:tc>
          <w:tcPr>
            <w:tcW w:w="1350" w:type="dxa"/>
          </w:tcPr>
          <w:p w:rsidR="00210364" w:rsidRDefault="00210364" w:rsidP="001A21D7"/>
        </w:tc>
      </w:tr>
      <w:tr w:rsidR="00210364" w:rsidTr="001A21D7">
        <w:trPr>
          <w:trHeight w:hRule="exact" w:val="440"/>
        </w:trPr>
        <w:tc>
          <w:tcPr>
            <w:tcW w:w="1596" w:type="dxa"/>
          </w:tcPr>
          <w:p w:rsidR="00210364" w:rsidRDefault="00210364" w:rsidP="001A21D7"/>
        </w:tc>
        <w:tc>
          <w:tcPr>
            <w:tcW w:w="2832" w:type="dxa"/>
          </w:tcPr>
          <w:p w:rsidR="00210364" w:rsidRDefault="00210364" w:rsidP="001A21D7"/>
        </w:tc>
        <w:tc>
          <w:tcPr>
            <w:tcW w:w="1350" w:type="dxa"/>
          </w:tcPr>
          <w:p w:rsidR="00210364" w:rsidRDefault="00210364" w:rsidP="001A21D7"/>
        </w:tc>
        <w:tc>
          <w:tcPr>
            <w:tcW w:w="1260" w:type="dxa"/>
          </w:tcPr>
          <w:p w:rsidR="00210364" w:rsidRDefault="00210364" w:rsidP="001A21D7"/>
        </w:tc>
        <w:tc>
          <w:tcPr>
            <w:tcW w:w="1260" w:type="dxa"/>
          </w:tcPr>
          <w:p w:rsidR="00210364" w:rsidRDefault="00210364" w:rsidP="001A21D7"/>
        </w:tc>
        <w:tc>
          <w:tcPr>
            <w:tcW w:w="1350" w:type="dxa"/>
          </w:tcPr>
          <w:p w:rsidR="00210364" w:rsidRDefault="00210364" w:rsidP="001A21D7"/>
        </w:tc>
      </w:tr>
      <w:tr w:rsidR="00210364" w:rsidTr="001A21D7">
        <w:trPr>
          <w:trHeight w:hRule="exact" w:val="440"/>
        </w:trPr>
        <w:tc>
          <w:tcPr>
            <w:tcW w:w="1596" w:type="dxa"/>
          </w:tcPr>
          <w:p w:rsidR="00210364" w:rsidRDefault="00210364" w:rsidP="001A21D7"/>
        </w:tc>
        <w:tc>
          <w:tcPr>
            <w:tcW w:w="2832" w:type="dxa"/>
          </w:tcPr>
          <w:p w:rsidR="00210364" w:rsidRDefault="00210364" w:rsidP="001A21D7"/>
        </w:tc>
        <w:tc>
          <w:tcPr>
            <w:tcW w:w="1350" w:type="dxa"/>
          </w:tcPr>
          <w:p w:rsidR="00210364" w:rsidRDefault="00210364" w:rsidP="001A21D7"/>
        </w:tc>
        <w:tc>
          <w:tcPr>
            <w:tcW w:w="1260" w:type="dxa"/>
          </w:tcPr>
          <w:p w:rsidR="00210364" w:rsidRDefault="00210364" w:rsidP="001A21D7"/>
        </w:tc>
        <w:tc>
          <w:tcPr>
            <w:tcW w:w="1260" w:type="dxa"/>
          </w:tcPr>
          <w:p w:rsidR="00210364" w:rsidRDefault="00210364" w:rsidP="001A21D7"/>
        </w:tc>
        <w:tc>
          <w:tcPr>
            <w:tcW w:w="1350" w:type="dxa"/>
          </w:tcPr>
          <w:p w:rsidR="00210364" w:rsidRDefault="00210364" w:rsidP="001A21D7"/>
        </w:tc>
      </w:tr>
      <w:tr w:rsidR="00210364" w:rsidTr="001A21D7">
        <w:trPr>
          <w:trHeight w:hRule="exact" w:val="440"/>
        </w:trPr>
        <w:tc>
          <w:tcPr>
            <w:tcW w:w="1596" w:type="dxa"/>
          </w:tcPr>
          <w:p w:rsidR="00210364" w:rsidRDefault="00210364" w:rsidP="001A21D7"/>
        </w:tc>
        <w:tc>
          <w:tcPr>
            <w:tcW w:w="2832" w:type="dxa"/>
          </w:tcPr>
          <w:p w:rsidR="00210364" w:rsidRDefault="00210364" w:rsidP="001A21D7"/>
        </w:tc>
        <w:tc>
          <w:tcPr>
            <w:tcW w:w="1350" w:type="dxa"/>
          </w:tcPr>
          <w:p w:rsidR="00210364" w:rsidRDefault="00210364" w:rsidP="001A21D7"/>
        </w:tc>
        <w:tc>
          <w:tcPr>
            <w:tcW w:w="1260" w:type="dxa"/>
          </w:tcPr>
          <w:p w:rsidR="00210364" w:rsidRDefault="00210364" w:rsidP="001A21D7"/>
        </w:tc>
        <w:tc>
          <w:tcPr>
            <w:tcW w:w="1260" w:type="dxa"/>
          </w:tcPr>
          <w:p w:rsidR="00210364" w:rsidRDefault="00210364" w:rsidP="001A21D7"/>
        </w:tc>
        <w:tc>
          <w:tcPr>
            <w:tcW w:w="1350" w:type="dxa"/>
          </w:tcPr>
          <w:p w:rsidR="00210364" w:rsidRDefault="00210364" w:rsidP="001A21D7"/>
        </w:tc>
      </w:tr>
      <w:tr w:rsidR="00210364" w:rsidTr="001A21D7">
        <w:trPr>
          <w:trHeight w:hRule="exact" w:val="440"/>
        </w:trPr>
        <w:tc>
          <w:tcPr>
            <w:tcW w:w="1596" w:type="dxa"/>
          </w:tcPr>
          <w:p w:rsidR="00210364" w:rsidRDefault="00210364" w:rsidP="001A21D7"/>
        </w:tc>
        <w:tc>
          <w:tcPr>
            <w:tcW w:w="2832" w:type="dxa"/>
          </w:tcPr>
          <w:p w:rsidR="00210364" w:rsidRDefault="00210364" w:rsidP="001A21D7"/>
        </w:tc>
        <w:tc>
          <w:tcPr>
            <w:tcW w:w="1350" w:type="dxa"/>
          </w:tcPr>
          <w:p w:rsidR="00210364" w:rsidRDefault="00210364" w:rsidP="001A21D7"/>
        </w:tc>
        <w:tc>
          <w:tcPr>
            <w:tcW w:w="1260" w:type="dxa"/>
          </w:tcPr>
          <w:p w:rsidR="00210364" w:rsidRDefault="00210364" w:rsidP="001A21D7"/>
        </w:tc>
        <w:tc>
          <w:tcPr>
            <w:tcW w:w="1260" w:type="dxa"/>
          </w:tcPr>
          <w:p w:rsidR="00210364" w:rsidRDefault="00210364" w:rsidP="001A21D7"/>
        </w:tc>
        <w:tc>
          <w:tcPr>
            <w:tcW w:w="1350" w:type="dxa"/>
          </w:tcPr>
          <w:p w:rsidR="00210364" w:rsidRDefault="00210364" w:rsidP="001A21D7"/>
        </w:tc>
      </w:tr>
      <w:tr w:rsidR="00210364" w:rsidTr="001A21D7">
        <w:trPr>
          <w:trHeight w:hRule="exact" w:val="440"/>
        </w:trPr>
        <w:tc>
          <w:tcPr>
            <w:tcW w:w="1596" w:type="dxa"/>
          </w:tcPr>
          <w:p w:rsidR="00210364" w:rsidRDefault="00210364" w:rsidP="001A21D7"/>
        </w:tc>
        <w:tc>
          <w:tcPr>
            <w:tcW w:w="2832" w:type="dxa"/>
          </w:tcPr>
          <w:p w:rsidR="00210364" w:rsidRDefault="00210364" w:rsidP="001A21D7"/>
        </w:tc>
        <w:tc>
          <w:tcPr>
            <w:tcW w:w="1350" w:type="dxa"/>
          </w:tcPr>
          <w:p w:rsidR="00210364" w:rsidRDefault="00210364" w:rsidP="001A21D7"/>
        </w:tc>
        <w:tc>
          <w:tcPr>
            <w:tcW w:w="1260" w:type="dxa"/>
          </w:tcPr>
          <w:p w:rsidR="00210364" w:rsidRDefault="00210364" w:rsidP="001A21D7"/>
        </w:tc>
        <w:tc>
          <w:tcPr>
            <w:tcW w:w="1260" w:type="dxa"/>
          </w:tcPr>
          <w:p w:rsidR="00210364" w:rsidRDefault="00210364" w:rsidP="001A21D7"/>
        </w:tc>
        <w:tc>
          <w:tcPr>
            <w:tcW w:w="1350" w:type="dxa"/>
          </w:tcPr>
          <w:p w:rsidR="00210364" w:rsidRDefault="00210364" w:rsidP="001A21D7"/>
        </w:tc>
      </w:tr>
    </w:tbl>
    <w:p w:rsidR="00210364" w:rsidRDefault="00210364" w:rsidP="00210364"/>
    <w:p w:rsidR="004F1418" w:rsidRPr="004F1418" w:rsidRDefault="004F1418" w:rsidP="004F1418"/>
    <w:p w:rsidR="004F1418" w:rsidRDefault="004F1418"/>
    <w:sectPr w:rsidR="004F1418" w:rsidSect="005D205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6D47" w:rsidRDefault="005D6D47" w:rsidP="00CA773A">
      <w:r>
        <w:separator/>
      </w:r>
    </w:p>
  </w:endnote>
  <w:endnote w:type="continuationSeparator" w:id="0">
    <w:p w:rsidR="005D6D47" w:rsidRDefault="005D6D47" w:rsidP="00CA773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73A" w:rsidRPr="00CA773A" w:rsidRDefault="00716078" w:rsidP="00CA773A">
    <w:pPr>
      <w:pStyle w:val="Footer"/>
      <w:pBdr>
        <w:top w:val="single" w:sz="4" w:space="1" w:color="auto"/>
        <w:left w:val="single" w:sz="4" w:space="4" w:color="auto"/>
        <w:bottom w:val="single" w:sz="4" w:space="1" w:color="auto"/>
        <w:right w:val="single" w:sz="4" w:space="4" w:color="auto"/>
      </w:pBdr>
      <w:ind w:right="90"/>
      <w:rPr>
        <w:sz w:val="20"/>
      </w:rPr>
    </w:pPr>
    <w:r>
      <w:rPr>
        <w:sz w:val="20"/>
      </w:rPr>
      <w:t>Document No.:LGLS0130</w:t>
    </w:r>
    <w:r w:rsidR="00E3372F">
      <w:rPr>
        <w:sz w:val="20"/>
      </w:rPr>
      <w:t xml:space="preserve">                                        </w:t>
    </w:r>
    <w:r w:rsidR="00E3372F" w:rsidRPr="00BF2158">
      <w:rPr>
        <w:sz w:val="20"/>
      </w:rPr>
      <w:t xml:space="preserve">Page </w:t>
    </w:r>
    <w:r w:rsidR="008028CD" w:rsidRPr="00BF2158">
      <w:rPr>
        <w:sz w:val="20"/>
      </w:rPr>
      <w:fldChar w:fldCharType="begin"/>
    </w:r>
    <w:r w:rsidR="00E3372F" w:rsidRPr="00BF2158">
      <w:rPr>
        <w:sz w:val="20"/>
      </w:rPr>
      <w:instrText xml:space="preserve"> PAGE </w:instrText>
    </w:r>
    <w:r w:rsidR="008028CD" w:rsidRPr="00BF2158">
      <w:rPr>
        <w:sz w:val="20"/>
      </w:rPr>
      <w:fldChar w:fldCharType="separate"/>
    </w:r>
    <w:r w:rsidR="005B20D5">
      <w:rPr>
        <w:noProof/>
        <w:sz w:val="20"/>
      </w:rPr>
      <w:t>2</w:t>
    </w:r>
    <w:r w:rsidR="008028CD" w:rsidRPr="00BF2158">
      <w:rPr>
        <w:sz w:val="20"/>
      </w:rPr>
      <w:fldChar w:fldCharType="end"/>
    </w:r>
    <w:r w:rsidR="00E3372F" w:rsidRPr="00BF2158">
      <w:rPr>
        <w:sz w:val="20"/>
      </w:rPr>
      <w:t xml:space="preserve"> of </w:t>
    </w:r>
    <w:r w:rsidR="00E3372F">
      <w:rPr>
        <w:sz w:val="20"/>
      </w:rPr>
      <w:t>6</w:t>
    </w:r>
    <w:r w:rsidR="00E3372F">
      <w:rPr>
        <w:sz w:val="20"/>
      </w:rPr>
      <w:tab/>
      <w:t xml:space="preserve">                           </w:t>
    </w:r>
    <w:r>
      <w:rPr>
        <w:sz w:val="20"/>
      </w:rPr>
      <w:t xml:space="preserve">                 Version No.: 02</w:t>
    </w:r>
    <w:r w:rsidR="00CA773A">
      <w:rPr>
        <w:sz w:val="20"/>
      </w:rPr>
      <w:t>:</w:t>
    </w:r>
    <w:r w:rsidR="00CA773A">
      <w:rPr>
        <w:sz w:val="20"/>
      </w:rPr>
      <w:tab/>
    </w:r>
  </w:p>
  <w:p w:rsidR="00CA773A" w:rsidRDefault="00CA77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6D47" w:rsidRDefault="005D6D47" w:rsidP="00CA773A">
      <w:r>
        <w:separator/>
      </w:r>
    </w:p>
  </w:footnote>
  <w:footnote w:type="continuationSeparator" w:id="0">
    <w:p w:rsidR="005D6D47" w:rsidRDefault="005D6D47" w:rsidP="00CA77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73A" w:rsidRPr="00CA773A" w:rsidRDefault="00CA773A" w:rsidP="00CA773A">
    <w:pPr>
      <w:pStyle w:val="Header"/>
    </w:pPr>
    <w:r w:rsidRPr="00CA773A">
      <w:t>Kaiser Permanente</w:t>
    </w:r>
    <w:r w:rsidRPr="00CA773A">
      <w:tab/>
    </w:r>
    <w:r w:rsidRPr="00CA773A">
      <w:tab/>
      <w:t>SCPMG Laboratory System</w:t>
    </w:r>
  </w:p>
  <w:p w:rsidR="00CA773A" w:rsidRPr="00CA773A" w:rsidRDefault="00CA773A" w:rsidP="00CA773A">
    <w:pPr>
      <w:pStyle w:val="Header"/>
    </w:pPr>
    <w:r w:rsidRPr="00CA773A">
      <w:t>Medical Care Program</w:t>
    </w:r>
    <w:r w:rsidRPr="00CA773A">
      <w:tab/>
    </w:r>
    <w:r w:rsidRPr="00CA773A">
      <w:tab/>
      <w:t>Riverside Medical Center</w:t>
    </w:r>
  </w:p>
  <w:p w:rsidR="00CA773A" w:rsidRDefault="00CA773A" w:rsidP="00CA773A">
    <w:pPr>
      <w:pStyle w:val="Header"/>
    </w:pPr>
    <w:r w:rsidRPr="00CA773A">
      <w:t>California Division – South</w:t>
    </w:r>
    <w:r w:rsidRPr="00CA773A">
      <w:tab/>
      <w:t xml:space="preserve">                                                                     </w:t>
    </w:r>
    <w:r>
      <w:t xml:space="preserve">General </w:t>
    </w:r>
    <w:r w:rsidRPr="00CA773A">
      <w:t>Laboratory</w:t>
    </w:r>
    <w:r>
      <w:t xml:space="preserve"> </w:t>
    </w:r>
    <w:r w:rsidRPr="00CA773A">
      <w:t>Policy/Process/Procedure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00A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9A94CEF"/>
    <w:multiLevelType w:val="hybridMultilevel"/>
    <w:tmpl w:val="F654A324"/>
    <w:lvl w:ilvl="0" w:tplc="218A1C86">
      <w:start w:val="1"/>
      <w:numFmt w:val="bullet"/>
      <w:lvlText w:val=""/>
      <w:lvlJc w:val="left"/>
      <w:pPr>
        <w:ind w:left="1800" w:hanging="360"/>
      </w:pPr>
      <w:rPr>
        <w:rFonts w:ascii="Wingdings" w:hAnsi="Wingdings"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0FF2FCD"/>
    <w:multiLevelType w:val="hybridMultilevel"/>
    <w:tmpl w:val="F4888E3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2AA246C"/>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
    <w:nsid w:val="1DA45268"/>
    <w:multiLevelType w:val="hybridMultilevel"/>
    <w:tmpl w:val="55C83FE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58908BD"/>
    <w:multiLevelType w:val="hybridMultilevel"/>
    <w:tmpl w:val="B4A845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B5C4D2B"/>
    <w:multiLevelType w:val="hybridMultilevel"/>
    <w:tmpl w:val="53A41DC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E696201"/>
    <w:multiLevelType w:val="singleLevel"/>
    <w:tmpl w:val="0409000B"/>
    <w:lvl w:ilvl="0">
      <w:start w:val="1"/>
      <w:numFmt w:val="bullet"/>
      <w:lvlText w:val=""/>
      <w:lvlJc w:val="left"/>
      <w:pPr>
        <w:ind w:left="720" w:hanging="360"/>
      </w:pPr>
      <w:rPr>
        <w:rFonts w:ascii="Wingdings" w:hAnsi="Wingdings" w:hint="default"/>
      </w:rPr>
    </w:lvl>
  </w:abstractNum>
  <w:abstractNum w:abstractNumId="8">
    <w:nsid w:val="58F62C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B215898"/>
    <w:multiLevelType w:val="hybridMultilevel"/>
    <w:tmpl w:val="0972C6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F4818AE"/>
    <w:multiLevelType w:val="singleLevel"/>
    <w:tmpl w:val="C19E640C"/>
    <w:lvl w:ilvl="0">
      <w:start w:val="1"/>
      <w:numFmt w:val="bullet"/>
      <w:pStyle w:val="BulletText1"/>
      <w:lvlText w:val=""/>
      <w:lvlJc w:val="left"/>
      <w:pPr>
        <w:tabs>
          <w:tab w:val="num" w:pos="360"/>
        </w:tabs>
        <w:ind w:left="360" w:hanging="360"/>
      </w:pPr>
      <w:rPr>
        <w:rFonts w:ascii="Symbol" w:hAnsi="Symbol" w:hint="default"/>
      </w:rPr>
    </w:lvl>
  </w:abstractNum>
  <w:abstractNum w:abstractNumId="11">
    <w:nsid w:val="65AE130B"/>
    <w:multiLevelType w:val="singleLevel"/>
    <w:tmpl w:val="CF220918"/>
    <w:lvl w:ilvl="0">
      <w:start w:val="1"/>
      <w:numFmt w:val="decimal"/>
      <w:lvlText w:val="%1."/>
      <w:lvlJc w:val="left"/>
      <w:pPr>
        <w:ind w:left="720" w:hanging="360"/>
      </w:pPr>
      <w:rPr>
        <w:rFonts w:hint="default"/>
        <w:b w:val="0"/>
      </w:rPr>
    </w:lvl>
  </w:abstractNum>
  <w:abstractNum w:abstractNumId="12">
    <w:nsid w:val="66A505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F670028"/>
    <w:multiLevelType w:val="hybridMultilevel"/>
    <w:tmpl w:val="39FA91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2"/>
  </w:num>
  <w:num w:numId="3">
    <w:abstractNumId w:val="7"/>
  </w:num>
  <w:num w:numId="4">
    <w:abstractNumId w:val="3"/>
  </w:num>
  <w:num w:numId="5">
    <w:abstractNumId w:val="9"/>
  </w:num>
  <w:num w:numId="6">
    <w:abstractNumId w:val="13"/>
  </w:num>
  <w:num w:numId="7">
    <w:abstractNumId w:val="5"/>
  </w:num>
  <w:num w:numId="8">
    <w:abstractNumId w:val="6"/>
  </w:num>
  <w:num w:numId="9">
    <w:abstractNumId w:val="4"/>
  </w:num>
  <w:num w:numId="10">
    <w:abstractNumId w:val="1"/>
  </w:num>
  <w:num w:numId="11">
    <w:abstractNumId w:val="8"/>
  </w:num>
  <w:num w:numId="12">
    <w:abstractNumId w:val="0"/>
  </w:num>
  <w:num w:numId="13">
    <w:abstractNumId w:val="2"/>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7650"/>
  </w:hdrShapeDefaults>
  <w:footnotePr>
    <w:footnote w:id="-1"/>
    <w:footnote w:id="0"/>
  </w:footnotePr>
  <w:endnotePr>
    <w:endnote w:id="-1"/>
    <w:endnote w:id="0"/>
  </w:endnotePr>
  <w:compat/>
  <w:rsids>
    <w:rsidRoot w:val="00CA773A"/>
    <w:rsid w:val="00011F8B"/>
    <w:rsid w:val="00066953"/>
    <w:rsid w:val="00086C1F"/>
    <w:rsid w:val="000B3561"/>
    <w:rsid w:val="000B4471"/>
    <w:rsid w:val="000F77D0"/>
    <w:rsid w:val="001100A6"/>
    <w:rsid w:val="00126F07"/>
    <w:rsid w:val="0015029F"/>
    <w:rsid w:val="00191F30"/>
    <w:rsid w:val="001A7486"/>
    <w:rsid w:val="001D267A"/>
    <w:rsid w:val="001E2055"/>
    <w:rsid w:val="00210364"/>
    <w:rsid w:val="002B03B1"/>
    <w:rsid w:val="002C0757"/>
    <w:rsid w:val="002C5625"/>
    <w:rsid w:val="00314838"/>
    <w:rsid w:val="00366749"/>
    <w:rsid w:val="00372DCD"/>
    <w:rsid w:val="003B77FF"/>
    <w:rsid w:val="003D1D55"/>
    <w:rsid w:val="0042527C"/>
    <w:rsid w:val="004433B8"/>
    <w:rsid w:val="00454BD9"/>
    <w:rsid w:val="00494D67"/>
    <w:rsid w:val="004B1DAF"/>
    <w:rsid w:val="004E06E2"/>
    <w:rsid w:val="004E46C2"/>
    <w:rsid w:val="004F1418"/>
    <w:rsid w:val="005368AF"/>
    <w:rsid w:val="00543C73"/>
    <w:rsid w:val="005964B0"/>
    <w:rsid w:val="00596A2A"/>
    <w:rsid w:val="005B20D5"/>
    <w:rsid w:val="005D2058"/>
    <w:rsid w:val="005D6D47"/>
    <w:rsid w:val="00625834"/>
    <w:rsid w:val="006B2E14"/>
    <w:rsid w:val="006C160B"/>
    <w:rsid w:val="0071184B"/>
    <w:rsid w:val="00716078"/>
    <w:rsid w:val="007549EA"/>
    <w:rsid w:val="00772E32"/>
    <w:rsid w:val="007965BE"/>
    <w:rsid w:val="007D45E5"/>
    <w:rsid w:val="008028CD"/>
    <w:rsid w:val="00886A29"/>
    <w:rsid w:val="008B2CC9"/>
    <w:rsid w:val="008B2E55"/>
    <w:rsid w:val="008C1C49"/>
    <w:rsid w:val="008E2682"/>
    <w:rsid w:val="00915FCA"/>
    <w:rsid w:val="0092281C"/>
    <w:rsid w:val="00941B0D"/>
    <w:rsid w:val="00944153"/>
    <w:rsid w:val="009C1516"/>
    <w:rsid w:val="00AE71CE"/>
    <w:rsid w:val="00AF3285"/>
    <w:rsid w:val="00BF4F26"/>
    <w:rsid w:val="00C03AE2"/>
    <w:rsid w:val="00C05903"/>
    <w:rsid w:val="00CA773A"/>
    <w:rsid w:val="00CE0524"/>
    <w:rsid w:val="00CF09FE"/>
    <w:rsid w:val="00D020B9"/>
    <w:rsid w:val="00D61DFE"/>
    <w:rsid w:val="00D639E0"/>
    <w:rsid w:val="00D75E8D"/>
    <w:rsid w:val="00DD74F3"/>
    <w:rsid w:val="00DE16C7"/>
    <w:rsid w:val="00E332CA"/>
    <w:rsid w:val="00E3372F"/>
    <w:rsid w:val="00E521BF"/>
    <w:rsid w:val="00E85BE6"/>
    <w:rsid w:val="00F13AED"/>
    <w:rsid w:val="00F239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73A"/>
    <w:pPr>
      <w:spacing w:after="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uiPriority w:val="9"/>
    <w:semiHidden/>
    <w:unhideWhenUsed/>
    <w:qFormat/>
    <w:rsid w:val="0021036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aliases w:val="Map Title"/>
    <w:basedOn w:val="Normal"/>
    <w:next w:val="Normal"/>
    <w:link w:val="Heading4Char"/>
    <w:qFormat/>
    <w:rsid w:val="00CA773A"/>
    <w:pPr>
      <w:spacing w:after="240"/>
      <w:outlineLvl w:val="3"/>
    </w:pPr>
    <w:rPr>
      <w:rFonts w:ascii="Arial" w:hAnsi="Arial"/>
      <w:b/>
      <w:sz w:val="32"/>
    </w:rPr>
  </w:style>
  <w:style w:type="paragraph" w:styleId="Heading5">
    <w:name w:val="heading 5"/>
    <w:aliases w:val="Block Label"/>
    <w:basedOn w:val="Normal"/>
    <w:link w:val="Heading5Char"/>
    <w:qFormat/>
    <w:rsid w:val="00CA773A"/>
    <w:pPr>
      <w:outlineLvl w:val="4"/>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773A"/>
    <w:pPr>
      <w:pBdr>
        <w:top w:val="single" w:sz="4" w:space="1" w:color="auto"/>
        <w:left w:val="single" w:sz="4" w:space="4" w:color="auto"/>
        <w:bottom w:val="single" w:sz="4" w:space="1" w:color="auto"/>
        <w:right w:val="single" w:sz="4" w:space="4" w:color="auto"/>
      </w:pBdr>
      <w:tabs>
        <w:tab w:val="center" w:pos="4680"/>
        <w:tab w:val="right" w:pos="9360"/>
      </w:tabs>
    </w:pPr>
    <w:rPr>
      <w:sz w:val="20"/>
    </w:rPr>
  </w:style>
  <w:style w:type="character" w:customStyle="1" w:styleId="HeaderChar">
    <w:name w:val="Header Char"/>
    <w:basedOn w:val="DefaultParagraphFont"/>
    <w:link w:val="Header"/>
    <w:uiPriority w:val="99"/>
    <w:rsid w:val="00CA773A"/>
    <w:rPr>
      <w:rFonts w:ascii="Times New Roman" w:hAnsi="Times New Roman" w:cs="Times New Roman"/>
      <w:sz w:val="20"/>
    </w:rPr>
  </w:style>
  <w:style w:type="paragraph" w:styleId="Footer">
    <w:name w:val="footer"/>
    <w:basedOn w:val="Normal"/>
    <w:link w:val="FooterChar"/>
    <w:unhideWhenUsed/>
    <w:rsid w:val="00CA773A"/>
    <w:pPr>
      <w:tabs>
        <w:tab w:val="center" w:pos="4680"/>
        <w:tab w:val="right" w:pos="9360"/>
      </w:tabs>
    </w:pPr>
  </w:style>
  <w:style w:type="character" w:customStyle="1" w:styleId="FooterChar">
    <w:name w:val="Footer Char"/>
    <w:basedOn w:val="DefaultParagraphFont"/>
    <w:link w:val="Footer"/>
    <w:uiPriority w:val="99"/>
    <w:rsid w:val="00CA773A"/>
  </w:style>
  <w:style w:type="paragraph" w:styleId="BalloonText">
    <w:name w:val="Balloon Text"/>
    <w:basedOn w:val="Normal"/>
    <w:link w:val="BalloonTextChar"/>
    <w:uiPriority w:val="99"/>
    <w:semiHidden/>
    <w:unhideWhenUsed/>
    <w:rsid w:val="00CA773A"/>
    <w:rPr>
      <w:rFonts w:ascii="Tahoma" w:hAnsi="Tahoma" w:cs="Tahoma"/>
      <w:sz w:val="16"/>
      <w:szCs w:val="16"/>
    </w:rPr>
  </w:style>
  <w:style w:type="character" w:customStyle="1" w:styleId="BalloonTextChar">
    <w:name w:val="Balloon Text Char"/>
    <w:basedOn w:val="DefaultParagraphFont"/>
    <w:link w:val="BalloonText"/>
    <w:uiPriority w:val="99"/>
    <w:semiHidden/>
    <w:rsid w:val="00CA773A"/>
    <w:rPr>
      <w:rFonts w:ascii="Tahoma" w:hAnsi="Tahoma" w:cs="Tahoma"/>
      <w:sz w:val="16"/>
      <w:szCs w:val="16"/>
    </w:rPr>
  </w:style>
  <w:style w:type="character" w:customStyle="1" w:styleId="Heading4Char">
    <w:name w:val="Heading 4 Char"/>
    <w:aliases w:val="Map Title Char"/>
    <w:basedOn w:val="DefaultParagraphFont"/>
    <w:link w:val="Heading4"/>
    <w:rsid w:val="00CA773A"/>
    <w:rPr>
      <w:rFonts w:ascii="Arial" w:eastAsia="Times New Roman" w:hAnsi="Arial" w:cs="Times New Roman"/>
      <w:b/>
      <w:sz w:val="32"/>
      <w:szCs w:val="20"/>
    </w:rPr>
  </w:style>
  <w:style w:type="character" w:customStyle="1" w:styleId="Heading5Char">
    <w:name w:val="Heading 5 Char"/>
    <w:aliases w:val="Block Label Char"/>
    <w:basedOn w:val="DefaultParagraphFont"/>
    <w:link w:val="Heading5"/>
    <w:rsid w:val="00CA773A"/>
    <w:rPr>
      <w:rFonts w:ascii="Times New Roman" w:eastAsia="Times New Roman" w:hAnsi="Times New Roman" w:cs="Times New Roman"/>
      <w:b/>
      <w:szCs w:val="20"/>
    </w:rPr>
  </w:style>
  <w:style w:type="paragraph" w:customStyle="1" w:styleId="BlockLine">
    <w:name w:val="Block Line"/>
    <w:basedOn w:val="Normal"/>
    <w:next w:val="Normal"/>
    <w:rsid w:val="00CA773A"/>
    <w:pPr>
      <w:pBdr>
        <w:top w:val="single" w:sz="6" w:space="1" w:color="auto"/>
        <w:between w:val="single" w:sz="6" w:space="1" w:color="auto"/>
      </w:pBdr>
      <w:spacing w:before="240"/>
      <w:ind w:left="1728"/>
    </w:pPr>
  </w:style>
  <w:style w:type="paragraph" w:styleId="BlockText">
    <w:name w:val="Block Text"/>
    <w:basedOn w:val="Normal"/>
    <w:rsid w:val="00CA773A"/>
  </w:style>
  <w:style w:type="paragraph" w:styleId="ListParagraph">
    <w:name w:val="List Paragraph"/>
    <w:basedOn w:val="Normal"/>
    <w:uiPriority w:val="34"/>
    <w:qFormat/>
    <w:rsid w:val="00CA773A"/>
    <w:pPr>
      <w:ind w:left="720"/>
    </w:pPr>
  </w:style>
  <w:style w:type="character" w:styleId="Hyperlink">
    <w:name w:val="Hyperlink"/>
    <w:basedOn w:val="DefaultParagraphFont"/>
    <w:uiPriority w:val="99"/>
    <w:unhideWhenUsed/>
    <w:rsid w:val="00886A29"/>
    <w:rPr>
      <w:color w:val="0000FF" w:themeColor="hyperlink"/>
      <w:u w:val="single"/>
    </w:rPr>
  </w:style>
  <w:style w:type="paragraph" w:customStyle="1" w:styleId="BulletText1">
    <w:name w:val="Bullet Text 1"/>
    <w:basedOn w:val="Normal"/>
    <w:rsid w:val="004F1418"/>
    <w:pPr>
      <w:numPr>
        <w:numId w:val="14"/>
      </w:numPr>
      <w:tabs>
        <w:tab w:val="clear" w:pos="360"/>
      </w:tabs>
      <w:ind w:left="187" w:hanging="187"/>
    </w:pPr>
  </w:style>
  <w:style w:type="paragraph" w:customStyle="1" w:styleId="TableText">
    <w:name w:val="Table Text"/>
    <w:basedOn w:val="Normal"/>
    <w:rsid w:val="004F1418"/>
  </w:style>
  <w:style w:type="paragraph" w:customStyle="1" w:styleId="TableHeaderText">
    <w:name w:val="Table Header Text"/>
    <w:basedOn w:val="Normal"/>
    <w:rsid w:val="004F1418"/>
    <w:pPr>
      <w:jc w:val="center"/>
    </w:pPr>
    <w:rPr>
      <w:b/>
    </w:rPr>
  </w:style>
  <w:style w:type="character" w:customStyle="1" w:styleId="Heading2Char">
    <w:name w:val="Heading 2 Char"/>
    <w:basedOn w:val="DefaultParagraphFont"/>
    <w:link w:val="Heading2"/>
    <w:uiPriority w:val="9"/>
    <w:semiHidden/>
    <w:rsid w:val="00210364"/>
    <w:rPr>
      <w:rFonts w:asciiTheme="majorHAnsi" w:eastAsiaTheme="majorEastAsia" w:hAnsiTheme="majorHAnsi" w:cstheme="majorBidi"/>
      <w:b/>
      <w:bCs/>
      <w:color w:val="4F81BD" w:themeColor="accent1"/>
      <w:sz w:val="26"/>
      <w:szCs w:val="26"/>
    </w:rPr>
  </w:style>
  <w:style w:type="paragraph" w:customStyle="1" w:styleId="MemoLine">
    <w:name w:val="Memo Line"/>
    <w:basedOn w:val="BlockLine"/>
    <w:next w:val="Normal"/>
    <w:rsid w:val="00210364"/>
    <w:pPr>
      <w:ind w:left="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88DBA-A19A-4ED1-961E-37AD78A07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Pages>
  <Words>1253</Words>
  <Characters>7144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Kaiser Permanente</Company>
  <LinksUpToDate>false</LinksUpToDate>
  <CharactersWithSpaces>8381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f316195</dc:creator>
  <cp:keywords/>
  <dc:description/>
  <cp:lastModifiedBy>f316195</cp:lastModifiedBy>
  <cp:revision>29</cp:revision>
  <cp:lastPrinted>2012-12-20T21:24:00Z</cp:lastPrinted>
  <dcterms:created xsi:type="dcterms:W3CDTF">2012-11-02T22:18:00Z</dcterms:created>
  <dcterms:modified xsi:type="dcterms:W3CDTF">2012-12-20T21:40:00Z</dcterms:modified>
</cp:coreProperties>
</file>