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EC" w:rsidRDefault="002C08EC" w:rsidP="002C08EC">
      <w:pPr>
        <w:pStyle w:val="PlainText"/>
        <w:jc w:val="center"/>
        <w:rPr>
          <w:rFonts w:ascii="Arial" w:hAnsi="Arial" w:cs="Arial"/>
          <w:b/>
          <w:sz w:val="24"/>
        </w:rPr>
      </w:pPr>
      <w:bookmarkStart w:id="0" w:name="_GoBack"/>
      <w:bookmarkEnd w:id="0"/>
      <w:r w:rsidRPr="009E0202">
        <w:rPr>
          <w:rFonts w:ascii="Arial" w:hAnsi="Arial" w:cs="Arial"/>
          <w:b/>
          <w:sz w:val="24"/>
        </w:rPr>
        <w:t xml:space="preserve">LAB Dept MEETING </w:t>
      </w:r>
      <w:r>
        <w:rPr>
          <w:rFonts w:ascii="Arial" w:hAnsi="Arial" w:cs="Arial"/>
          <w:b/>
          <w:sz w:val="24"/>
        </w:rPr>
        <w:t>–</w:t>
      </w:r>
      <w:r w:rsidRPr="009E0202">
        <w:rPr>
          <w:rFonts w:ascii="Arial" w:hAnsi="Arial" w:cs="Arial"/>
          <w:b/>
          <w:sz w:val="24"/>
        </w:rPr>
        <w:t xml:space="preserve"> Huddles</w:t>
      </w:r>
    </w:p>
    <w:p w:rsidR="002C08EC" w:rsidRPr="009E0202" w:rsidRDefault="002C08EC" w:rsidP="002C08EC">
      <w:pPr>
        <w:pStyle w:val="PlainText"/>
        <w:jc w:val="center"/>
        <w:rPr>
          <w:rFonts w:ascii="Arial" w:hAnsi="Arial" w:cs="Arial"/>
          <w:b/>
          <w:sz w:val="24"/>
        </w:rPr>
      </w:pPr>
    </w:p>
    <w:p w:rsidR="002C08EC" w:rsidRDefault="002C08EC" w:rsidP="002C08EC">
      <w:pPr>
        <w:pStyle w:val="PlainText"/>
        <w:rPr>
          <w:sz w:val="24"/>
        </w:rPr>
      </w:pPr>
      <w:r w:rsidRPr="009E0202">
        <w:rPr>
          <w:rFonts w:ascii="Arial" w:hAnsi="Arial" w:cs="Arial"/>
          <w:b/>
          <w:color w:val="0000FF"/>
          <w:sz w:val="24"/>
        </w:rPr>
        <w:t>Date of Meeting</w:t>
      </w:r>
      <w:r>
        <w:rPr>
          <w:sz w:val="24"/>
        </w:rPr>
        <w:t xml:space="preserve">: </w:t>
      </w:r>
      <w:r w:rsidR="006D5276">
        <w:rPr>
          <w:sz w:val="24"/>
        </w:rPr>
        <w:t>January 17, 2016</w:t>
      </w:r>
    </w:p>
    <w:p w:rsidR="002C08EC" w:rsidRPr="009E0202" w:rsidRDefault="002C08EC" w:rsidP="002C08EC">
      <w:pPr>
        <w:pStyle w:val="PlainText"/>
        <w:rPr>
          <w:rFonts w:ascii="Arial" w:hAnsi="Arial" w:cs="Arial"/>
          <w:sz w:val="24"/>
        </w:rPr>
      </w:pPr>
      <w:r w:rsidRPr="009E0202">
        <w:rPr>
          <w:rFonts w:ascii="Arial" w:hAnsi="Arial" w:cs="Arial"/>
          <w:b/>
          <w:color w:val="0000FF"/>
          <w:sz w:val="24"/>
        </w:rPr>
        <w:t>Attendees</w:t>
      </w:r>
      <w:r w:rsidRPr="009E0202">
        <w:rPr>
          <w:rFonts w:ascii="Arial" w:hAnsi="Arial" w:cs="Arial"/>
          <w:sz w:val="24"/>
        </w:rPr>
        <w:t>:</w:t>
      </w:r>
      <w:r>
        <w:rPr>
          <w:rFonts w:ascii="Arial" w:hAnsi="Arial" w:cs="Arial"/>
          <w:sz w:val="24"/>
        </w:rPr>
        <w:t xml:space="preserve"> </w:t>
      </w:r>
      <w:r w:rsidR="006D5276">
        <w:rPr>
          <w:rFonts w:ascii="Arial" w:hAnsi="Arial" w:cs="Arial"/>
          <w:sz w:val="24"/>
        </w:rPr>
        <w:t>Jocelyn Ybarra, Priscila Dar, Raquel Lecaro, Maria Villafuerte, Tammy Rantung, Tessa Strickland, Letty Fajardo, Mark Gomez, Elliot Faure, Erin Straub, Janet Gerges, Melanie Magee, Marietes Gonzalez, Marissa Calilung, Patricia Jasper, Rika Wakelin</w:t>
      </w:r>
    </w:p>
    <w:p w:rsidR="002C08EC" w:rsidRDefault="002C08EC" w:rsidP="002C08EC">
      <w:pPr>
        <w:pStyle w:val="Heade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480"/>
        <w:gridCol w:w="2160"/>
      </w:tblGrid>
      <w:tr w:rsidR="002C08EC" w:rsidRPr="003B0BB6" w:rsidTr="00115DD1">
        <w:trPr>
          <w:trHeight w:val="440"/>
        </w:trPr>
        <w:tc>
          <w:tcPr>
            <w:tcW w:w="225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Topic</w:t>
            </w:r>
          </w:p>
        </w:tc>
        <w:tc>
          <w:tcPr>
            <w:tcW w:w="6480" w:type="dxa"/>
            <w:shd w:val="clear" w:color="auto" w:fill="auto"/>
          </w:tcPr>
          <w:p w:rsidR="002C08EC" w:rsidRPr="003B0BB6" w:rsidRDefault="002C08EC" w:rsidP="00115DD1">
            <w:pPr>
              <w:pStyle w:val="PlainText"/>
              <w:ind w:left="360"/>
              <w:rPr>
                <w:rFonts w:ascii="Arial" w:hAnsi="Arial" w:cs="Arial"/>
                <w:b/>
                <w:sz w:val="22"/>
              </w:rPr>
            </w:pPr>
            <w:r w:rsidRPr="003B0BB6">
              <w:rPr>
                <w:rFonts w:ascii="Arial" w:hAnsi="Arial" w:cs="Arial"/>
                <w:b/>
                <w:sz w:val="22"/>
              </w:rPr>
              <w:t>Details</w:t>
            </w:r>
          </w:p>
        </w:tc>
        <w:tc>
          <w:tcPr>
            <w:tcW w:w="216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Action Item, responsible person, date due, or informational only</w:t>
            </w:r>
          </w:p>
        </w:tc>
      </w:tr>
      <w:tr w:rsidR="002C08EC" w:rsidRPr="003B0BB6" w:rsidTr="006D5276">
        <w:trPr>
          <w:trHeight w:val="485"/>
        </w:trPr>
        <w:tc>
          <w:tcPr>
            <w:tcW w:w="2250" w:type="dxa"/>
            <w:shd w:val="clear" w:color="auto" w:fill="auto"/>
          </w:tcPr>
          <w:p w:rsidR="002C08EC" w:rsidRDefault="002C08EC" w:rsidP="00115DD1">
            <w:pPr>
              <w:pStyle w:val="PlainText"/>
              <w:rPr>
                <w:rFonts w:ascii="Arial" w:hAnsi="Arial" w:cs="Arial"/>
                <w:sz w:val="22"/>
              </w:rPr>
            </w:pPr>
            <w:r>
              <w:rPr>
                <w:rFonts w:ascii="Arial" w:hAnsi="Arial" w:cs="Arial"/>
                <w:sz w:val="22"/>
              </w:rPr>
              <w:t>KUDOS</w:t>
            </w:r>
          </w:p>
          <w:p w:rsidR="002C08EC" w:rsidRDefault="002C08EC" w:rsidP="00115DD1">
            <w:pPr>
              <w:pStyle w:val="PlainText"/>
              <w:rPr>
                <w:rFonts w:ascii="Arial" w:hAnsi="Arial" w:cs="Arial"/>
                <w:sz w:val="22"/>
              </w:rPr>
            </w:pPr>
          </w:p>
        </w:tc>
        <w:tc>
          <w:tcPr>
            <w:tcW w:w="6480" w:type="dxa"/>
            <w:shd w:val="clear" w:color="auto" w:fill="auto"/>
          </w:tcPr>
          <w:p w:rsidR="00BF34DC" w:rsidRPr="00DB713A" w:rsidRDefault="006D5276" w:rsidP="001E1724">
            <w:pPr>
              <w:pStyle w:val="NoSpacing"/>
              <w:numPr>
                <w:ilvl w:val="0"/>
                <w:numId w:val="3"/>
              </w:numPr>
              <w:rPr>
                <w:rFonts w:ascii="Arial" w:hAnsi="Arial" w:cs="Arial"/>
              </w:rPr>
            </w:pPr>
            <w:r>
              <w:rPr>
                <w:rFonts w:ascii="Arial" w:hAnsi="Arial" w:cs="Arial"/>
              </w:rPr>
              <w:t>none</w:t>
            </w:r>
          </w:p>
        </w:tc>
        <w:tc>
          <w:tcPr>
            <w:tcW w:w="2160" w:type="dxa"/>
            <w:shd w:val="clear" w:color="auto" w:fill="auto"/>
          </w:tcPr>
          <w:p w:rsidR="002C08EC" w:rsidRDefault="00BF34DC" w:rsidP="00115DD1">
            <w:pPr>
              <w:pStyle w:val="PlainText"/>
              <w:rPr>
                <w:rFonts w:ascii="Arial" w:hAnsi="Arial" w:cs="Arial"/>
                <w:sz w:val="22"/>
              </w:rPr>
            </w:pPr>
            <w:r>
              <w:rPr>
                <w:rFonts w:ascii="Arial" w:hAnsi="Arial" w:cs="Arial"/>
                <w:sz w:val="22"/>
              </w:rPr>
              <w:t>Informational</w:t>
            </w:r>
          </w:p>
        </w:tc>
      </w:tr>
      <w:tr w:rsidR="002C08EC" w:rsidRPr="003B0BB6" w:rsidTr="00115DD1">
        <w:trPr>
          <w:trHeight w:val="710"/>
        </w:trPr>
        <w:tc>
          <w:tcPr>
            <w:tcW w:w="2250" w:type="dxa"/>
            <w:shd w:val="clear" w:color="auto" w:fill="auto"/>
          </w:tcPr>
          <w:p w:rsidR="002C08EC" w:rsidRPr="003B0BB6" w:rsidRDefault="006D5276" w:rsidP="00115DD1">
            <w:pPr>
              <w:pStyle w:val="PlainText"/>
              <w:rPr>
                <w:rFonts w:ascii="Arial" w:hAnsi="Arial" w:cs="Arial"/>
                <w:sz w:val="22"/>
              </w:rPr>
            </w:pPr>
            <w:r>
              <w:rPr>
                <w:rFonts w:ascii="Arial" w:hAnsi="Arial" w:cs="Arial"/>
                <w:sz w:val="22"/>
              </w:rPr>
              <w:t>SAFETY TIP</w:t>
            </w:r>
          </w:p>
        </w:tc>
        <w:tc>
          <w:tcPr>
            <w:tcW w:w="6480" w:type="dxa"/>
            <w:shd w:val="clear" w:color="auto" w:fill="auto"/>
          </w:tcPr>
          <w:p w:rsidR="002C08EC" w:rsidRPr="006D5276" w:rsidRDefault="006D5276" w:rsidP="002C08EC">
            <w:pPr>
              <w:pStyle w:val="PlainText"/>
              <w:numPr>
                <w:ilvl w:val="0"/>
                <w:numId w:val="1"/>
              </w:numPr>
              <w:rPr>
                <w:rFonts w:ascii="Arial" w:hAnsi="Arial" w:cs="Arial"/>
                <w:sz w:val="22"/>
              </w:rPr>
            </w:pPr>
            <w:r>
              <w:rPr>
                <w:rFonts w:ascii="Arial" w:hAnsi="Arial" w:cs="Arial"/>
              </w:rPr>
              <w:t>C</w:t>
            </w:r>
            <w:r w:rsidRPr="006D5276">
              <w:rPr>
                <w:rFonts w:ascii="Arial" w:hAnsi="Arial" w:cs="Arial"/>
              </w:rPr>
              <w:t>ontinue to communicate during hand off any patient issues such as combative patients to alert teammates</w:t>
            </w:r>
            <w:r>
              <w:rPr>
                <w:rFonts w:ascii="Arial" w:hAnsi="Arial" w:cs="Arial"/>
              </w:rPr>
              <w:t>.</w:t>
            </w:r>
          </w:p>
          <w:p w:rsidR="006D5276" w:rsidRPr="006D5276" w:rsidRDefault="006D5276" w:rsidP="006D5276">
            <w:pPr>
              <w:pStyle w:val="PlainText"/>
              <w:ind w:left="720"/>
              <w:rPr>
                <w:rFonts w:ascii="Arial" w:hAnsi="Arial" w:cs="Arial"/>
                <w:sz w:val="22"/>
              </w:rPr>
            </w:pPr>
          </w:p>
          <w:p w:rsidR="006D5276" w:rsidRPr="006D5276" w:rsidRDefault="006D5276" w:rsidP="006D5276">
            <w:pPr>
              <w:pStyle w:val="PlainText"/>
              <w:numPr>
                <w:ilvl w:val="0"/>
                <w:numId w:val="1"/>
              </w:numPr>
              <w:rPr>
                <w:rFonts w:ascii="Arial" w:hAnsi="Arial" w:cs="Arial"/>
                <w:sz w:val="22"/>
              </w:rPr>
            </w:pPr>
            <w:r w:rsidRPr="006D5276">
              <w:rPr>
                <w:rFonts w:ascii="Arial" w:hAnsi="Arial" w:cs="Arial"/>
              </w:rPr>
              <w:t>It’s been raining lately, be careful when driving, too many potholes on the road.</w:t>
            </w:r>
          </w:p>
          <w:p w:rsidR="006D5276" w:rsidRPr="006D5276" w:rsidRDefault="006D5276" w:rsidP="006D5276">
            <w:pPr>
              <w:pStyle w:val="PlainText"/>
              <w:ind w:left="720"/>
              <w:rPr>
                <w:rFonts w:ascii="Arial" w:hAnsi="Arial" w:cs="Arial"/>
                <w:sz w:val="22"/>
              </w:rPr>
            </w:pPr>
          </w:p>
        </w:tc>
        <w:tc>
          <w:tcPr>
            <w:tcW w:w="2160" w:type="dxa"/>
            <w:shd w:val="clear" w:color="auto" w:fill="auto"/>
          </w:tcPr>
          <w:p w:rsidR="002C08EC" w:rsidRPr="003B0BB6" w:rsidRDefault="006D5276" w:rsidP="00115DD1">
            <w:pPr>
              <w:pStyle w:val="PlainText"/>
              <w:rPr>
                <w:rFonts w:ascii="Arial" w:hAnsi="Arial" w:cs="Arial"/>
                <w:sz w:val="22"/>
              </w:rPr>
            </w:pPr>
            <w:r>
              <w:rPr>
                <w:rFonts w:ascii="Arial" w:hAnsi="Arial" w:cs="Arial"/>
                <w:sz w:val="22"/>
              </w:rPr>
              <w:t>A</w:t>
            </w:r>
            <w:r w:rsidR="002C08EC" w:rsidRPr="003B0BB6">
              <w:rPr>
                <w:rFonts w:ascii="Arial" w:hAnsi="Arial" w:cs="Arial"/>
                <w:sz w:val="22"/>
              </w:rPr>
              <w:t>LL STAFF</w:t>
            </w:r>
          </w:p>
        </w:tc>
      </w:tr>
      <w:tr w:rsidR="00E055B6" w:rsidRPr="003B0BB6" w:rsidTr="00115DD1">
        <w:trPr>
          <w:trHeight w:val="2195"/>
        </w:trPr>
        <w:tc>
          <w:tcPr>
            <w:tcW w:w="2250" w:type="dxa"/>
            <w:shd w:val="clear" w:color="auto" w:fill="auto"/>
          </w:tcPr>
          <w:p w:rsidR="00E055B6" w:rsidRDefault="00E055B6" w:rsidP="00115DD1">
            <w:pPr>
              <w:pStyle w:val="PlainText"/>
              <w:rPr>
                <w:rFonts w:ascii="Arial" w:hAnsi="Arial" w:cs="Arial"/>
                <w:sz w:val="22"/>
              </w:rPr>
            </w:pPr>
            <w:r>
              <w:rPr>
                <w:rFonts w:ascii="Arial" w:hAnsi="Arial" w:cs="Arial"/>
                <w:sz w:val="22"/>
              </w:rPr>
              <w:t>Processing Sterile Culture and Gram Stain</w:t>
            </w:r>
          </w:p>
        </w:tc>
        <w:tc>
          <w:tcPr>
            <w:tcW w:w="6480" w:type="dxa"/>
            <w:shd w:val="clear" w:color="auto" w:fill="auto"/>
          </w:tcPr>
          <w:p w:rsidR="00E055B6" w:rsidRDefault="00E055B6" w:rsidP="00E055B6">
            <w:pPr>
              <w:pStyle w:val="ListParagraph"/>
              <w:numPr>
                <w:ilvl w:val="0"/>
                <w:numId w:val="6"/>
              </w:numPr>
            </w:pPr>
            <w:r>
              <w:t>Reminder, do not process culture and gram stain from sterile sites other than BF source.</w:t>
            </w:r>
          </w:p>
          <w:p w:rsidR="00E055B6" w:rsidRDefault="00E055B6" w:rsidP="00E055B6">
            <w:pPr>
              <w:pStyle w:val="ListParagraph"/>
            </w:pPr>
            <w:r>
              <w:t xml:space="preserve">We have 2 bones and 3 tissues from Dec that was processed. </w:t>
            </w:r>
          </w:p>
        </w:tc>
        <w:tc>
          <w:tcPr>
            <w:tcW w:w="2160" w:type="dxa"/>
            <w:shd w:val="clear" w:color="auto" w:fill="auto"/>
          </w:tcPr>
          <w:p w:rsidR="00E055B6" w:rsidRDefault="00E055B6" w:rsidP="00115DD1">
            <w:pPr>
              <w:pStyle w:val="PlainText"/>
              <w:rPr>
                <w:rFonts w:ascii="Arial" w:hAnsi="Arial" w:cs="Arial"/>
                <w:sz w:val="22"/>
              </w:rPr>
            </w:pPr>
            <w:r>
              <w:rPr>
                <w:rFonts w:ascii="Arial" w:hAnsi="Arial" w:cs="Arial"/>
                <w:sz w:val="22"/>
              </w:rPr>
              <w:t>ALL STAFF</w:t>
            </w:r>
          </w:p>
        </w:tc>
      </w:tr>
      <w:tr w:rsidR="00E055B6" w:rsidRPr="003B0BB6" w:rsidTr="00E055B6">
        <w:trPr>
          <w:trHeight w:val="953"/>
        </w:trPr>
        <w:tc>
          <w:tcPr>
            <w:tcW w:w="2250" w:type="dxa"/>
            <w:shd w:val="clear" w:color="auto" w:fill="auto"/>
          </w:tcPr>
          <w:p w:rsidR="00E055B6" w:rsidRDefault="00E055B6" w:rsidP="00115DD1">
            <w:pPr>
              <w:pStyle w:val="PlainText"/>
              <w:rPr>
                <w:rFonts w:ascii="Arial" w:hAnsi="Arial" w:cs="Arial"/>
                <w:sz w:val="22"/>
              </w:rPr>
            </w:pPr>
            <w:r>
              <w:rPr>
                <w:rFonts w:ascii="Arial" w:hAnsi="Arial" w:cs="Arial"/>
                <w:sz w:val="22"/>
              </w:rPr>
              <w:t>Thrombin</w:t>
            </w:r>
          </w:p>
        </w:tc>
        <w:tc>
          <w:tcPr>
            <w:tcW w:w="6480" w:type="dxa"/>
            <w:shd w:val="clear" w:color="auto" w:fill="auto"/>
          </w:tcPr>
          <w:p w:rsidR="00E055B6" w:rsidRDefault="00E055B6" w:rsidP="006D5276">
            <w:r>
              <w:t>We will discontinue performing Thrombin in-house effective January 31, 2017. We will send specimen to regional lab.</w:t>
            </w:r>
          </w:p>
        </w:tc>
        <w:tc>
          <w:tcPr>
            <w:tcW w:w="2160" w:type="dxa"/>
            <w:shd w:val="clear" w:color="auto" w:fill="auto"/>
          </w:tcPr>
          <w:p w:rsidR="00E055B6" w:rsidRDefault="00E055B6" w:rsidP="00115DD1">
            <w:pPr>
              <w:pStyle w:val="PlainText"/>
              <w:rPr>
                <w:rFonts w:ascii="Arial" w:hAnsi="Arial" w:cs="Arial"/>
                <w:sz w:val="22"/>
              </w:rPr>
            </w:pPr>
            <w:r>
              <w:rPr>
                <w:rFonts w:ascii="Arial" w:hAnsi="Arial" w:cs="Arial"/>
                <w:sz w:val="22"/>
              </w:rPr>
              <w:t>ALL STAFF</w:t>
            </w:r>
          </w:p>
        </w:tc>
      </w:tr>
      <w:tr w:rsidR="006D5276" w:rsidRPr="003B0BB6" w:rsidTr="00115DD1">
        <w:trPr>
          <w:trHeight w:val="2195"/>
        </w:trPr>
        <w:tc>
          <w:tcPr>
            <w:tcW w:w="2250" w:type="dxa"/>
            <w:shd w:val="clear" w:color="auto" w:fill="auto"/>
          </w:tcPr>
          <w:p w:rsidR="006D5276" w:rsidRDefault="006D5276" w:rsidP="00115DD1">
            <w:pPr>
              <w:pStyle w:val="PlainText"/>
              <w:rPr>
                <w:rFonts w:ascii="Arial" w:hAnsi="Arial" w:cs="Arial"/>
                <w:sz w:val="22"/>
              </w:rPr>
            </w:pPr>
            <w:r>
              <w:rPr>
                <w:rFonts w:ascii="Arial" w:hAnsi="Arial" w:cs="Arial"/>
                <w:sz w:val="22"/>
              </w:rPr>
              <w:t xml:space="preserve">Inpatient Micro TAT </w:t>
            </w:r>
          </w:p>
        </w:tc>
        <w:tc>
          <w:tcPr>
            <w:tcW w:w="6480" w:type="dxa"/>
            <w:shd w:val="clear" w:color="auto" w:fill="auto"/>
          </w:tcPr>
          <w:p w:rsidR="006D5276" w:rsidRDefault="006D5276" w:rsidP="006D5276">
            <w:r>
              <w:t>MVMC lab has improved since we started the new process.</w:t>
            </w:r>
          </w:p>
          <w:p w:rsidR="006D5276" w:rsidRDefault="006D5276" w:rsidP="006D5276">
            <w:pPr>
              <w:pStyle w:val="ListParagraph"/>
            </w:pPr>
            <w:r>
              <w:t>Please continue to open and close transfer list within 2-3 hours. That should give us at least 2 transfer lists per shift.</w:t>
            </w:r>
          </w:p>
          <w:p w:rsidR="006D5276" w:rsidRDefault="006D5276" w:rsidP="006D5276">
            <w:pPr>
              <w:pStyle w:val="ListParagraph"/>
            </w:pPr>
          </w:p>
          <w:p w:rsidR="006D5276" w:rsidRDefault="006D5276" w:rsidP="006D5276">
            <w:pPr>
              <w:pStyle w:val="ListParagraph"/>
            </w:pPr>
            <w:r>
              <w:t xml:space="preserve">Had 2 days on the week of Jan 1-7 that we did 1 transfer list in the morning shift. </w:t>
            </w:r>
          </w:p>
        </w:tc>
        <w:tc>
          <w:tcPr>
            <w:tcW w:w="2160" w:type="dxa"/>
            <w:shd w:val="clear" w:color="auto" w:fill="auto"/>
          </w:tcPr>
          <w:p w:rsidR="006D5276" w:rsidRDefault="00E055B6" w:rsidP="00115DD1">
            <w:pPr>
              <w:pStyle w:val="PlainText"/>
              <w:rPr>
                <w:rFonts w:ascii="Arial" w:hAnsi="Arial" w:cs="Arial"/>
                <w:sz w:val="22"/>
              </w:rPr>
            </w:pPr>
            <w:r>
              <w:rPr>
                <w:rFonts w:ascii="Arial" w:hAnsi="Arial" w:cs="Arial"/>
                <w:sz w:val="22"/>
              </w:rPr>
              <w:t>Phlebotomist</w:t>
            </w:r>
          </w:p>
        </w:tc>
      </w:tr>
      <w:tr w:rsidR="006D5276" w:rsidRPr="003B0BB6" w:rsidTr="00E055B6">
        <w:trPr>
          <w:trHeight w:val="1520"/>
        </w:trPr>
        <w:tc>
          <w:tcPr>
            <w:tcW w:w="2250" w:type="dxa"/>
            <w:shd w:val="clear" w:color="auto" w:fill="auto"/>
          </w:tcPr>
          <w:p w:rsidR="006D5276" w:rsidRDefault="006D5276" w:rsidP="00115DD1">
            <w:pPr>
              <w:pStyle w:val="PlainText"/>
              <w:rPr>
                <w:rFonts w:ascii="Arial" w:hAnsi="Arial" w:cs="Arial"/>
                <w:sz w:val="22"/>
              </w:rPr>
            </w:pPr>
            <w:r>
              <w:rPr>
                <w:rFonts w:ascii="Arial" w:hAnsi="Arial" w:cs="Arial"/>
                <w:sz w:val="22"/>
              </w:rPr>
              <w:t xml:space="preserve">Storing of </w:t>
            </w:r>
            <w:r w:rsidR="00E055B6">
              <w:rPr>
                <w:rFonts w:ascii="Arial" w:hAnsi="Arial" w:cs="Arial"/>
                <w:sz w:val="22"/>
              </w:rPr>
              <w:t xml:space="preserve">documents </w:t>
            </w:r>
          </w:p>
        </w:tc>
        <w:tc>
          <w:tcPr>
            <w:tcW w:w="6480" w:type="dxa"/>
            <w:shd w:val="clear" w:color="auto" w:fill="auto"/>
          </w:tcPr>
          <w:p w:rsidR="006D5276" w:rsidRDefault="00E055B6" w:rsidP="006D5276">
            <w:r>
              <w:t>We have approval from Denise to save documents such as ED orders, NBS, transfer lists, etc.  for one month.</w:t>
            </w:r>
          </w:p>
          <w:p w:rsidR="00E055B6" w:rsidRDefault="00E055B6" w:rsidP="00E055B6">
            <w:r>
              <w:t>Pathology log must kept indefinitely.</w:t>
            </w:r>
          </w:p>
        </w:tc>
        <w:tc>
          <w:tcPr>
            <w:tcW w:w="2160" w:type="dxa"/>
            <w:shd w:val="clear" w:color="auto" w:fill="auto"/>
          </w:tcPr>
          <w:p w:rsidR="006D5276" w:rsidRDefault="00E055B6" w:rsidP="00115DD1">
            <w:pPr>
              <w:pStyle w:val="PlainText"/>
              <w:rPr>
                <w:rFonts w:ascii="Arial" w:hAnsi="Arial" w:cs="Arial"/>
                <w:sz w:val="22"/>
              </w:rPr>
            </w:pPr>
            <w:r>
              <w:rPr>
                <w:rFonts w:ascii="Arial" w:hAnsi="Arial" w:cs="Arial"/>
                <w:sz w:val="22"/>
              </w:rPr>
              <w:t>Phlebotomist</w:t>
            </w:r>
          </w:p>
        </w:tc>
      </w:tr>
      <w:tr w:rsidR="00E055B6" w:rsidRPr="003B0BB6" w:rsidTr="00E055B6">
        <w:trPr>
          <w:trHeight w:val="1520"/>
        </w:trPr>
        <w:tc>
          <w:tcPr>
            <w:tcW w:w="2250" w:type="dxa"/>
            <w:shd w:val="clear" w:color="auto" w:fill="auto"/>
          </w:tcPr>
          <w:p w:rsidR="00E055B6" w:rsidRDefault="00E055B6" w:rsidP="00115DD1">
            <w:pPr>
              <w:pStyle w:val="PlainText"/>
              <w:rPr>
                <w:rFonts w:ascii="Arial" w:hAnsi="Arial" w:cs="Arial"/>
                <w:sz w:val="22"/>
              </w:rPr>
            </w:pPr>
            <w:r>
              <w:rPr>
                <w:rFonts w:ascii="Arial" w:hAnsi="Arial" w:cs="Arial"/>
                <w:sz w:val="22"/>
              </w:rPr>
              <w:lastRenderedPageBreak/>
              <w:t>Specimen Processing Reminders</w:t>
            </w:r>
          </w:p>
        </w:tc>
        <w:tc>
          <w:tcPr>
            <w:tcW w:w="6480" w:type="dxa"/>
            <w:shd w:val="clear" w:color="auto" w:fill="auto"/>
          </w:tcPr>
          <w:p w:rsidR="00E055B6" w:rsidRDefault="00E055B6" w:rsidP="00E055B6">
            <w:pPr>
              <w:pStyle w:val="ListParagraph"/>
              <w:numPr>
                <w:ilvl w:val="0"/>
                <w:numId w:val="1"/>
              </w:numPr>
            </w:pPr>
            <w:r>
              <w:t xml:space="preserve">Lab staff needs to be the one putting formalin on specimens due to safety and educational reasons. </w:t>
            </w:r>
          </w:p>
          <w:p w:rsidR="00E055B6" w:rsidRDefault="00E055B6" w:rsidP="00E055B6">
            <w:pPr>
              <w:pStyle w:val="ListParagraph"/>
            </w:pPr>
          </w:p>
          <w:p w:rsidR="00E055B6" w:rsidRDefault="00E055B6" w:rsidP="00E055B6">
            <w:pPr>
              <w:pStyle w:val="ListParagraph"/>
              <w:numPr>
                <w:ilvl w:val="0"/>
                <w:numId w:val="1"/>
              </w:numPr>
            </w:pPr>
            <w:r>
              <w:t>Reminder to send Methotrexate Stat to the next available courier. Put in a yellow bag; do not put in a blue rack! If necessary call CRL to check if there’s a regional courier around the area to pick up stat or use A-Line. Always check Lab Net for immunosuppressant drug level orders for specimen requirements and transport. Check Lab Net, call reference lab or escalate for any test that you’re not sure how to process.</w:t>
            </w:r>
          </w:p>
          <w:p w:rsidR="00E055B6" w:rsidRDefault="00E055B6" w:rsidP="00E055B6">
            <w:pPr>
              <w:pStyle w:val="ListParagraph"/>
            </w:pPr>
          </w:p>
          <w:p w:rsidR="00E055B6" w:rsidRDefault="00E055B6" w:rsidP="006D5276"/>
        </w:tc>
        <w:tc>
          <w:tcPr>
            <w:tcW w:w="2160" w:type="dxa"/>
            <w:shd w:val="clear" w:color="auto" w:fill="auto"/>
          </w:tcPr>
          <w:p w:rsidR="00E055B6" w:rsidRDefault="0051702A" w:rsidP="00115DD1">
            <w:pPr>
              <w:pStyle w:val="PlainText"/>
              <w:rPr>
                <w:rFonts w:ascii="Arial" w:hAnsi="Arial" w:cs="Arial"/>
                <w:sz w:val="22"/>
              </w:rPr>
            </w:pPr>
            <w:r>
              <w:rPr>
                <w:rFonts w:ascii="Arial" w:hAnsi="Arial" w:cs="Arial"/>
                <w:sz w:val="22"/>
              </w:rPr>
              <w:t>Phlebotomists</w:t>
            </w:r>
          </w:p>
        </w:tc>
      </w:tr>
      <w:tr w:rsidR="002C08EC" w:rsidRPr="003B0BB6" w:rsidTr="00115DD1">
        <w:trPr>
          <w:trHeight w:val="2195"/>
        </w:trPr>
        <w:tc>
          <w:tcPr>
            <w:tcW w:w="2250" w:type="dxa"/>
            <w:shd w:val="clear" w:color="auto" w:fill="auto"/>
          </w:tcPr>
          <w:p w:rsidR="002C08EC" w:rsidRPr="003B0BB6" w:rsidRDefault="006D5276" w:rsidP="00115DD1">
            <w:pPr>
              <w:pStyle w:val="PlainText"/>
              <w:rPr>
                <w:rFonts w:ascii="Arial" w:hAnsi="Arial" w:cs="Arial"/>
                <w:sz w:val="22"/>
              </w:rPr>
            </w:pPr>
            <w:r>
              <w:rPr>
                <w:rFonts w:ascii="Arial" w:hAnsi="Arial" w:cs="Arial"/>
                <w:sz w:val="22"/>
              </w:rPr>
              <w:t>Critical Call Process</w:t>
            </w:r>
          </w:p>
        </w:tc>
        <w:tc>
          <w:tcPr>
            <w:tcW w:w="6480" w:type="dxa"/>
            <w:shd w:val="clear" w:color="auto" w:fill="auto"/>
          </w:tcPr>
          <w:p w:rsidR="006D5276" w:rsidRDefault="006D5276" w:rsidP="006D5276">
            <w:r>
              <w:t>Critical call process review for Hematology Onco Outpatient (Should be same process on Saturdays and during holiday).</w:t>
            </w:r>
          </w:p>
          <w:p w:rsidR="006D5276" w:rsidRDefault="006D5276" w:rsidP="006D5276">
            <w:pPr>
              <w:pStyle w:val="ListParagraph"/>
              <w:numPr>
                <w:ilvl w:val="0"/>
                <w:numId w:val="5"/>
              </w:numPr>
            </w:pPr>
            <w:r>
              <w:t xml:space="preserve">Call module first and </w:t>
            </w:r>
            <w:r w:rsidRPr="006D5276">
              <w:rPr>
                <w:b/>
                <w:color w:val="FF0000"/>
              </w:rPr>
              <w:t>leave a call back message</w:t>
            </w:r>
            <w:r>
              <w:t>, if module is close, go to next step</w:t>
            </w:r>
          </w:p>
          <w:p w:rsidR="006D5276" w:rsidRDefault="006D5276" w:rsidP="006D5276">
            <w:pPr>
              <w:pStyle w:val="ListParagraph"/>
              <w:numPr>
                <w:ilvl w:val="0"/>
                <w:numId w:val="5"/>
              </w:numPr>
            </w:pPr>
            <w:r>
              <w:t xml:space="preserve">No response, call/page provider </w:t>
            </w:r>
          </w:p>
          <w:p w:rsidR="006D5276" w:rsidRDefault="006D5276" w:rsidP="006D5276">
            <w:pPr>
              <w:pStyle w:val="ListParagraph"/>
              <w:numPr>
                <w:ilvl w:val="0"/>
                <w:numId w:val="5"/>
              </w:numPr>
            </w:pPr>
            <w:r>
              <w:t>No response, escalate to manager</w:t>
            </w:r>
          </w:p>
          <w:p w:rsidR="006D5276" w:rsidRDefault="006D5276" w:rsidP="006D5276">
            <w:pPr>
              <w:pStyle w:val="ListParagraph"/>
              <w:numPr>
                <w:ilvl w:val="0"/>
                <w:numId w:val="5"/>
              </w:numPr>
            </w:pPr>
            <w:r>
              <w:t>Call Riv ED only after 1700.</w:t>
            </w:r>
          </w:p>
          <w:p w:rsidR="002C08EC" w:rsidRPr="00E055B6" w:rsidRDefault="002C08EC" w:rsidP="00E055B6">
            <w:pPr>
              <w:rPr>
                <w:rFonts w:ascii="Arial" w:hAnsi="Arial" w:cs="Arial"/>
              </w:rPr>
            </w:pPr>
          </w:p>
        </w:tc>
        <w:tc>
          <w:tcPr>
            <w:tcW w:w="2160" w:type="dxa"/>
            <w:shd w:val="clear" w:color="auto" w:fill="auto"/>
          </w:tcPr>
          <w:p w:rsidR="002C08EC" w:rsidRPr="003B0BB6" w:rsidRDefault="002C08EC" w:rsidP="00115DD1">
            <w:pPr>
              <w:pStyle w:val="PlainText"/>
              <w:rPr>
                <w:rFonts w:ascii="Arial" w:hAnsi="Arial" w:cs="Arial"/>
                <w:sz w:val="22"/>
              </w:rPr>
            </w:pPr>
            <w:r>
              <w:rPr>
                <w:rFonts w:ascii="Arial" w:hAnsi="Arial" w:cs="Arial"/>
                <w:sz w:val="22"/>
              </w:rPr>
              <w:t>CLS</w:t>
            </w:r>
          </w:p>
        </w:tc>
      </w:tr>
      <w:tr w:rsidR="002C08EC" w:rsidRPr="003B0BB6" w:rsidTr="00115DD1">
        <w:trPr>
          <w:trHeight w:val="665"/>
        </w:trPr>
        <w:tc>
          <w:tcPr>
            <w:tcW w:w="2250" w:type="dxa"/>
            <w:shd w:val="clear" w:color="auto" w:fill="auto"/>
          </w:tcPr>
          <w:p w:rsidR="002C08EC" w:rsidRPr="00E055B6" w:rsidRDefault="00E055B6" w:rsidP="00E055B6">
            <w:pPr>
              <w:rPr>
                <w:rFonts w:ascii="Arial" w:hAnsi="Arial" w:cs="Arial"/>
              </w:rPr>
            </w:pPr>
            <w:r>
              <w:rPr>
                <w:rFonts w:ascii="Arial" w:hAnsi="Arial" w:cs="Arial"/>
              </w:rPr>
              <w:t>iChem Velocity</w:t>
            </w:r>
          </w:p>
        </w:tc>
        <w:tc>
          <w:tcPr>
            <w:tcW w:w="6480" w:type="dxa"/>
            <w:shd w:val="clear" w:color="auto" w:fill="auto"/>
          </w:tcPr>
          <w:p w:rsidR="00E055B6" w:rsidRDefault="00E055B6" w:rsidP="00E055B6">
            <w:r>
              <w:t xml:space="preserve">iChem Velocity weekly maintenance reminder to do weekly when we load new strips. Check the maintenance log when you load new strips and perform weekly maintenance if not done that week. </w:t>
            </w:r>
          </w:p>
          <w:p w:rsidR="002C08EC" w:rsidRPr="00DB713A" w:rsidRDefault="002C08EC" w:rsidP="00E055B6">
            <w:pPr>
              <w:pStyle w:val="NoSpacing"/>
              <w:rPr>
                <w:rFonts w:ascii="Arial" w:hAnsi="Arial" w:cs="Arial"/>
              </w:rPr>
            </w:pPr>
          </w:p>
        </w:tc>
        <w:tc>
          <w:tcPr>
            <w:tcW w:w="2160" w:type="dxa"/>
            <w:shd w:val="clear" w:color="auto" w:fill="auto"/>
          </w:tcPr>
          <w:p w:rsidR="002C08EC" w:rsidRPr="003B0BB6" w:rsidRDefault="002C08EC" w:rsidP="00115DD1">
            <w:pPr>
              <w:pStyle w:val="PlainText"/>
              <w:rPr>
                <w:rFonts w:ascii="Arial" w:hAnsi="Arial" w:cs="Arial"/>
                <w:sz w:val="22"/>
              </w:rPr>
            </w:pPr>
            <w:r>
              <w:rPr>
                <w:rFonts w:ascii="Arial" w:hAnsi="Arial" w:cs="Arial"/>
                <w:sz w:val="22"/>
              </w:rPr>
              <w:t>CLS</w:t>
            </w:r>
          </w:p>
        </w:tc>
      </w:tr>
      <w:tr w:rsidR="002C08EC" w:rsidRPr="003B0BB6" w:rsidTr="00115DD1">
        <w:trPr>
          <w:trHeight w:val="1160"/>
        </w:trPr>
        <w:tc>
          <w:tcPr>
            <w:tcW w:w="2250" w:type="dxa"/>
            <w:shd w:val="clear" w:color="auto" w:fill="auto"/>
          </w:tcPr>
          <w:p w:rsidR="002C08EC" w:rsidRPr="003B0BB6" w:rsidRDefault="00E055B6" w:rsidP="00115DD1">
            <w:pPr>
              <w:pStyle w:val="PlainText"/>
              <w:rPr>
                <w:rFonts w:ascii="Arial" w:hAnsi="Arial" w:cs="Arial"/>
                <w:sz w:val="22"/>
              </w:rPr>
            </w:pPr>
            <w:r>
              <w:rPr>
                <w:rFonts w:ascii="Arial" w:hAnsi="Arial" w:cs="Arial"/>
                <w:sz w:val="22"/>
              </w:rPr>
              <w:t xml:space="preserve">UBT </w:t>
            </w:r>
          </w:p>
        </w:tc>
        <w:tc>
          <w:tcPr>
            <w:tcW w:w="6480" w:type="dxa"/>
            <w:shd w:val="clear" w:color="auto" w:fill="auto"/>
          </w:tcPr>
          <w:p w:rsidR="00E055B6" w:rsidRDefault="00E055B6" w:rsidP="00E055B6">
            <w:r>
              <w:t xml:space="preserve">Please submit your I CARE Star- employee of the quarter </w:t>
            </w:r>
          </w:p>
          <w:p w:rsidR="002C08EC" w:rsidRPr="00E055B6" w:rsidRDefault="002C08EC" w:rsidP="00E055B6">
            <w:pPr>
              <w:ind w:left="360"/>
              <w:rPr>
                <w:rFonts w:ascii="Arial" w:hAnsi="Arial" w:cs="Arial"/>
              </w:rPr>
            </w:pPr>
          </w:p>
        </w:tc>
        <w:tc>
          <w:tcPr>
            <w:tcW w:w="2160" w:type="dxa"/>
            <w:shd w:val="clear" w:color="auto" w:fill="auto"/>
          </w:tcPr>
          <w:p w:rsidR="002C08EC" w:rsidRPr="003B0BB6" w:rsidRDefault="00E055B6" w:rsidP="00115DD1">
            <w:pPr>
              <w:pStyle w:val="PlainText"/>
              <w:rPr>
                <w:rFonts w:ascii="Arial" w:hAnsi="Arial" w:cs="Arial"/>
                <w:sz w:val="22"/>
              </w:rPr>
            </w:pPr>
            <w:r>
              <w:rPr>
                <w:rFonts w:ascii="Arial" w:hAnsi="Arial" w:cs="Arial"/>
                <w:sz w:val="22"/>
              </w:rPr>
              <w:t>ALL STAFF</w:t>
            </w:r>
          </w:p>
        </w:tc>
      </w:tr>
    </w:tbl>
    <w:p w:rsidR="00E938B3" w:rsidRDefault="00CA0F4A"/>
    <w:p w:rsidR="002C08EC" w:rsidRPr="007948B7" w:rsidRDefault="002C08EC" w:rsidP="002C08EC">
      <w:pPr>
        <w:pStyle w:val="PlainText"/>
        <w:rPr>
          <w:rFonts w:ascii="Arial" w:hAnsi="Arial" w:cs="Arial"/>
          <w:sz w:val="28"/>
        </w:rPr>
      </w:pPr>
      <w:r w:rsidRPr="007948B7">
        <w:rPr>
          <w:rFonts w:ascii="Arial" w:hAnsi="Arial" w:cs="Arial"/>
          <w:sz w:val="28"/>
        </w:rPr>
        <w:t>This concludes the Minutes of the</w:t>
      </w:r>
      <w:r>
        <w:rPr>
          <w:rFonts w:ascii="Arial" w:hAnsi="Arial" w:cs="Arial"/>
          <w:sz w:val="28"/>
        </w:rPr>
        <w:t xml:space="preserve"> </w:t>
      </w:r>
      <w:r w:rsidR="00E055B6">
        <w:rPr>
          <w:rFonts w:ascii="Arial" w:hAnsi="Arial" w:cs="Arial"/>
          <w:sz w:val="28"/>
        </w:rPr>
        <w:t>January 17</w:t>
      </w:r>
      <w:r w:rsidR="001E1724">
        <w:rPr>
          <w:rFonts w:ascii="Arial" w:hAnsi="Arial" w:cs="Arial"/>
          <w:sz w:val="28"/>
        </w:rPr>
        <w:t>, 2017</w:t>
      </w:r>
      <w:r>
        <w:rPr>
          <w:rFonts w:ascii="Arial" w:hAnsi="Arial" w:cs="Arial"/>
          <w:sz w:val="28"/>
        </w:rPr>
        <w:t xml:space="preserve"> </w:t>
      </w:r>
      <w:r w:rsidRPr="007948B7">
        <w:rPr>
          <w:rFonts w:ascii="Arial" w:hAnsi="Arial" w:cs="Arial"/>
          <w:sz w:val="28"/>
        </w:rPr>
        <w:t>Lab Staff Meeting.</w:t>
      </w:r>
    </w:p>
    <w:p w:rsidR="002C08EC" w:rsidRPr="007948B7" w:rsidRDefault="002C08EC" w:rsidP="002C08EC">
      <w:pPr>
        <w:pStyle w:val="PlainText"/>
        <w:rPr>
          <w:rFonts w:ascii="Arial" w:hAnsi="Arial" w:cs="Arial"/>
          <w:sz w:val="28"/>
        </w:rPr>
      </w:pPr>
    </w:p>
    <w:p w:rsidR="002C08EC" w:rsidRDefault="002C08EC" w:rsidP="002C08EC">
      <w:pPr>
        <w:pStyle w:val="PlainText"/>
        <w:rPr>
          <w:rFonts w:ascii="Arial" w:hAnsi="Arial" w:cs="Arial"/>
          <w:sz w:val="28"/>
        </w:rPr>
      </w:pPr>
      <w:r w:rsidRPr="007948B7">
        <w:rPr>
          <w:rFonts w:ascii="Arial" w:hAnsi="Arial" w:cs="Arial"/>
          <w:sz w:val="28"/>
        </w:rPr>
        <w:t>Prepared by: __</w:t>
      </w:r>
      <w:r w:rsidR="00E055B6">
        <w:rPr>
          <w:rFonts w:ascii="Arial" w:hAnsi="Arial" w:cs="Arial"/>
          <w:sz w:val="28"/>
          <w:u w:val="single"/>
        </w:rPr>
        <w:t>Patricia Jasper</w:t>
      </w:r>
      <w:r w:rsidR="00E055B6">
        <w:rPr>
          <w:rFonts w:ascii="Arial" w:hAnsi="Arial" w:cs="Arial"/>
          <w:sz w:val="28"/>
        </w:rPr>
        <w:t xml:space="preserve">______   Date: </w:t>
      </w:r>
      <w:r w:rsidR="001E1724">
        <w:rPr>
          <w:rFonts w:ascii="Arial" w:hAnsi="Arial" w:cs="Arial"/>
          <w:sz w:val="28"/>
        </w:rPr>
        <w:t>___</w:t>
      </w:r>
      <w:r w:rsidR="00E055B6" w:rsidRPr="00E055B6">
        <w:rPr>
          <w:rFonts w:ascii="Arial" w:hAnsi="Arial" w:cs="Arial"/>
          <w:sz w:val="28"/>
          <w:u w:val="single"/>
        </w:rPr>
        <w:t>January 18, 2017</w:t>
      </w:r>
      <w:r w:rsidRPr="007948B7">
        <w:rPr>
          <w:rFonts w:ascii="Arial" w:hAnsi="Arial" w:cs="Arial"/>
          <w:sz w:val="28"/>
        </w:rPr>
        <w:t>____</w:t>
      </w:r>
    </w:p>
    <w:p w:rsidR="00E055B6" w:rsidRDefault="00E055B6" w:rsidP="002C08EC">
      <w:pPr>
        <w:pStyle w:val="PlainText"/>
        <w:rPr>
          <w:rFonts w:ascii="Arial" w:hAnsi="Arial" w:cs="Arial"/>
          <w:sz w:val="28"/>
        </w:rPr>
      </w:pPr>
    </w:p>
    <w:p w:rsidR="00E055B6" w:rsidRDefault="00E055B6" w:rsidP="002C08EC">
      <w:pPr>
        <w:pStyle w:val="PlainText"/>
        <w:rPr>
          <w:rFonts w:ascii="Arial" w:hAnsi="Arial" w:cs="Arial"/>
          <w:sz w:val="28"/>
        </w:rPr>
      </w:pPr>
    </w:p>
    <w:p w:rsidR="00E055B6" w:rsidRDefault="00E055B6" w:rsidP="002C08EC">
      <w:pPr>
        <w:pStyle w:val="PlainText"/>
        <w:rPr>
          <w:rFonts w:ascii="Arial" w:hAnsi="Arial" w:cs="Arial"/>
          <w:sz w:val="28"/>
        </w:rPr>
      </w:pPr>
    </w:p>
    <w:p w:rsidR="00E055B6" w:rsidRDefault="00E055B6" w:rsidP="002C08EC">
      <w:pPr>
        <w:pStyle w:val="PlainText"/>
        <w:rPr>
          <w:rFonts w:ascii="Arial" w:hAnsi="Arial" w:cs="Arial"/>
          <w:sz w:val="28"/>
        </w:rPr>
      </w:pPr>
    </w:p>
    <w:p w:rsidR="0048700C" w:rsidRPr="0020083C" w:rsidRDefault="0038677F" w:rsidP="0048700C">
      <w:pPr>
        <w:pStyle w:val="Header"/>
        <w:jc w:val="center"/>
        <w:rPr>
          <w:noProof/>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457200</wp:posOffset>
                </wp:positionH>
                <wp:positionV relativeFrom="paragraph">
                  <wp:posOffset>-85725</wp:posOffset>
                </wp:positionV>
                <wp:extent cx="4972050" cy="523875"/>
                <wp:effectExtent l="9525" t="9525" r="38100" b="285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2050" cy="523875"/>
                        </a:xfrm>
                        <a:prstGeom prst="rect">
                          <a:avLst/>
                        </a:prstGeom>
                      </wps:spPr>
                      <wps:txbx>
                        <w:txbxContent>
                          <w:p w:rsidR="0038677F" w:rsidRDefault="0038677F" w:rsidP="0038677F">
                            <w:pPr>
                              <w:pStyle w:val="NormalWeb"/>
                              <w:spacing w:before="0" w:beforeAutospacing="0" w:after="0" w:afterAutospacing="0"/>
                              <w:jc w:val="center"/>
                            </w:pPr>
                            <w:r>
                              <w:rPr>
                                <w:rFonts w:ascii="Mistral" w:hAnsi="Mistral"/>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Lab Informatics Announcement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6pt;margin-top:-6.75pt;width:391.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" o:allowincell="f" filled="f" stroked="f">
                <o:lock v:ext="edit" shapetype="t"/>
                <v:textbox style="mso-fit-shape-to-text:t">
                  <w:txbxContent>
                    <w:p w:rsidR="0038677F" w:rsidRDefault="0038677F" w:rsidP="0038677F">
                      <w:pPr>
                        <w:pStyle w:val="NormalWeb"/>
                        <w:spacing w:before="0" w:beforeAutospacing="0" w:after="0" w:afterAutospacing="0"/>
                        <w:jc w:val="center"/>
                      </w:pPr>
                      <w:r>
                        <w:rPr>
                          <w:rFonts w:ascii="Mistral" w:hAnsi="Mistral"/>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Lab Informatics Announcement</w:t>
                      </w:r>
                    </w:p>
                  </w:txbxContent>
                </v:textbox>
              </v:shape>
            </w:pict>
          </mc:Fallback>
        </mc:AlternateContent>
      </w:r>
    </w:p>
    <w:p w:rsidR="0048700C" w:rsidRDefault="0048700C" w:rsidP="0048700C">
      <w:pPr>
        <w:pStyle w:val="Header"/>
        <w:pBdr>
          <w:bottom w:val="threeDEmboss" w:sz="6" w:space="1" w:color="auto"/>
        </w:pBdr>
        <w:spacing w:after="240"/>
        <w:jc w:val="center"/>
        <w:rPr>
          <w:rFonts w:ascii="Arial" w:hAnsi="Arial"/>
        </w:rPr>
      </w:pPr>
      <w:r>
        <w:rPr>
          <w:rFonts w:ascii="Arial" w:hAnsi="Arial"/>
          <w:lang w:val="en"/>
        </w:rPr>
        <w:t>SCPMG Laboratory System –Lab Informatics Department</w:t>
      </w:r>
    </w:p>
    <w:p w:rsidR="0048700C" w:rsidRPr="00B559DB" w:rsidRDefault="0048700C" w:rsidP="0048700C">
      <w:pPr>
        <w:keepNext/>
        <w:jc w:val="center"/>
        <w:outlineLvl w:val="2"/>
        <w:rPr>
          <w:sz w:val="18"/>
          <w:szCs w:val="18"/>
        </w:rPr>
      </w:pPr>
      <w:r w:rsidRPr="008E6337">
        <w:rPr>
          <w:b/>
          <w:sz w:val="40"/>
          <w:szCs w:val="44"/>
          <w:lang w:val="en"/>
        </w:rPr>
        <w:t>Additional Quest Tests Migrating to Cerner RLN</w:t>
      </w:r>
    </w:p>
    <w:tbl>
      <w:tblPr>
        <w:tblW w:w="10008" w:type="dxa"/>
        <w:tblLayout w:type="fixed"/>
        <w:tblLook w:val="0000" w:firstRow="0" w:lastRow="0" w:firstColumn="0" w:lastColumn="0" w:noHBand="0" w:noVBand="0"/>
      </w:tblPr>
      <w:tblGrid>
        <w:gridCol w:w="1728"/>
        <w:gridCol w:w="7740"/>
        <w:gridCol w:w="270"/>
        <w:gridCol w:w="270"/>
      </w:tblGrid>
      <w:tr w:rsidR="0048700C" w:rsidRPr="00916E2B" w:rsidTr="003E5722">
        <w:trPr>
          <w:gridAfter w:val="2"/>
          <w:wAfter w:w="540" w:type="dxa"/>
          <w:cantSplit/>
        </w:trPr>
        <w:tc>
          <w:tcPr>
            <w:tcW w:w="1728" w:type="dxa"/>
          </w:tcPr>
          <w:p w:rsidR="0048700C" w:rsidRPr="00916E2B" w:rsidRDefault="0048700C" w:rsidP="003E5722">
            <w:pPr>
              <w:pStyle w:val="Heading5"/>
              <w:rPr>
                <w:sz w:val="24"/>
                <w:szCs w:val="24"/>
              </w:rPr>
            </w:pPr>
            <w:r>
              <w:rPr>
                <w:sz w:val="24"/>
                <w:szCs w:val="24"/>
                <w:lang w:val="en"/>
              </w:rPr>
              <w:t>Effective Date:</w:t>
            </w:r>
          </w:p>
        </w:tc>
        <w:tc>
          <w:tcPr>
            <w:tcW w:w="7740" w:type="dxa"/>
          </w:tcPr>
          <w:p w:rsidR="0048700C" w:rsidRPr="00916E2B" w:rsidRDefault="0048700C" w:rsidP="003E5722">
            <w:pPr>
              <w:pStyle w:val="BlockText"/>
              <w:rPr>
                <w:szCs w:val="24"/>
              </w:rPr>
            </w:pPr>
            <w:r>
              <w:rPr>
                <w:szCs w:val="24"/>
                <w:lang w:val="en"/>
              </w:rPr>
              <w:t>January 25, 2017</w:t>
            </w:r>
          </w:p>
        </w:tc>
      </w:tr>
      <w:tr w:rsidR="0048700C" w:rsidRPr="00916E2B" w:rsidTr="003E5722">
        <w:trPr>
          <w:cantSplit/>
        </w:trPr>
        <w:tc>
          <w:tcPr>
            <w:tcW w:w="1728" w:type="dxa"/>
          </w:tcPr>
          <w:p w:rsidR="0048700C" w:rsidRPr="00916E2B" w:rsidRDefault="0048700C" w:rsidP="003E5722">
            <w:pPr>
              <w:pStyle w:val="Heading5"/>
              <w:rPr>
                <w:szCs w:val="22"/>
              </w:rPr>
            </w:pPr>
            <w:r>
              <w:rPr>
                <w:szCs w:val="22"/>
                <w:lang w:val="en"/>
              </w:rPr>
              <w:t>Announcement</w:t>
            </w:r>
          </w:p>
        </w:tc>
        <w:tc>
          <w:tcPr>
            <w:tcW w:w="8280" w:type="dxa"/>
            <w:gridSpan w:val="3"/>
          </w:tcPr>
          <w:p w:rsidR="0048700C" w:rsidRPr="00902516" w:rsidRDefault="0048700C" w:rsidP="003E5722">
            <w:pPr>
              <w:tabs>
                <w:tab w:val="left" w:pos="-1415"/>
              </w:tabs>
              <w:autoSpaceDE w:val="0"/>
              <w:autoSpaceDN w:val="0"/>
              <w:adjustRightInd w:val="0"/>
              <w:rPr>
                <w:color w:val="000000"/>
                <w:szCs w:val="24"/>
              </w:rPr>
            </w:pPr>
            <w:r>
              <w:rPr>
                <w:color w:val="000000"/>
                <w:szCs w:val="24"/>
                <w:lang w:val="en"/>
              </w:rPr>
              <w:t>Effective 01/25/2017, thirty (30) additional Quest performed tests will be migrating over to Cerner</w:t>
            </w:r>
            <w:r>
              <w:rPr>
                <w:b/>
                <w:color w:val="000000"/>
                <w:szCs w:val="24"/>
                <w:lang w:val="en"/>
              </w:rPr>
              <w:t xml:space="preserve"> </w:t>
            </w:r>
            <w:r>
              <w:rPr>
                <w:color w:val="000000"/>
                <w:szCs w:val="24"/>
                <w:lang w:val="en"/>
              </w:rPr>
              <w:t>Millennium.  This will allow the appropriate result data to be electronically transmitted through the Cerner interface to KPHC directly and is consistent with our current laboratory processes.  System interface changes are being done behind the scene.</w:t>
            </w:r>
          </w:p>
          <w:p w:rsidR="0048700C" w:rsidRPr="00902516" w:rsidRDefault="0048700C" w:rsidP="0048700C">
            <w:pPr>
              <w:numPr>
                <w:ilvl w:val="0"/>
                <w:numId w:val="7"/>
              </w:numPr>
              <w:tabs>
                <w:tab w:val="left" w:pos="-1415"/>
              </w:tabs>
              <w:autoSpaceDE w:val="0"/>
              <w:autoSpaceDN w:val="0"/>
              <w:adjustRightInd w:val="0"/>
              <w:spacing w:after="0" w:line="240" w:lineRule="auto"/>
              <w:rPr>
                <w:color w:val="000000"/>
                <w:szCs w:val="24"/>
              </w:rPr>
            </w:pPr>
            <w:r>
              <w:rPr>
                <w:color w:val="000000"/>
                <w:szCs w:val="24"/>
                <w:lang w:val="en"/>
              </w:rPr>
              <w:t xml:space="preserve">There are NO changes in the KPHC order entry workflow for the providers.  </w:t>
            </w:r>
          </w:p>
          <w:p w:rsidR="0048700C" w:rsidRPr="00916E2B" w:rsidRDefault="0048700C" w:rsidP="0048700C">
            <w:pPr>
              <w:widowControl w:val="0"/>
              <w:numPr>
                <w:ilvl w:val="0"/>
                <w:numId w:val="7"/>
              </w:numPr>
              <w:spacing w:after="0" w:line="240" w:lineRule="auto"/>
              <w:rPr>
                <w:szCs w:val="24"/>
              </w:rPr>
            </w:pPr>
            <w:r>
              <w:rPr>
                <w:color w:val="000000"/>
                <w:szCs w:val="24"/>
                <w:lang w:val="en"/>
              </w:rPr>
              <w:t>There are NO changes in the transferring/tracking of outside reference laboratory specimens for the medical center laboratories. Follow existing SOPs.</w:t>
            </w:r>
          </w:p>
        </w:tc>
      </w:tr>
      <w:tr w:rsidR="0048700C" w:rsidRPr="00916E2B" w:rsidTr="003E5722">
        <w:trPr>
          <w:gridAfter w:val="1"/>
          <w:wAfter w:w="270" w:type="dxa"/>
          <w:cantSplit/>
        </w:trPr>
        <w:tc>
          <w:tcPr>
            <w:tcW w:w="1728" w:type="dxa"/>
          </w:tcPr>
          <w:p w:rsidR="0048700C" w:rsidRPr="00916E2B" w:rsidRDefault="0048700C" w:rsidP="003E5722">
            <w:pPr>
              <w:pStyle w:val="Heading5"/>
              <w:rPr>
                <w:szCs w:val="22"/>
              </w:rPr>
            </w:pPr>
            <w:r>
              <w:rPr>
                <w:szCs w:val="22"/>
                <w:lang w:val="en"/>
              </w:rPr>
              <w:t>Additional Quest Tests Migrating to Cerner RLN</w:t>
            </w:r>
          </w:p>
        </w:tc>
        <w:tc>
          <w:tcPr>
            <w:tcW w:w="8010" w:type="dxa"/>
            <w:gridSpan w:val="2"/>
          </w:tcPr>
          <w:p w:rsidR="0048700C" w:rsidRPr="000F32A7" w:rsidRDefault="0048700C" w:rsidP="003E5722">
            <w:pPr>
              <w:widowControl w:val="0"/>
              <w:rPr>
                <w:noProof/>
              </w:rPr>
            </w:pPr>
            <w:r>
              <w:rPr>
                <w:noProof/>
              </w:rPr>
              <w:drawing>
                <wp:inline distT="0" distB="0" distL="0" distR="0" wp14:anchorId="2E2BAE1D" wp14:editId="5CC3690C">
                  <wp:extent cx="4949825" cy="36874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825" cy="3687445"/>
                          </a:xfrm>
                          <a:prstGeom prst="rect">
                            <a:avLst/>
                          </a:prstGeom>
                          <a:noFill/>
                          <a:ln>
                            <a:noFill/>
                          </a:ln>
                        </pic:spPr>
                      </pic:pic>
                    </a:graphicData>
                  </a:graphic>
                </wp:inline>
              </w:drawing>
            </w:r>
          </w:p>
        </w:tc>
      </w:tr>
      <w:tr w:rsidR="0048700C" w:rsidRPr="00916E2B" w:rsidTr="003E5722">
        <w:trPr>
          <w:gridAfter w:val="2"/>
          <w:wAfter w:w="540" w:type="dxa"/>
          <w:cantSplit/>
        </w:trPr>
        <w:tc>
          <w:tcPr>
            <w:tcW w:w="1728" w:type="dxa"/>
          </w:tcPr>
          <w:p w:rsidR="0048700C" w:rsidRPr="00916E2B" w:rsidRDefault="0048700C" w:rsidP="003E5722">
            <w:pPr>
              <w:pStyle w:val="Heading5"/>
              <w:spacing w:after="120"/>
              <w:rPr>
                <w:sz w:val="24"/>
                <w:szCs w:val="24"/>
              </w:rPr>
            </w:pPr>
            <w:r>
              <w:rPr>
                <w:sz w:val="24"/>
                <w:szCs w:val="24"/>
                <w:lang w:val="en"/>
              </w:rPr>
              <w:t>Reference Document</w:t>
            </w:r>
          </w:p>
        </w:tc>
        <w:tc>
          <w:tcPr>
            <w:tcW w:w="7740" w:type="dxa"/>
          </w:tcPr>
          <w:p w:rsidR="0048700C" w:rsidRPr="006E3F66" w:rsidRDefault="0048700C" w:rsidP="003E5722">
            <w:pPr>
              <w:autoSpaceDE w:val="0"/>
              <w:autoSpaceDN w:val="0"/>
              <w:adjustRightInd w:val="0"/>
              <w:rPr>
                <w:rFonts w:eastAsia="Calibri"/>
                <w:color w:val="000000"/>
                <w:szCs w:val="24"/>
              </w:rPr>
            </w:pPr>
            <w:r>
              <w:rPr>
                <w:rFonts w:eastAsia="Calibri"/>
                <w:color w:val="000000"/>
                <w:szCs w:val="24"/>
                <w:lang w:val="en"/>
              </w:rPr>
              <w:t xml:space="preserve">For detail workflow instructions on transferring/tracking outside reference laboratory specimens, refer to the regional SOP and workflow diagram – Transferring/Tracking Outside Reference Laboratory Specimens.  </w:t>
            </w:r>
          </w:p>
        </w:tc>
      </w:tr>
      <w:tr w:rsidR="0048700C" w:rsidRPr="00916E2B" w:rsidTr="003E5722">
        <w:trPr>
          <w:gridAfter w:val="2"/>
          <w:wAfter w:w="540" w:type="dxa"/>
          <w:cantSplit/>
        </w:trPr>
        <w:tc>
          <w:tcPr>
            <w:tcW w:w="1728" w:type="dxa"/>
          </w:tcPr>
          <w:p w:rsidR="0048700C" w:rsidRPr="00916E2B" w:rsidRDefault="0048700C" w:rsidP="003E5722">
            <w:pPr>
              <w:pStyle w:val="Heading5"/>
              <w:spacing w:after="120"/>
              <w:rPr>
                <w:sz w:val="24"/>
                <w:szCs w:val="24"/>
              </w:rPr>
            </w:pPr>
            <w:r w:rsidRPr="00916E2B">
              <w:rPr>
                <w:sz w:val="24"/>
                <w:szCs w:val="24"/>
              </w:rPr>
              <w:br w:type="page"/>
            </w:r>
            <w:r>
              <w:rPr>
                <w:sz w:val="24"/>
                <w:szCs w:val="24"/>
                <w:lang w:val="en"/>
              </w:rPr>
              <w:t>Distributed By:</w:t>
            </w:r>
          </w:p>
        </w:tc>
        <w:tc>
          <w:tcPr>
            <w:tcW w:w="7740" w:type="dxa"/>
            <w:tcBorders>
              <w:bottom w:val="single" w:sz="4" w:space="0" w:color="auto"/>
            </w:tcBorders>
          </w:tcPr>
          <w:p w:rsidR="0048700C" w:rsidRPr="00916E2B" w:rsidRDefault="0048700C" w:rsidP="003E5722">
            <w:pPr>
              <w:pStyle w:val="BlockText"/>
              <w:rPr>
                <w:szCs w:val="24"/>
              </w:rPr>
            </w:pPr>
            <w:r>
              <w:rPr>
                <w:szCs w:val="24"/>
                <w:lang w:val="en"/>
              </w:rPr>
              <w:t>Laboratory Informatics Department</w:t>
            </w:r>
          </w:p>
          <w:p w:rsidR="0048700C" w:rsidRPr="00916E2B" w:rsidRDefault="0048700C" w:rsidP="003E5722">
            <w:pPr>
              <w:pStyle w:val="BlockText"/>
              <w:rPr>
                <w:szCs w:val="24"/>
              </w:rPr>
            </w:pPr>
            <w:r>
              <w:rPr>
                <w:szCs w:val="24"/>
                <w:lang w:val="en"/>
              </w:rPr>
              <w:t>Phone:  (818) 503-6894 or Tie Line: 8-397-6894</w:t>
            </w:r>
          </w:p>
        </w:tc>
      </w:tr>
      <w:tr w:rsidR="0048700C" w:rsidRPr="00916E2B" w:rsidTr="003E5722">
        <w:trPr>
          <w:gridAfter w:val="2"/>
          <w:wAfter w:w="540" w:type="dxa"/>
          <w:cantSplit/>
        </w:trPr>
        <w:tc>
          <w:tcPr>
            <w:tcW w:w="1728" w:type="dxa"/>
          </w:tcPr>
          <w:p w:rsidR="0048700C" w:rsidRPr="00916E2B" w:rsidRDefault="0048700C" w:rsidP="003E5722">
            <w:pPr>
              <w:pStyle w:val="Heading5"/>
              <w:spacing w:before="60"/>
              <w:rPr>
                <w:sz w:val="24"/>
                <w:szCs w:val="24"/>
              </w:rPr>
            </w:pPr>
            <w:r w:rsidRPr="00916E2B">
              <w:rPr>
                <w:sz w:val="24"/>
                <w:szCs w:val="24"/>
              </w:rPr>
              <w:br w:type="page"/>
            </w:r>
            <w:r>
              <w:rPr>
                <w:sz w:val="24"/>
                <w:szCs w:val="24"/>
                <w:lang w:val="en"/>
              </w:rPr>
              <w:t>Issued Date:</w:t>
            </w:r>
          </w:p>
        </w:tc>
        <w:tc>
          <w:tcPr>
            <w:tcW w:w="7740" w:type="dxa"/>
            <w:tcBorders>
              <w:top w:val="single" w:sz="4" w:space="0" w:color="auto"/>
            </w:tcBorders>
          </w:tcPr>
          <w:p w:rsidR="0048700C" w:rsidRPr="00916E2B" w:rsidRDefault="0048700C" w:rsidP="003E5722">
            <w:pPr>
              <w:pStyle w:val="BlockText"/>
              <w:spacing w:before="60"/>
              <w:rPr>
                <w:szCs w:val="24"/>
              </w:rPr>
            </w:pPr>
            <w:r>
              <w:rPr>
                <w:szCs w:val="24"/>
                <w:lang w:val="en"/>
              </w:rPr>
              <w:t>January 13, 2017</w:t>
            </w:r>
          </w:p>
        </w:tc>
      </w:tr>
    </w:tbl>
    <w:p w:rsidR="00E055B6" w:rsidRDefault="00E055B6" w:rsidP="002C08EC">
      <w:pPr>
        <w:pStyle w:val="PlainText"/>
      </w:pPr>
    </w:p>
    <w:sectPr w:rsidR="00E05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F4A" w:rsidRDefault="00CA0F4A" w:rsidP="0048700C">
      <w:pPr>
        <w:spacing w:after="0" w:line="240" w:lineRule="auto"/>
      </w:pPr>
      <w:r>
        <w:separator/>
      </w:r>
    </w:p>
  </w:endnote>
  <w:endnote w:type="continuationSeparator" w:id="0">
    <w:p w:rsidR="00CA0F4A" w:rsidRDefault="00CA0F4A" w:rsidP="0048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F4A" w:rsidRDefault="00CA0F4A" w:rsidP="0048700C">
      <w:pPr>
        <w:spacing w:after="0" w:line="240" w:lineRule="auto"/>
      </w:pPr>
      <w:r>
        <w:separator/>
      </w:r>
    </w:p>
  </w:footnote>
  <w:footnote w:type="continuationSeparator" w:id="0">
    <w:p w:rsidR="00CA0F4A" w:rsidRDefault="00CA0F4A" w:rsidP="00487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B0CD2"/>
    <w:multiLevelType w:val="hybridMultilevel"/>
    <w:tmpl w:val="1A6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F5B0F"/>
    <w:multiLevelType w:val="hybridMultilevel"/>
    <w:tmpl w:val="581E0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C63CDA"/>
    <w:multiLevelType w:val="hybridMultilevel"/>
    <w:tmpl w:val="67C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77BA4"/>
    <w:multiLevelType w:val="hybridMultilevel"/>
    <w:tmpl w:val="38BC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541D4"/>
    <w:multiLevelType w:val="hybridMultilevel"/>
    <w:tmpl w:val="411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E306D"/>
    <w:multiLevelType w:val="hybridMultilevel"/>
    <w:tmpl w:val="F7483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214C5C"/>
    <w:multiLevelType w:val="hybridMultilevel"/>
    <w:tmpl w:val="E44A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EC"/>
    <w:rsid w:val="001E1724"/>
    <w:rsid w:val="002C08EC"/>
    <w:rsid w:val="0038677F"/>
    <w:rsid w:val="0048700C"/>
    <w:rsid w:val="0051702A"/>
    <w:rsid w:val="005270F0"/>
    <w:rsid w:val="006D5276"/>
    <w:rsid w:val="0073627B"/>
    <w:rsid w:val="00BF34DC"/>
    <w:rsid w:val="00C227F1"/>
    <w:rsid w:val="00CA0F4A"/>
    <w:rsid w:val="00E055B6"/>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62871-08DD-46AF-B21C-102FCD1E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8EC"/>
    <w:pPr>
      <w:spacing w:after="200" w:line="276" w:lineRule="auto"/>
    </w:pPr>
  </w:style>
  <w:style w:type="paragraph" w:styleId="Heading5">
    <w:name w:val="heading 5"/>
    <w:aliases w:val="Block Label"/>
    <w:basedOn w:val="Normal"/>
    <w:next w:val="Normal"/>
    <w:link w:val="Heading5Char"/>
    <w:qFormat/>
    <w:rsid w:val="0048700C"/>
    <w:pPr>
      <w:spacing w:after="0" w:line="240" w:lineRule="auto"/>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C08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08EC"/>
    <w:rPr>
      <w:rFonts w:ascii="Courier New" w:eastAsia="Times New Roman" w:hAnsi="Courier New" w:cs="Times New Roman"/>
      <w:sz w:val="20"/>
      <w:szCs w:val="20"/>
    </w:rPr>
  </w:style>
  <w:style w:type="paragraph" w:styleId="Header">
    <w:name w:val="header"/>
    <w:basedOn w:val="Normal"/>
    <w:link w:val="HeaderChar"/>
    <w:rsid w:val="002C08E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C08EC"/>
    <w:rPr>
      <w:rFonts w:ascii="Times New Roman" w:eastAsia="Times New Roman" w:hAnsi="Times New Roman" w:cs="Times New Roman"/>
      <w:sz w:val="20"/>
      <w:szCs w:val="20"/>
    </w:rPr>
  </w:style>
  <w:style w:type="paragraph" w:styleId="NoSpacing">
    <w:name w:val="No Spacing"/>
    <w:uiPriority w:val="1"/>
    <w:qFormat/>
    <w:rsid w:val="002C08EC"/>
    <w:pPr>
      <w:spacing w:after="0" w:line="240" w:lineRule="auto"/>
    </w:pPr>
  </w:style>
  <w:style w:type="paragraph" w:styleId="ListParagraph">
    <w:name w:val="List Paragraph"/>
    <w:basedOn w:val="Normal"/>
    <w:uiPriority w:val="34"/>
    <w:qFormat/>
    <w:rsid w:val="006D5276"/>
    <w:pPr>
      <w:ind w:left="720"/>
      <w:contextualSpacing/>
    </w:pPr>
  </w:style>
  <w:style w:type="paragraph" w:styleId="Footer">
    <w:name w:val="footer"/>
    <w:basedOn w:val="Normal"/>
    <w:link w:val="FooterChar"/>
    <w:uiPriority w:val="99"/>
    <w:unhideWhenUsed/>
    <w:rsid w:val="00487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0C"/>
  </w:style>
  <w:style w:type="character" w:customStyle="1" w:styleId="Heading5Char">
    <w:name w:val="Heading 5 Char"/>
    <w:aliases w:val="Block Label Char"/>
    <w:basedOn w:val="DefaultParagraphFont"/>
    <w:link w:val="Heading5"/>
    <w:rsid w:val="0048700C"/>
    <w:rPr>
      <w:rFonts w:ascii="Times New Roman" w:eastAsia="Times New Roman" w:hAnsi="Times New Roman" w:cs="Times New Roman"/>
      <w:b/>
      <w:szCs w:val="20"/>
    </w:rPr>
  </w:style>
  <w:style w:type="paragraph" w:styleId="BlockText">
    <w:name w:val="Block Text"/>
    <w:basedOn w:val="Normal"/>
    <w:rsid w:val="0048700C"/>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7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00C"/>
    <w:rPr>
      <w:rFonts w:ascii="Tahoma" w:hAnsi="Tahoma" w:cs="Tahoma"/>
      <w:sz w:val="16"/>
      <w:szCs w:val="16"/>
    </w:rPr>
  </w:style>
  <w:style w:type="paragraph" w:styleId="NormalWeb">
    <w:name w:val="Normal (Web)"/>
    <w:basedOn w:val="Normal"/>
    <w:uiPriority w:val="99"/>
    <w:semiHidden/>
    <w:unhideWhenUsed/>
    <w:rsid w:val="0038677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Marie X. Boyd</dc:creator>
  <cp:lastModifiedBy>Nancy Marie X. Boyd</cp:lastModifiedBy>
  <cp:revision>2</cp:revision>
  <dcterms:created xsi:type="dcterms:W3CDTF">2017-01-24T18:37:00Z</dcterms:created>
  <dcterms:modified xsi:type="dcterms:W3CDTF">2017-01-24T18:37:00Z</dcterms:modified>
</cp:coreProperties>
</file>