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50"/>
        <w:tblW w:w="10458" w:type="dxa"/>
        <w:tblLayout w:type="fixed"/>
        <w:tblLook w:val="04A0" w:firstRow="1" w:lastRow="0" w:firstColumn="1" w:lastColumn="0" w:noHBand="0" w:noVBand="1"/>
      </w:tblPr>
      <w:tblGrid>
        <w:gridCol w:w="3066"/>
        <w:gridCol w:w="2802"/>
        <w:gridCol w:w="1800"/>
        <w:gridCol w:w="2790"/>
      </w:tblGrid>
      <w:tr w:rsidR="00C25F76" w:rsidRPr="00E93071" w:rsidTr="00E87FD4">
        <w:trPr>
          <w:trHeight w:val="440"/>
        </w:trPr>
        <w:tc>
          <w:tcPr>
            <w:tcW w:w="3066" w:type="dxa"/>
            <w:vMerge w:val="restart"/>
          </w:tcPr>
          <w:p w:rsidR="00C25F76" w:rsidRPr="00E93071" w:rsidRDefault="00713CC1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90700" cy="7334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83" cy="7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vMerge w:val="restart"/>
            <w:vAlign w:val="center"/>
          </w:tcPr>
          <w:p w:rsidR="00C25F76" w:rsidRDefault="007C0BFC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REAGENT POLICY</w:t>
            </w:r>
          </w:p>
          <w:p w:rsidR="007C0BFC" w:rsidRPr="00E93071" w:rsidRDefault="007C0BFC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CL-CH150</w:t>
            </w:r>
          </w:p>
        </w:tc>
        <w:tc>
          <w:tcPr>
            <w:tcW w:w="1800" w:type="dxa"/>
            <w:vAlign w:val="center"/>
          </w:tcPr>
          <w:p w:rsidR="002B1ABF" w:rsidRPr="002B1ABF" w:rsidRDefault="004D1C0A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Dept:</w:t>
            </w:r>
          </w:p>
        </w:tc>
        <w:tc>
          <w:tcPr>
            <w:tcW w:w="2790" w:type="dxa"/>
            <w:vAlign w:val="center"/>
          </w:tcPr>
          <w:p w:rsidR="00A40159" w:rsidRDefault="005D39FD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D39FD">
              <w:rPr>
                <w:rFonts w:ascii="Times New Roman" w:hAnsi="Times New Roman"/>
                <w:bCs/>
                <w:color w:val="000000"/>
              </w:rPr>
              <w:t>Clinical Core Lab-</w:t>
            </w:r>
          </w:p>
          <w:p w:rsidR="005B3A01" w:rsidRPr="005D39FD" w:rsidRDefault="00FE2444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Chemistry</w:t>
            </w:r>
            <w:r w:rsidR="005B3A01">
              <w:rPr>
                <w:rFonts w:ascii="Times New Roman" w:hAnsi="Times New Roman"/>
                <w:bCs/>
                <w:color w:val="000000"/>
              </w:rPr>
              <w:t xml:space="preserve"> Section</w:t>
            </w:r>
          </w:p>
        </w:tc>
      </w:tr>
      <w:tr w:rsidR="00C25F76" w:rsidRPr="00E93071" w:rsidTr="00E87FD4">
        <w:trPr>
          <w:trHeight w:val="300"/>
        </w:trPr>
        <w:tc>
          <w:tcPr>
            <w:tcW w:w="3066" w:type="dxa"/>
            <w:vMerge/>
          </w:tcPr>
          <w:p w:rsidR="00C25F76" w:rsidRPr="00E93071" w:rsidRDefault="00C25F76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C25F76" w:rsidRPr="00E93071" w:rsidRDefault="00C25F76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B1ABF" w:rsidRPr="002B1ABF" w:rsidRDefault="002B1ABF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Effective Date:</w:t>
            </w:r>
          </w:p>
        </w:tc>
        <w:tc>
          <w:tcPr>
            <w:tcW w:w="2790" w:type="dxa"/>
            <w:vAlign w:val="center"/>
          </w:tcPr>
          <w:p w:rsidR="002B1ABF" w:rsidRPr="005D39FD" w:rsidRDefault="00BD41AE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April 25, 2008</w:t>
            </w:r>
          </w:p>
        </w:tc>
      </w:tr>
      <w:tr w:rsidR="00C25F76" w:rsidRPr="00E93071" w:rsidTr="00E87FD4">
        <w:trPr>
          <w:trHeight w:val="300"/>
        </w:trPr>
        <w:tc>
          <w:tcPr>
            <w:tcW w:w="3066" w:type="dxa"/>
            <w:vMerge/>
          </w:tcPr>
          <w:p w:rsidR="00C25F76" w:rsidRPr="00E93071" w:rsidRDefault="00C25F76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C25F76" w:rsidRPr="00E93071" w:rsidRDefault="00C25F76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B1ABF" w:rsidRPr="002B1ABF" w:rsidRDefault="002B1ABF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Revised Date:</w:t>
            </w:r>
          </w:p>
        </w:tc>
        <w:tc>
          <w:tcPr>
            <w:tcW w:w="2790" w:type="dxa"/>
            <w:vAlign w:val="center"/>
          </w:tcPr>
          <w:p w:rsidR="00AA3E74" w:rsidRPr="005D39FD" w:rsidRDefault="009A67CE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June 11, 2019</w:t>
            </w:r>
          </w:p>
        </w:tc>
      </w:tr>
      <w:tr w:rsidR="00C25F76" w:rsidRPr="00E93071" w:rsidTr="00E87FD4">
        <w:trPr>
          <w:trHeight w:val="300"/>
        </w:trPr>
        <w:tc>
          <w:tcPr>
            <w:tcW w:w="3066" w:type="dxa"/>
            <w:vMerge/>
          </w:tcPr>
          <w:p w:rsidR="00C25F76" w:rsidRPr="00E93071" w:rsidRDefault="00C25F76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C25F76" w:rsidRPr="00E93071" w:rsidRDefault="00C25F76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B1ABF" w:rsidRPr="002B1ABF" w:rsidRDefault="002B1ABF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Contact:</w:t>
            </w:r>
          </w:p>
        </w:tc>
        <w:tc>
          <w:tcPr>
            <w:tcW w:w="2790" w:type="dxa"/>
            <w:vAlign w:val="center"/>
          </w:tcPr>
          <w:p w:rsidR="00C25F76" w:rsidRDefault="005D39FD" w:rsidP="00E87FD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39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Clinical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Core Lab</w:t>
            </w:r>
            <w:r w:rsidR="005B3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  <w:p w:rsidR="005B3A01" w:rsidRPr="005D39FD" w:rsidRDefault="00FE2444" w:rsidP="00E87FD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Chemistry</w:t>
            </w:r>
            <w:r w:rsidR="005B3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Management</w:t>
            </w:r>
          </w:p>
        </w:tc>
      </w:tr>
      <w:tr w:rsidR="00AE7B74" w:rsidRPr="00E93071" w:rsidTr="00E87FD4">
        <w:trPr>
          <w:trHeight w:val="300"/>
        </w:trPr>
        <w:tc>
          <w:tcPr>
            <w:tcW w:w="5868" w:type="dxa"/>
            <w:gridSpan w:val="2"/>
          </w:tcPr>
          <w:p w:rsidR="005D39FD" w:rsidRDefault="00AE7B74" w:rsidP="00E8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E7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5D39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87FD4">
              <w:rPr>
                <w:rFonts w:ascii="Times New Roman" w:hAnsi="Times New Roman"/>
                <w:bCs/>
                <w:color w:val="000000"/>
              </w:rPr>
              <w:t>Gregory J. Pomper, MD</w:t>
            </w:r>
            <w:r w:rsidR="005D39FD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  <w:p w:rsidR="00AE7B74" w:rsidRPr="005D39FD" w:rsidRDefault="005D39FD" w:rsidP="00E8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                   </w:t>
            </w:r>
            <w:r w:rsidR="00E87FD4">
              <w:rPr>
                <w:rFonts w:ascii="Times New Roman" w:hAnsi="Times New Roman"/>
                <w:bCs/>
                <w:color w:val="000000"/>
              </w:rPr>
              <w:t>Medical Director of</w:t>
            </w:r>
            <w:r>
              <w:rPr>
                <w:rFonts w:ascii="Times New Roman" w:hAnsi="Times New Roman"/>
                <w:bCs/>
                <w:color w:val="000000"/>
              </w:rPr>
              <w:t xml:space="preserve"> Pathology Laboratories</w:t>
            </w:r>
          </w:p>
        </w:tc>
        <w:tc>
          <w:tcPr>
            <w:tcW w:w="1800" w:type="dxa"/>
            <w:vAlign w:val="center"/>
          </w:tcPr>
          <w:p w:rsidR="00AE7B74" w:rsidRPr="002412AC" w:rsidRDefault="00AE7B74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790" w:type="dxa"/>
            <w:vAlign w:val="center"/>
          </w:tcPr>
          <w:p w:rsidR="00AE7B74" w:rsidRPr="005D39FD" w:rsidRDefault="00AE7B74" w:rsidP="00E87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E7B74" w:rsidRPr="00E93071" w:rsidTr="00E87FD4">
        <w:trPr>
          <w:trHeight w:val="300"/>
        </w:trPr>
        <w:tc>
          <w:tcPr>
            <w:tcW w:w="10458" w:type="dxa"/>
            <w:gridSpan w:val="4"/>
          </w:tcPr>
          <w:p w:rsidR="00AE7B74" w:rsidRPr="002412AC" w:rsidRDefault="00AE7B74" w:rsidP="00E87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</w:tr>
    </w:tbl>
    <w:p w:rsidR="00C25F76" w:rsidRPr="00E93071" w:rsidRDefault="00C25F76" w:rsidP="00C25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25F76" w:rsidRPr="00E93071" w:rsidRDefault="00C25F76" w:rsidP="00C25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87FD4" w:rsidRPr="002B1ABF" w:rsidRDefault="00E87FD4" w:rsidP="00574B23">
      <w:pPr>
        <w:pStyle w:val="ListParagraph"/>
        <w:numPr>
          <w:ilvl w:val="0"/>
          <w:numId w:val="2"/>
        </w:numPr>
        <w:rPr>
          <w:rFonts w:ascii="Times New Roman" w:hAnsi="Times New Roman"/>
          <w:color w:val="0070C0"/>
          <w:sz w:val="24"/>
          <w:szCs w:val="24"/>
        </w:rPr>
      </w:pPr>
      <w:r w:rsidRPr="002B1ABF">
        <w:rPr>
          <w:rFonts w:ascii="Times New Roman" w:hAnsi="Times New Roman"/>
          <w:b/>
          <w:sz w:val="24"/>
          <w:szCs w:val="24"/>
        </w:rPr>
        <w:t>General P</w:t>
      </w:r>
      <w:r>
        <w:rPr>
          <w:rFonts w:ascii="Times New Roman" w:hAnsi="Times New Roman"/>
          <w:b/>
          <w:sz w:val="24"/>
          <w:szCs w:val="24"/>
        </w:rPr>
        <w:t>rocedure</w:t>
      </w:r>
      <w:r w:rsidRPr="002B1ABF">
        <w:rPr>
          <w:rFonts w:ascii="Times New Roman" w:hAnsi="Times New Roman"/>
          <w:b/>
          <w:sz w:val="24"/>
          <w:szCs w:val="24"/>
        </w:rPr>
        <w:t xml:space="preserve"> Statement</w:t>
      </w:r>
      <w:r>
        <w:rPr>
          <w:rFonts w:ascii="Times New Roman" w:hAnsi="Times New Roman"/>
          <w:b/>
          <w:sz w:val="24"/>
          <w:szCs w:val="24"/>
        </w:rPr>
        <w:t>:</w:t>
      </w:r>
      <w:r w:rsidRPr="002B1ABF">
        <w:rPr>
          <w:rFonts w:ascii="Times New Roman" w:hAnsi="Times New Roman"/>
          <w:b/>
          <w:sz w:val="24"/>
          <w:szCs w:val="24"/>
        </w:rPr>
        <w:t xml:space="preserve"> </w:t>
      </w:r>
      <w:r w:rsidRPr="002B1ABF">
        <w:rPr>
          <w:rFonts w:ascii="Times New Roman" w:hAnsi="Times New Roman"/>
          <w:color w:val="0070C0"/>
          <w:sz w:val="24"/>
          <w:szCs w:val="24"/>
        </w:rPr>
        <w:t xml:space="preserve">  </w:t>
      </w:r>
    </w:p>
    <w:p w:rsidR="007069D2" w:rsidRPr="007069D2" w:rsidRDefault="00E87FD4" w:rsidP="00574B2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Scope: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B21C46">
        <w:rPr>
          <w:rFonts w:ascii="Times New Roman" w:hAnsi="Times New Roman"/>
          <w:sz w:val="24"/>
          <w:szCs w:val="24"/>
        </w:rPr>
        <w:t xml:space="preserve">To provide laboratory testing personnel with instructions </w:t>
      </w:r>
      <w:r w:rsidR="00BD41AE">
        <w:rPr>
          <w:rFonts w:ascii="Times New Roman" w:hAnsi="Times New Roman"/>
          <w:sz w:val="24"/>
          <w:szCs w:val="24"/>
        </w:rPr>
        <w:t>on reagent</w:t>
      </w:r>
      <w:r w:rsidR="0077764E">
        <w:rPr>
          <w:rFonts w:ascii="Times New Roman" w:hAnsi="Times New Roman"/>
          <w:sz w:val="24"/>
          <w:szCs w:val="24"/>
        </w:rPr>
        <w:t xml:space="preserve"> </w:t>
      </w:r>
      <w:r w:rsidR="007069D2">
        <w:rPr>
          <w:rFonts w:ascii="Times New Roman" w:hAnsi="Times New Roman"/>
          <w:sz w:val="24"/>
          <w:szCs w:val="24"/>
        </w:rPr>
        <w:t xml:space="preserve"> </w:t>
      </w:r>
    </w:p>
    <w:p w:rsidR="007069D2" w:rsidRDefault="007069D2" w:rsidP="007069D2">
      <w:pPr>
        <w:pStyle w:val="ListParagraph"/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77764E">
        <w:rPr>
          <w:rFonts w:ascii="Times New Roman" w:hAnsi="Times New Roman"/>
          <w:sz w:val="24"/>
          <w:szCs w:val="24"/>
        </w:rPr>
        <w:t xml:space="preserve">storage, </w:t>
      </w:r>
      <w:r>
        <w:rPr>
          <w:rFonts w:ascii="Times New Roman" w:hAnsi="Times New Roman"/>
          <w:sz w:val="24"/>
          <w:szCs w:val="24"/>
        </w:rPr>
        <w:t>and handling</w:t>
      </w:r>
      <w:r w:rsidR="00E87FD4" w:rsidRPr="00B21C46">
        <w:rPr>
          <w:rFonts w:ascii="Times New Roman" w:hAnsi="Times New Roman"/>
          <w:sz w:val="24"/>
          <w:szCs w:val="24"/>
        </w:rPr>
        <w:t xml:space="preserve"> </w:t>
      </w:r>
      <w:r w:rsidR="00E87FD4" w:rsidRPr="007069D2">
        <w:rPr>
          <w:rFonts w:ascii="Times New Roman" w:hAnsi="Times New Roman"/>
          <w:sz w:val="24"/>
          <w:szCs w:val="24"/>
        </w:rPr>
        <w:t xml:space="preserve">as deemed appropriate by industry practices and </w:t>
      </w:r>
    </w:p>
    <w:p w:rsidR="00E87FD4" w:rsidRPr="007069D2" w:rsidRDefault="007069D2" w:rsidP="007069D2">
      <w:pPr>
        <w:pStyle w:val="ListParagraph"/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87FD4" w:rsidRPr="007069D2">
        <w:rPr>
          <w:rFonts w:ascii="Times New Roman" w:hAnsi="Times New Roman"/>
          <w:sz w:val="24"/>
          <w:szCs w:val="24"/>
        </w:rPr>
        <w:t>regulatory agencies to assist in quality patient care.</w:t>
      </w:r>
    </w:p>
    <w:p w:rsidR="00E87FD4" w:rsidRPr="00151F0F" w:rsidRDefault="00E87FD4" w:rsidP="00E87FD4">
      <w:pPr>
        <w:pStyle w:val="ListParagraph"/>
        <w:autoSpaceDE w:val="0"/>
        <w:autoSpaceDN w:val="0"/>
        <w:adjustRightInd w:val="0"/>
        <w:spacing w:after="0" w:line="240" w:lineRule="auto"/>
        <w:ind w:left="1890"/>
        <w:rPr>
          <w:rFonts w:ascii="Times New Roman" w:hAnsi="Times New Roman"/>
          <w:b/>
          <w:color w:val="0070C0"/>
          <w:sz w:val="24"/>
          <w:szCs w:val="24"/>
        </w:rPr>
      </w:pPr>
    </w:p>
    <w:p w:rsidR="00E87FD4" w:rsidRPr="00E93071" w:rsidRDefault="00E87FD4" w:rsidP="00574B2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530"/>
        <w:rPr>
          <w:rFonts w:ascii="Times New Roman" w:hAnsi="Times New Roman"/>
          <w:b/>
          <w:color w:val="000000"/>
          <w:sz w:val="24"/>
          <w:szCs w:val="24"/>
        </w:rPr>
      </w:pPr>
      <w:r w:rsidRPr="002B1ABF">
        <w:rPr>
          <w:rFonts w:ascii="Times New Roman" w:hAnsi="Times New Roman"/>
          <w:b/>
          <w:color w:val="000000"/>
          <w:sz w:val="24"/>
          <w:szCs w:val="24"/>
        </w:rPr>
        <w:t>Responsible Department/</w:t>
      </w:r>
      <w:r>
        <w:rPr>
          <w:rFonts w:ascii="Times New Roman" w:hAnsi="Times New Roman"/>
          <w:b/>
          <w:color w:val="000000"/>
          <w:sz w:val="24"/>
          <w:szCs w:val="24"/>
        </w:rPr>
        <w:t>Party/Parties</w:t>
      </w:r>
      <w:r w:rsidRPr="002B1ABF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87FD4" w:rsidRPr="00CA423B" w:rsidRDefault="00E87FD4" w:rsidP="00574B23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890" w:firstLine="0"/>
        <w:rPr>
          <w:rFonts w:ascii="Times New Roman" w:hAnsi="Times New Roman"/>
          <w:b/>
          <w:color w:val="0070C0"/>
          <w:sz w:val="24"/>
          <w:szCs w:val="24"/>
        </w:rPr>
      </w:pPr>
      <w:r w:rsidRPr="00CA423B">
        <w:rPr>
          <w:rFonts w:ascii="Times New Roman" w:hAnsi="Times New Roman"/>
          <w:color w:val="000000"/>
          <w:sz w:val="24"/>
          <w:szCs w:val="24"/>
        </w:rPr>
        <w:t xml:space="preserve">Procedure owner: </w:t>
      </w:r>
      <w:r w:rsidRPr="00CA423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A423B">
        <w:rPr>
          <w:rFonts w:ascii="Times New Roman" w:hAnsi="Times New Roman"/>
          <w:color w:val="000000"/>
          <w:sz w:val="24"/>
          <w:szCs w:val="24"/>
        </w:rPr>
        <w:t>Clinical Core Laboratory Management-</w:t>
      </w:r>
      <w:r>
        <w:rPr>
          <w:rFonts w:ascii="Times New Roman" w:hAnsi="Times New Roman"/>
          <w:color w:val="000000"/>
          <w:sz w:val="24"/>
          <w:szCs w:val="24"/>
        </w:rPr>
        <w:t xml:space="preserve">Chemistry </w:t>
      </w:r>
    </w:p>
    <w:p w:rsidR="00E87FD4" w:rsidRPr="00CA423B" w:rsidRDefault="00E87FD4" w:rsidP="00574B23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890" w:firstLine="0"/>
        <w:rPr>
          <w:rFonts w:ascii="Times New Roman" w:hAnsi="Times New Roman"/>
          <w:b/>
          <w:color w:val="0070C0"/>
          <w:sz w:val="24"/>
          <w:szCs w:val="24"/>
        </w:rPr>
      </w:pPr>
      <w:r w:rsidRPr="00CA423B">
        <w:rPr>
          <w:rFonts w:ascii="Times New Roman" w:hAnsi="Times New Roman"/>
          <w:color w:val="000000"/>
          <w:sz w:val="24"/>
          <w:szCs w:val="24"/>
        </w:rPr>
        <w:t>Procedure:</w:t>
      </w:r>
      <w:r w:rsidRPr="00CA423B">
        <w:rPr>
          <w:rFonts w:ascii="Times New Roman" w:hAnsi="Times New Roman"/>
          <w:color w:val="000000"/>
          <w:sz w:val="24"/>
          <w:szCs w:val="24"/>
        </w:rPr>
        <w:tab/>
      </w:r>
      <w:r w:rsidRPr="00CA423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A423B">
        <w:rPr>
          <w:rFonts w:ascii="Times New Roman" w:hAnsi="Times New Roman"/>
          <w:color w:val="000000"/>
          <w:sz w:val="24"/>
          <w:szCs w:val="24"/>
        </w:rPr>
        <w:t>Clinical Core Laboratory Personnel</w:t>
      </w:r>
    </w:p>
    <w:p w:rsidR="00E87FD4" w:rsidRPr="00D77FF5" w:rsidRDefault="00E87FD4" w:rsidP="00574B23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890" w:firstLine="0"/>
        <w:rPr>
          <w:rFonts w:ascii="Times New Roman" w:hAnsi="Times New Roman"/>
          <w:b/>
          <w:color w:val="0070C0"/>
          <w:sz w:val="24"/>
          <w:szCs w:val="24"/>
        </w:rPr>
      </w:pPr>
      <w:r w:rsidRPr="00CA423B">
        <w:rPr>
          <w:rFonts w:ascii="Times New Roman" w:hAnsi="Times New Roman"/>
          <w:color w:val="000000"/>
          <w:sz w:val="24"/>
          <w:szCs w:val="24"/>
        </w:rPr>
        <w:t>Procedure prepared by:</w:t>
      </w:r>
      <w:r w:rsidRPr="00CA423B">
        <w:rPr>
          <w:rFonts w:ascii="Times New Roman" w:hAnsi="Times New Roman"/>
          <w:color w:val="000000"/>
          <w:sz w:val="24"/>
          <w:szCs w:val="24"/>
        </w:rPr>
        <w:tab/>
      </w:r>
      <w:r w:rsidR="007C0B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67C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7C0BFC">
        <w:rPr>
          <w:rFonts w:ascii="Times New Roman" w:hAnsi="Times New Roman"/>
          <w:color w:val="000000"/>
          <w:sz w:val="24"/>
          <w:szCs w:val="24"/>
        </w:rPr>
        <w:t>Elma Wilson</w:t>
      </w:r>
      <w:r w:rsidR="00D77FF5">
        <w:rPr>
          <w:rFonts w:ascii="Times New Roman" w:hAnsi="Times New Roman"/>
          <w:color w:val="000000"/>
          <w:sz w:val="24"/>
          <w:szCs w:val="24"/>
        </w:rPr>
        <w:t xml:space="preserve"> / Emily Dockery</w:t>
      </w:r>
    </w:p>
    <w:p w:rsidR="00E87FD4" w:rsidRPr="00CA423B" w:rsidRDefault="00E87FD4" w:rsidP="00574B23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890" w:firstLine="0"/>
        <w:rPr>
          <w:rFonts w:ascii="Times New Roman" w:hAnsi="Times New Roman"/>
          <w:b/>
          <w:color w:val="0070C0"/>
          <w:sz w:val="24"/>
          <w:szCs w:val="24"/>
        </w:rPr>
      </w:pPr>
      <w:r w:rsidRPr="00CA423B">
        <w:rPr>
          <w:rFonts w:ascii="Times New Roman" w:hAnsi="Times New Roman"/>
          <w:color w:val="000000"/>
          <w:sz w:val="24"/>
          <w:szCs w:val="24"/>
        </w:rPr>
        <w:t>Supervision:</w:t>
      </w:r>
      <w:r w:rsidRPr="00CA423B">
        <w:rPr>
          <w:rFonts w:ascii="Times New Roman" w:hAnsi="Times New Roman"/>
          <w:color w:val="000000"/>
          <w:sz w:val="24"/>
          <w:szCs w:val="24"/>
        </w:rPr>
        <w:tab/>
      </w:r>
      <w:r w:rsidRPr="00CA423B">
        <w:rPr>
          <w:rFonts w:ascii="Times New Roman" w:hAnsi="Times New Roman"/>
          <w:color w:val="000000"/>
          <w:sz w:val="24"/>
          <w:szCs w:val="24"/>
        </w:rPr>
        <w:tab/>
      </w:r>
      <w:r w:rsidRPr="00CA423B">
        <w:rPr>
          <w:rFonts w:ascii="Times New Roman" w:hAnsi="Times New Roman"/>
          <w:color w:val="000000"/>
          <w:sz w:val="24"/>
          <w:szCs w:val="24"/>
        </w:rPr>
        <w:tab/>
        <w:t>Clinical Core Laboratory Management-</w:t>
      </w:r>
      <w:r w:rsidR="006F60A1">
        <w:rPr>
          <w:rFonts w:ascii="Times New Roman" w:hAnsi="Times New Roman"/>
          <w:color w:val="000000"/>
          <w:sz w:val="24"/>
          <w:szCs w:val="24"/>
        </w:rPr>
        <w:t>Chemistry</w:t>
      </w:r>
      <w:r w:rsidRPr="00CA42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87FD4" w:rsidRPr="00CA423B" w:rsidRDefault="00E87FD4" w:rsidP="00E87FD4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CA423B">
        <w:rPr>
          <w:rFonts w:ascii="Times New Roman" w:hAnsi="Times New Roman"/>
          <w:sz w:val="24"/>
          <w:szCs w:val="24"/>
        </w:rPr>
        <w:t>Clin</w:t>
      </w:r>
      <w:r>
        <w:rPr>
          <w:rFonts w:ascii="Times New Roman" w:hAnsi="Times New Roman"/>
          <w:sz w:val="24"/>
          <w:szCs w:val="24"/>
        </w:rPr>
        <w:t>ical Core Laboratory Specialist and Designees</w:t>
      </w:r>
    </w:p>
    <w:p w:rsidR="00E87FD4" w:rsidRDefault="00E87FD4" w:rsidP="00E87FD4">
      <w:pPr>
        <w:autoSpaceDE w:val="0"/>
        <w:autoSpaceDN w:val="0"/>
        <w:adjustRightInd w:val="0"/>
        <w:spacing w:after="0" w:line="240" w:lineRule="auto"/>
        <w:ind w:left="4770" w:firstLine="27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Medical Director Clinical </w:t>
      </w:r>
      <w:r w:rsidR="006F60A1">
        <w:rPr>
          <w:rFonts w:ascii="Times New Roman" w:hAnsi="Times New Roman"/>
          <w:color w:val="000000" w:themeColor="text1"/>
          <w:sz w:val="24"/>
          <w:szCs w:val="24"/>
        </w:rPr>
        <w:t>Chemistry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87FD4" w:rsidRPr="00DC34B1" w:rsidRDefault="00E87FD4" w:rsidP="00574B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160" w:hanging="270"/>
        <w:rPr>
          <w:rFonts w:ascii="Times New Roman" w:hAnsi="Times New Roman"/>
          <w:b/>
          <w:color w:val="0070C0"/>
          <w:sz w:val="24"/>
          <w:szCs w:val="24"/>
        </w:rPr>
      </w:pPr>
      <w:r w:rsidRPr="00182D27">
        <w:rPr>
          <w:rFonts w:ascii="Times New Roman" w:hAnsi="Times New Roman"/>
          <w:color w:val="000000"/>
          <w:sz w:val="24"/>
          <w:szCs w:val="24"/>
        </w:rPr>
        <w:t xml:space="preserve">Implementation:  </w:t>
      </w:r>
      <w:r w:rsidRPr="00182D27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182D27">
        <w:rPr>
          <w:rFonts w:ascii="Times New Roman" w:hAnsi="Times New Roman"/>
          <w:color w:val="000000"/>
          <w:sz w:val="24"/>
          <w:szCs w:val="24"/>
        </w:rPr>
        <w:tab/>
        <w:t>Clinical Core Laboratory Management-</w:t>
      </w:r>
      <w:r w:rsidR="006F60A1">
        <w:rPr>
          <w:rFonts w:ascii="Times New Roman" w:hAnsi="Times New Roman"/>
          <w:color w:val="000000"/>
          <w:sz w:val="24"/>
          <w:szCs w:val="24"/>
        </w:rPr>
        <w:t>Chemistry</w:t>
      </w:r>
      <w:r w:rsidRPr="00182D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87FD4" w:rsidRPr="00DC34B1" w:rsidRDefault="00E87FD4" w:rsidP="00E87FD4">
      <w:pPr>
        <w:pStyle w:val="ListParagraph"/>
        <w:autoSpaceDE w:val="0"/>
        <w:autoSpaceDN w:val="0"/>
        <w:adjustRightInd w:val="0"/>
        <w:spacing w:after="0" w:line="240" w:lineRule="auto"/>
        <w:ind w:left="4680" w:firstLine="360"/>
        <w:rPr>
          <w:rFonts w:ascii="Times New Roman" w:hAnsi="Times New Roman"/>
          <w:sz w:val="24"/>
          <w:szCs w:val="24"/>
        </w:rPr>
      </w:pPr>
      <w:r w:rsidRPr="00DC34B1">
        <w:rPr>
          <w:rFonts w:ascii="Times New Roman" w:hAnsi="Times New Roman"/>
          <w:sz w:val="24"/>
          <w:szCs w:val="24"/>
        </w:rPr>
        <w:t>Clinical Core Laboratory Specialist and Designees</w:t>
      </w:r>
    </w:p>
    <w:p w:rsidR="00E87FD4" w:rsidRPr="00182D27" w:rsidRDefault="00E87FD4" w:rsidP="00E87FD4">
      <w:pPr>
        <w:pStyle w:val="ListParagraph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Medical Director Clinical </w:t>
      </w:r>
      <w:r w:rsidR="006F60A1">
        <w:rPr>
          <w:rFonts w:ascii="Times New Roman" w:hAnsi="Times New Roman"/>
          <w:color w:val="000000" w:themeColor="text1"/>
          <w:sz w:val="24"/>
          <w:szCs w:val="24"/>
        </w:rPr>
        <w:t>Chemistry</w:t>
      </w:r>
    </w:p>
    <w:p w:rsidR="00E87FD4" w:rsidRPr="002B1ABF" w:rsidRDefault="00E87FD4" w:rsidP="00574B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Definitions</w:t>
      </w:r>
      <w:r w:rsidRPr="002B1ABF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1D0C64"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  <w:r w:rsidRPr="002B1A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87FD4" w:rsidRPr="002B1ABF" w:rsidRDefault="00E87FD4" w:rsidP="00E87FD4">
      <w:pPr>
        <w:pStyle w:val="ListParagraph"/>
        <w:rPr>
          <w:rFonts w:ascii="Times New Roman" w:hAnsi="Times New Roman"/>
          <w:sz w:val="24"/>
          <w:szCs w:val="24"/>
        </w:rPr>
      </w:pPr>
    </w:p>
    <w:p w:rsidR="007069D2" w:rsidRPr="001D0C64" w:rsidRDefault="00E87FD4" w:rsidP="007069D2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1AB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Procedure:</w:t>
      </w:r>
      <w:r w:rsidR="007069D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7069D2" w:rsidRPr="007069D2">
        <w:rPr>
          <w:rFonts w:ascii="Times New Roman" w:hAnsi="Times New Roman"/>
          <w:bCs/>
          <w:color w:val="000000"/>
          <w:sz w:val="24"/>
          <w:szCs w:val="24"/>
        </w:rPr>
        <w:t>To be performed by all Chemistry personnel.</w:t>
      </w:r>
    </w:p>
    <w:p w:rsidR="001D0C64" w:rsidRPr="001D0C64" w:rsidRDefault="001D0C64" w:rsidP="001D0C64">
      <w:pPr>
        <w:pStyle w:val="ListParagrap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0C64" w:rsidRDefault="001D0C64" w:rsidP="001D0C64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LABELING:</w:t>
      </w:r>
    </w:p>
    <w:p w:rsidR="0016552D" w:rsidRDefault="0016552D" w:rsidP="001D0C64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D0C64" w:rsidRPr="008651A4" w:rsidRDefault="00BD401B" w:rsidP="001D0C64">
      <w:pPr>
        <w:pStyle w:val="ListParagraph"/>
        <w:numPr>
          <w:ilvl w:val="0"/>
          <w:numId w:val="2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651A4">
        <w:rPr>
          <w:rFonts w:ascii="Times New Roman" w:hAnsi="Times New Roman"/>
          <w:bCs/>
          <w:color w:val="000000"/>
          <w:sz w:val="24"/>
          <w:szCs w:val="24"/>
        </w:rPr>
        <w:t>Content and quantity, also concentration</w:t>
      </w:r>
    </w:p>
    <w:p w:rsidR="00BD401B" w:rsidRPr="008651A4" w:rsidRDefault="00BD401B" w:rsidP="001D0C64">
      <w:pPr>
        <w:pStyle w:val="ListParagraph"/>
        <w:numPr>
          <w:ilvl w:val="0"/>
          <w:numId w:val="2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651A4">
        <w:rPr>
          <w:rFonts w:ascii="Times New Roman" w:hAnsi="Times New Roman"/>
          <w:bCs/>
          <w:color w:val="000000"/>
          <w:sz w:val="24"/>
          <w:szCs w:val="24"/>
        </w:rPr>
        <w:t>Storage requirements</w:t>
      </w:r>
    </w:p>
    <w:p w:rsidR="00BD401B" w:rsidRPr="008651A4" w:rsidRDefault="00BD401B" w:rsidP="001D0C64">
      <w:pPr>
        <w:pStyle w:val="ListParagraph"/>
        <w:numPr>
          <w:ilvl w:val="0"/>
          <w:numId w:val="2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651A4">
        <w:rPr>
          <w:rFonts w:ascii="Times New Roman" w:hAnsi="Times New Roman"/>
          <w:bCs/>
          <w:color w:val="000000"/>
          <w:sz w:val="24"/>
          <w:szCs w:val="24"/>
        </w:rPr>
        <w:t xml:space="preserve">Date prepared </w:t>
      </w:r>
      <w:r w:rsidR="005F64A8">
        <w:rPr>
          <w:rFonts w:ascii="Times New Roman" w:hAnsi="Times New Roman"/>
          <w:bCs/>
          <w:color w:val="000000"/>
          <w:sz w:val="24"/>
          <w:szCs w:val="24"/>
        </w:rPr>
        <w:t xml:space="preserve">or reconstituted </w:t>
      </w:r>
      <w:r w:rsidRPr="008651A4">
        <w:rPr>
          <w:rFonts w:ascii="Times New Roman" w:hAnsi="Times New Roman"/>
          <w:bCs/>
          <w:color w:val="000000"/>
          <w:sz w:val="24"/>
          <w:szCs w:val="24"/>
        </w:rPr>
        <w:t>and initial</w:t>
      </w:r>
    </w:p>
    <w:p w:rsidR="00BD401B" w:rsidRPr="008651A4" w:rsidRDefault="00BD401B" w:rsidP="001D0C64">
      <w:pPr>
        <w:pStyle w:val="ListParagraph"/>
        <w:numPr>
          <w:ilvl w:val="0"/>
          <w:numId w:val="2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651A4">
        <w:rPr>
          <w:rFonts w:ascii="Times New Roman" w:hAnsi="Times New Roman"/>
          <w:bCs/>
          <w:color w:val="000000"/>
          <w:sz w:val="24"/>
          <w:szCs w:val="24"/>
        </w:rPr>
        <w:t>Expiration date</w:t>
      </w:r>
    </w:p>
    <w:p w:rsidR="00BD401B" w:rsidRPr="008651A4" w:rsidRDefault="00BD401B" w:rsidP="001D0C64">
      <w:pPr>
        <w:pStyle w:val="ListParagraph"/>
        <w:numPr>
          <w:ilvl w:val="0"/>
          <w:numId w:val="2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651A4">
        <w:rPr>
          <w:rFonts w:ascii="Times New Roman" w:hAnsi="Times New Roman"/>
          <w:bCs/>
          <w:color w:val="000000"/>
          <w:sz w:val="24"/>
          <w:szCs w:val="24"/>
        </w:rPr>
        <w:t>Any precautions necessary</w:t>
      </w:r>
    </w:p>
    <w:p w:rsidR="00BD401B" w:rsidRPr="008651A4" w:rsidRDefault="00BD401B" w:rsidP="001D0C64">
      <w:pPr>
        <w:pStyle w:val="ListParagraph"/>
        <w:numPr>
          <w:ilvl w:val="0"/>
          <w:numId w:val="2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651A4">
        <w:rPr>
          <w:rFonts w:ascii="Times New Roman" w:hAnsi="Times New Roman"/>
          <w:bCs/>
          <w:color w:val="000000"/>
          <w:sz w:val="24"/>
          <w:szCs w:val="24"/>
        </w:rPr>
        <w:t>Any reagent with no defini</w:t>
      </w:r>
      <w:r w:rsidR="00B262A1" w:rsidRPr="008651A4">
        <w:rPr>
          <w:rFonts w:ascii="Times New Roman" w:hAnsi="Times New Roman"/>
          <w:bCs/>
          <w:color w:val="000000"/>
          <w:sz w:val="24"/>
          <w:szCs w:val="24"/>
        </w:rPr>
        <w:t>te expiration per manufacturer such as diluted acid or buffer use for maintenance expiration is 6 months after preparation.</w:t>
      </w:r>
    </w:p>
    <w:p w:rsidR="00B262A1" w:rsidRDefault="00B262A1" w:rsidP="00B262A1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51A4" w:rsidRDefault="008651A4" w:rsidP="00B262A1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51A4" w:rsidRDefault="008651A4" w:rsidP="00B262A1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51A4" w:rsidRDefault="008651A4" w:rsidP="00B262A1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51A4" w:rsidRDefault="008651A4" w:rsidP="00B262A1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51A4" w:rsidRDefault="008651A4" w:rsidP="00B262A1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51A4" w:rsidRDefault="008651A4" w:rsidP="00B262A1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51A4" w:rsidRDefault="008651A4" w:rsidP="00B262A1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51A4" w:rsidRDefault="008651A4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18BD">
        <w:rPr>
          <w:rFonts w:ascii="Times New Roman" w:hAnsi="Times New Roman"/>
          <w:b/>
          <w:bCs/>
          <w:color w:val="000000"/>
          <w:sz w:val="24"/>
          <w:szCs w:val="24"/>
        </w:rPr>
        <w:t>STORAGE:</w:t>
      </w:r>
    </w:p>
    <w:p w:rsidR="0016552D" w:rsidRPr="000F18BD" w:rsidRDefault="0016552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51A4" w:rsidRDefault="008651A4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18BD">
        <w:rPr>
          <w:rFonts w:ascii="Times New Roman" w:hAnsi="Times New Roman"/>
          <w:bCs/>
          <w:color w:val="000000"/>
          <w:sz w:val="24"/>
          <w:szCs w:val="24"/>
        </w:rPr>
        <w:t>All reagents are stored and handle</w:t>
      </w:r>
      <w:r w:rsidR="000F18BD" w:rsidRPr="000F18BD">
        <w:rPr>
          <w:rFonts w:ascii="Times New Roman" w:hAnsi="Times New Roman"/>
          <w:bCs/>
          <w:color w:val="000000"/>
          <w:sz w:val="24"/>
          <w:szCs w:val="24"/>
        </w:rPr>
        <w:t>d according to the manufacturer</w:t>
      </w:r>
      <w:r w:rsidRPr="000F18BD">
        <w:rPr>
          <w:rFonts w:ascii="Times New Roman" w:hAnsi="Times New Roman"/>
          <w:bCs/>
          <w:color w:val="000000"/>
          <w:sz w:val="24"/>
          <w:szCs w:val="24"/>
        </w:rPr>
        <w:t xml:space="preserve"> recommendations</w:t>
      </w:r>
      <w:r w:rsidRPr="000F18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0F18BD" w:rsidRPr="00C57126" w:rsidRDefault="000F18B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57126">
        <w:rPr>
          <w:rFonts w:ascii="Times New Roman" w:hAnsi="Times New Roman"/>
          <w:bCs/>
          <w:color w:val="000000"/>
          <w:sz w:val="24"/>
          <w:szCs w:val="24"/>
        </w:rPr>
        <w:t>Reagents are stored in a manner that will prevent environmentally-induced alterations that could affect reagent stability and te</w:t>
      </w:r>
      <w:r w:rsidR="00C57126" w:rsidRPr="00C57126">
        <w:rPr>
          <w:rFonts w:ascii="Times New Roman" w:hAnsi="Times New Roman"/>
          <w:bCs/>
          <w:color w:val="000000"/>
          <w:sz w:val="24"/>
          <w:szCs w:val="24"/>
        </w:rPr>
        <w:t>st performan</w:t>
      </w:r>
      <w:r w:rsidRPr="00C57126">
        <w:rPr>
          <w:rFonts w:ascii="Times New Roman" w:hAnsi="Times New Roman"/>
          <w:bCs/>
          <w:color w:val="000000"/>
          <w:sz w:val="24"/>
          <w:szCs w:val="24"/>
        </w:rPr>
        <w:t>ce.</w:t>
      </w:r>
      <w:r w:rsidR="00C57126" w:rsidRPr="00C57126">
        <w:rPr>
          <w:rFonts w:ascii="Times New Roman" w:hAnsi="Times New Roman"/>
          <w:bCs/>
          <w:color w:val="000000"/>
          <w:sz w:val="24"/>
          <w:szCs w:val="24"/>
        </w:rPr>
        <w:t xml:space="preserve"> Prepared reagents are also stored accordingly.</w:t>
      </w:r>
    </w:p>
    <w:p w:rsidR="00C57126" w:rsidRDefault="00C57126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57126">
        <w:rPr>
          <w:rFonts w:ascii="Times New Roman" w:hAnsi="Times New Roman"/>
          <w:bCs/>
          <w:color w:val="000000"/>
          <w:sz w:val="24"/>
          <w:szCs w:val="24"/>
        </w:rPr>
        <w:t>The temperature of the storage areas such as freezers, refrigerators and room Temperatures are monitored daily.</w:t>
      </w:r>
      <w:r w:rsidR="00B73323">
        <w:rPr>
          <w:rFonts w:ascii="Times New Roman" w:hAnsi="Times New Roman"/>
          <w:bCs/>
          <w:color w:val="000000"/>
          <w:sz w:val="24"/>
          <w:szCs w:val="24"/>
        </w:rPr>
        <w:t xml:space="preserve"> Reagents that are subjected to unacceptable storage conditions must be evaluated </w:t>
      </w:r>
      <w:r w:rsidR="00507966">
        <w:rPr>
          <w:rFonts w:ascii="Times New Roman" w:hAnsi="Times New Roman"/>
          <w:bCs/>
          <w:color w:val="000000"/>
          <w:sz w:val="24"/>
          <w:szCs w:val="24"/>
        </w:rPr>
        <w:t>for potential impact on patients and maintain records and document actions taken.</w:t>
      </w:r>
    </w:p>
    <w:p w:rsidR="00507966" w:rsidRDefault="00507966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07966" w:rsidRDefault="00507966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7966">
        <w:rPr>
          <w:rFonts w:ascii="Times New Roman" w:hAnsi="Times New Roman"/>
          <w:b/>
          <w:bCs/>
          <w:color w:val="000000"/>
          <w:sz w:val="24"/>
          <w:szCs w:val="24"/>
        </w:rPr>
        <w:t>REAGENT  EXPIRATION DATES:</w:t>
      </w:r>
    </w:p>
    <w:p w:rsidR="0016552D" w:rsidRDefault="0016552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2B4E" w:rsidRPr="006B47A8" w:rsidRDefault="00507966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312B7">
        <w:rPr>
          <w:rFonts w:ascii="Times New Roman" w:hAnsi="Times New Roman"/>
          <w:bCs/>
          <w:color w:val="000000"/>
          <w:sz w:val="24"/>
          <w:szCs w:val="24"/>
        </w:rPr>
        <w:t>All reagents and chemicals are used within their indicated expiration dates. Discard all expired reagents</w:t>
      </w:r>
      <w:r w:rsidR="009C3FFA" w:rsidRPr="008312B7">
        <w:rPr>
          <w:rFonts w:ascii="Times New Roman" w:hAnsi="Times New Roman"/>
          <w:bCs/>
          <w:color w:val="000000"/>
          <w:sz w:val="24"/>
          <w:szCs w:val="24"/>
        </w:rPr>
        <w:t xml:space="preserve"> and chemicals.  The lab assign</w:t>
      </w:r>
      <w:r w:rsidR="008E05A4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9C3FFA" w:rsidRPr="008312B7">
        <w:rPr>
          <w:rFonts w:ascii="Times New Roman" w:hAnsi="Times New Roman"/>
          <w:bCs/>
          <w:color w:val="000000"/>
          <w:sz w:val="24"/>
          <w:szCs w:val="24"/>
        </w:rPr>
        <w:t xml:space="preserve"> expiration dates on reagents and chemicals that do not have manufacturer-pr</w:t>
      </w:r>
      <w:r w:rsidR="004F220D">
        <w:rPr>
          <w:rFonts w:ascii="Times New Roman" w:hAnsi="Times New Roman"/>
          <w:bCs/>
          <w:color w:val="000000"/>
          <w:sz w:val="24"/>
          <w:szCs w:val="24"/>
        </w:rPr>
        <w:t>ovided expiration date.  The Laboratory assigned expiration date is</w:t>
      </w:r>
      <w:r w:rsidR="009C3FFA" w:rsidRPr="008312B7">
        <w:rPr>
          <w:rFonts w:ascii="Times New Roman" w:hAnsi="Times New Roman"/>
          <w:bCs/>
          <w:color w:val="000000"/>
          <w:sz w:val="24"/>
          <w:szCs w:val="24"/>
        </w:rPr>
        <w:t xml:space="preserve"> based on</w:t>
      </w:r>
      <w:r w:rsidR="00D92B4E">
        <w:rPr>
          <w:rFonts w:ascii="Times New Roman" w:hAnsi="Times New Roman"/>
          <w:bCs/>
          <w:color w:val="000000"/>
          <w:sz w:val="24"/>
          <w:szCs w:val="24"/>
        </w:rPr>
        <w:t xml:space="preserve"> known stability,</w:t>
      </w:r>
      <w:r w:rsidR="008312B7" w:rsidRPr="008312B7">
        <w:rPr>
          <w:rFonts w:ascii="Times New Roman" w:hAnsi="Times New Roman"/>
          <w:bCs/>
          <w:color w:val="000000"/>
          <w:sz w:val="24"/>
          <w:szCs w:val="24"/>
        </w:rPr>
        <w:t xml:space="preserve"> frequency of use, </w:t>
      </w:r>
      <w:r w:rsidR="00D92B4E">
        <w:rPr>
          <w:rFonts w:ascii="Times New Roman" w:hAnsi="Times New Roman"/>
          <w:bCs/>
          <w:color w:val="000000"/>
          <w:sz w:val="24"/>
          <w:szCs w:val="24"/>
        </w:rPr>
        <w:t>storage conditions,</w:t>
      </w:r>
      <w:r w:rsidR="005F64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312B7" w:rsidRPr="008312B7">
        <w:rPr>
          <w:rFonts w:ascii="Times New Roman" w:hAnsi="Times New Roman"/>
          <w:bCs/>
          <w:color w:val="000000"/>
          <w:sz w:val="24"/>
          <w:szCs w:val="24"/>
        </w:rPr>
        <w:t>and risk of deterioration</w:t>
      </w:r>
      <w:r w:rsidR="008312B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BF20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F2075" w:rsidRPr="00BF2075">
        <w:rPr>
          <w:rFonts w:ascii="Times New Roman" w:hAnsi="Times New Roman"/>
          <w:bCs/>
          <w:color w:val="000000"/>
          <w:sz w:val="24"/>
          <w:szCs w:val="24"/>
        </w:rPr>
        <w:t>Water use</w:t>
      </w:r>
      <w:r w:rsidR="005F64A8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BF2075" w:rsidRPr="00BF2075">
        <w:rPr>
          <w:rFonts w:ascii="Times New Roman" w:hAnsi="Times New Roman"/>
          <w:bCs/>
          <w:color w:val="000000"/>
          <w:sz w:val="24"/>
          <w:szCs w:val="24"/>
        </w:rPr>
        <w:t xml:space="preserve"> for dilu</w:t>
      </w:r>
      <w:r w:rsidR="00D92B4E">
        <w:rPr>
          <w:rFonts w:ascii="Times New Roman" w:hAnsi="Times New Roman"/>
          <w:bCs/>
          <w:color w:val="000000"/>
          <w:sz w:val="24"/>
          <w:szCs w:val="24"/>
        </w:rPr>
        <w:t>tion should be changed daily with date and initial.</w:t>
      </w:r>
      <w:r w:rsidR="00E66908">
        <w:rPr>
          <w:rFonts w:ascii="Times New Roman" w:hAnsi="Times New Roman"/>
          <w:bCs/>
          <w:color w:val="000000"/>
          <w:sz w:val="24"/>
          <w:szCs w:val="24"/>
        </w:rPr>
        <w:t xml:space="preserve"> A new </w:t>
      </w:r>
      <w:r w:rsidR="005F64A8">
        <w:rPr>
          <w:rFonts w:ascii="Times New Roman" w:hAnsi="Times New Roman"/>
          <w:bCs/>
          <w:color w:val="000000"/>
          <w:sz w:val="24"/>
          <w:szCs w:val="24"/>
        </w:rPr>
        <w:t>expiration date must be recorded</w:t>
      </w:r>
      <w:r w:rsidR="00E66908">
        <w:rPr>
          <w:rFonts w:ascii="Times New Roman" w:hAnsi="Times New Roman"/>
          <w:bCs/>
          <w:color w:val="000000"/>
          <w:sz w:val="24"/>
          <w:szCs w:val="24"/>
        </w:rPr>
        <w:t xml:space="preserve"> if opening the container changes the expiration date or storage requirement. </w:t>
      </w:r>
      <w:r w:rsidR="009738A6">
        <w:rPr>
          <w:rFonts w:ascii="Times New Roman" w:hAnsi="Times New Roman"/>
          <w:bCs/>
          <w:color w:val="000000"/>
          <w:sz w:val="24"/>
          <w:szCs w:val="24"/>
        </w:rPr>
        <w:t>Prepared reagents, diluents, maintenance wash or buffer</w:t>
      </w:r>
      <w:r w:rsidR="00E155C3">
        <w:rPr>
          <w:rFonts w:ascii="Times New Roman" w:hAnsi="Times New Roman"/>
          <w:bCs/>
          <w:color w:val="000000"/>
          <w:sz w:val="24"/>
          <w:szCs w:val="24"/>
        </w:rPr>
        <w:t xml:space="preserve"> and others, follows the requirement of manufacturers suggested expiration dates or the Lab assigned expiration dates.</w:t>
      </w:r>
      <w:r w:rsidR="006B47A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D92B4E">
        <w:rPr>
          <w:rFonts w:ascii="Times New Roman" w:hAnsi="Times New Roman"/>
          <w:bCs/>
          <w:color w:val="000000"/>
          <w:sz w:val="24"/>
          <w:szCs w:val="24"/>
        </w:rPr>
        <w:t>All reagents are stored per manufac</w:t>
      </w:r>
      <w:r w:rsidR="00C040DC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D92B4E">
        <w:rPr>
          <w:rFonts w:ascii="Times New Roman" w:hAnsi="Times New Roman"/>
          <w:bCs/>
          <w:color w:val="000000"/>
          <w:sz w:val="24"/>
          <w:szCs w:val="24"/>
        </w:rPr>
        <w:t>urer</w:t>
      </w:r>
      <w:r w:rsidR="00C040DC">
        <w:rPr>
          <w:rFonts w:ascii="Times New Roman" w:hAnsi="Times New Roman"/>
          <w:bCs/>
          <w:color w:val="000000"/>
          <w:sz w:val="24"/>
          <w:szCs w:val="24"/>
        </w:rPr>
        <w:t xml:space="preserve">’s instructions. </w:t>
      </w:r>
      <w:r w:rsidR="006B47A8">
        <w:rPr>
          <w:rFonts w:ascii="Times New Roman" w:hAnsi="Times New Roman"/>
          <w:bCs/>
          <w:color w:val="000000"/>
          <w:sz w:val="24"/>
          <w:szCs w:val="24"/>
        </w:rPr>
        <w:t>Temperature requirements can be found on reagent packaging and in individual assay procedures.</w:t>
      </w:r>
    </w:p>
    <w:p w:rsidR="006B47A8" w:rsidRDefault="006B47A8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2B7" w:rsidRDefault="008312B7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NEW REAGENT LOT CONFIRMATION:</w:t>
      </w:r>
    </w:p>
    <w:p w:rsidR="0016552D" w:rsidRDefault="0016552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104F" w:rsidRDefault="004202F5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6552D">
        <w:rPr>
          <w:rFonts w:ascii="Times New Roman" w:hAnsi="Times New Roman"/>
          <w:bCs/>
          <w:color w:val="000000"/>
          <w:sz w:val="24"/>
          <w:szCs w:val="24"/>
        </w:rPr>
        <w:t xml:space="preserve">New reagent lots are checked against </w:t>
      </w:r>
      <w:r w:rsidR="009B16D1" w:rsidRPr="0016552D">
        <w:rPr>
          <w:rFonts w:ascii="Times New Roman" w:hAnsi="Times New Roman"/>
          <w:bCs/>
          <w:color w:val="000000"/>
          <w:sz w:val="24"/>
          <w:szCs w:val="24"/>
        </w:rPr>
        <w:t>old reagent lot to confirm that the matrix of the  new reagent lot does not affect patient results</w:t>
      </w:r>
      <w:r w:rsidR="00702A1D">
        <w:rPr>
          <w:rFonts w:ascii="Times New Roman" w:hAnsi="Times New Roman"/>
          <w:bCs/>
          <w:color w:val="000000"/>
          <w:sz w:val="24"/>
          <w:szCs w:val="24"/>
        </w:rPr>
        <w:t xml:space="preserve"> before or concurrently with being placed in service</w:t>
      </w:r>
      <w:r w:rsidR="009B16D1" w:rsidRPr="0016552D">
        <w:rPr>
          <w:rFonts w:ascii="Times New Roman" w:hAnsi="Times New Roman"/>
          <w:bCs/>
          <w:color w:val="000000"/>
          <w:sz w:val="24"/>
          <w:szCs w:val="24"/>
        </w:rPr>
        <w:t xml:space="preserve">. If the matrix of the new reagent </w:t>
      </w:r>
      <w:r w:rsidR="00D136D9" w:rsidRPr="0016552D">
        <w:rPr>
          <w:rFonts w:ascii="Times New Roman" w:hAnsi="Times New Roman"/>
          <w:bCs/>
          <w:color w:val="000000"/>
          <w:sz w:val="24"/>
          <w:szCs w:val="24"/>
        </w:rPr>
        <w:t>is di</w:t>
      </w:r>
      <w:r w:rsidR="009B16D1" w:rsidRPr="0016552D">
        <w:rPr>
          <w:rFonts w:ascii="Times New Roman" w:hAnsi="Times New Roman"/>
          <w:bCs/>
          <w:color w:val="000000"/>
          <w:sz w:val="24"/>
          <w:szCs w:val="24"/>
        </w:rPr>
        <w:t>fferent from the old lot</w:t>
      </w:r>
      <w:r w:rsidR="00D136D9" w:rsidRPr="0016552D">
        <w:rPr>
          <w:rFonts w:ascii="Times New Roman" w:hAnsi="Times New Roman"/>
          <w:bCs/>
          <w:color w:val="000000"/>
          <w:sz w:val="24"/>
          <w:szCs w:val="24"/>
        </w:rPr>
        <w:t xml:space="preserve">, it may impact the calibration status of the instrument and the consistency of patient results.  Improper storage during shipping may impact the ability of the reagent to perform properly. </w:t>
      </w:r>
    </w:p>
    <w:p w:rsidR="0016552D" w:rsidRDefault="0016552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6552D" w:rsidRDefault="0016552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5A7D">
        <w:rPr>
          <w:rFonts w:ascii="Times New Roman" w:hAnsi="Times New Roman"/>
          <w:b/>
          <w:bCs/>
          <w:color w:val="000000"/>
          <w:sz w:val="24"/>
          <w:szCs w:val="24"/>
        </w:rPr>
        <w:t>Qualitative Comparison:</w:t>
      </w:r>
    </w:p>
    <w:p w:rsidR="006C49D6" w:rsidRPr="00725A7D" w:rsidRDefault="006C49D6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552D" w:rsidRDefault="0016552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Retest at least one positive and one negative </w:t>
      </w:r>
      <w:r w:rsidR="00725A7D">
        <w:rPr>
          <w:rFonts w:ascii="Times New Roman" w:hAnsi="Times New Roman"/>
          <w:bCs/>
          <w:color w:val="000000"/>
          <w:sz w:val="24"/>
          <w:szCs w:val="24"/>
        </w:rPr>
        <w:t>sample. If available retest weakly positive sample also.</w:t>
      </w:r>
    </w:p>
    <w:p w:rsidR="00725A7D" w:rsidRDefault="00725A7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Document results on the lot to lot log.</w:t>
      </w:r>
    </w:p>
    <w:p w:rsidR="00702A1D" w:rsidRDefault="00702A1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02A1D" w:rsidRDefault="00702A1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Examples of suitable reference materials for qualitative tests include:</w:t>
      </w:r>
    </w:p>
    <w:p w:rsidR="00702A1D" w:rsidRDefault="00702A1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02A1D" w:rsidRDefault="00702A1D" w:rsidP="00702A1D">
      <w:pPr>
        <w:pStyle w:val="ListParagraph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Positive and negative patient samples tested on a previous lot</w:t>
      </w:r>
    </w:p>
    <w:p w:rsidR="00702A1D" w:rsidRDefault="00702A1D" w:rsidP="00702A1D">
      <w:pPr>
        <w:pStyle w:val="ListParagraph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Previously tested proficiency testing materails</w:t>
      </w:r>
    </w:p>
    <w:p w:rsidR="00702A1D" w:rsidRDefault="00702A1D" w:rsidP="00702A1D">
      <w:pPr>
        <w:pStyle w:val="ListParagraph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External QC materials tested on a previous lot</w:t>
      </w:r>
    </w:p>
    <w:p w:rsidR="00702A1D" w:rsidRPr="00702A1D" w:rsidRDefault="00702A1D" w:rsidP="00702A1D">
      <w:pPr>
        <w:pStyle w:val="ListParagraph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If none of the above options is available, control material provided by the assay manufacturer with the new test kit</w:t>
      </w:r>
    </w:p>
    <w:p w:rsidR="00725A7D" w:rsidRDefault="00725A7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02A1D" w:rsidRDefault="00702A1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2A1D" w:rsidRDefault="00702A1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2A1D" w:rsidRDefault="00702A1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5A7D" w:rsidRPr="006C49D6" w:rsidRDefault="00725A7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49D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Quantitative  Comparison:</w:t>
      </w:r>
    </w:p>
    <w:p w:rsidR="00725A7D" w:rsidRDefault="00725A7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C49D6" w:rsidRDefault="00113903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Use 3 previously run </w:t>
      </w:r>
      <w:r w:rsidR="00F06598">
        <w:rPr>
          <w:rFonts w:ascii="Times New Roman" w:hAnsi="Times New Roman"/>
          <w:bCs/>
          <w:color w:val="000000"/>
          <w:sz w:val="24"/>
          <w:szCs w:val="24"/>
        </w:rPr>
        <w:t xml:space="preserve">patient </w:t>
      </w:r>
      <w:r>
        <w:rPr>
          <w:rFonts w:ascii="Times New Roman" w:hAnsi="Times New Roman"/>
          <w:bCs/>
          <w:color w:val="000000"/>
          <w:sz w:val="24"/>
          <w:szCs w:val="24"/>
        </w:rPr>
        <w:t>samples and if possible</w:t>
      </w:r>
      <w:r w:rsidR="009A67CE">
        <w:rPr>
          <w:rFonts w:ascii="Times New Roman" w:hAnsi="Times New Roman"/>
          <w:bCs/>
          <w:color w:val="000000"/>
          <w:sz w:val="24"/>
          <w:szCs w:val="24"/>
        </w:rPr>
        <w:t xml:space="preserve"> choose samples that are low, mi</w:t>
      </w:r>
      <w:r>
        <w:rPr>
          <w:rFonts w:ascii="Times New Roman" w:hAnsi="Times New Roman"/>
          <w:bCs/>
          <w:color w:val="000000"/>
          <w:sz w:val="24"/>
          <w:szCs w:val="24"/>
        </w:rPr>
        <w:t>dpoint and high.</w:t>
      </w:r>
      <w:r w:rsidR="007F5805">
        <w:rPr>
          <w:rFonts w:ascii="Times New Roman" w:hAnsi="Times New Roman"/>
          <w:bCs/>
          <w:color w:val="000000"/>
          <w:sz w:val="24"/>
          <w:szCs w:val="24"/>
        </w:rPr>
        <w:t xml:space="preserve"> The use of patient samples confirms the absence of matrix interference. Use of</w:t>
      </w:r>
      <w:r w:rsidR="0023348B">
        <w:rPr>
          <w:rFonts w:ascii="Times New Roman" w:hAnsi="Times New Roman"/>
          <w:bCs/>
          <w:color w:val="000000"/>
          <w:sz w:val="24"/>
          <w:szCs w:val="24"/>
        </w:rPr>
        <w:t xml:space="preserve"> current</w:t>
      </w:r>
      <w:r w:rsidR="007F5805">
        <w:rPr>
          <w:rFonts w:ascii="Times New Roman" w:hAnsi="Times New Roman"/>
          <w:bCs/>
          <w:color w:val="000000"/>
          <w:sz w:val="24"/>
          <w:szCs w:val="24"/>
        </w:rPr>
        <w:t xml:space="preserve"> QC</w:t>
      </w:r>
      <w:r w:rsidR="002334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F5805">
        <w:rPr>
          <w:rFonts w:ascii="Times New Roman" w:hAnsi="Times New Roman"/>
          <w:bCs/>
          <w:color w:val="000000"/>
          <w:sz w:val="24"/>
          <w:szCs w:val="24"/>
        </w:rPr>
        <w:t xml:space="preserve">materials </w:t>
      </w:r>
      <w:r w:rsidR="0023348B">
        <w:rPr>
          <w:rFonts w:ascii="Times New Roman" w:hAnsi="Times New Roman"/>
          <w:bCs/>
          <w:color w:val="000000"/>
          <w:sz w:val="24"/>
          <w:szCs w:val="24"/>
        </w:rPr>
        <w:t>to test the new lot</w:t>
      </w:r>
      <w:r w:rsidR="007F5805">
        <w:rPr>
          <w:rFonts w:ascii="Times New Roman" w:hAnsi="Times New Roman"/>
          <w:bCs/>
          <w:color w:val="000000"/>
          <w:sz w:val="24"/>
          <w:szCs w:val="24"/>
        </w:rPr>
        <w:t xml:space="preserve"> if</w:t>
      </w:r>
      <w:r w:rsidR="0023348B">
        <w:rPr>
          <w:rFonts w:ascii="Times New Roman" w:hAnsi="Times New Roman"/>
          <w:bCs/>
          <w:color w:val="000000"/>
          <w:sz w:val="24"/>
          <w:szCs w:val="24"/>
        </w:rPr>
        <w:t xml:space="preserve"> patient sample is not available, </w:t>
      </w:r>
      <w:r w:rsidR="000344B2">
        <w:rPr>
          <w:rFonts w:ascii="Times New Roman" w:hAnsi="Times New Roman"/>
          <w:bCs/>
          <w:color w:val="000000"/>
          <w:sz w:val="24"/>
          <w:szCs w:val="24"/>
        </w:rPr>
        <w:t>r</w:t>
      </w:r>
      <w:r w:rsidR="00CA03C2">
        <w:rPr>
          <w:rFonts w:ascii="Times New Roman" w:hAnsi="Times New Roman"/>
          <w:bCs/>
          <w:color w:val="000000"/>
          <w:sz w:val="24"/>
          <w:szCs w:val="24"/>
        </w:rPr>
        <w:t>eference material</w:t>
      </w:r>
      <w:r w:rsidR="000344B2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CA03C2">
        <w:rPr>
          <w:rFonts w:ascii="Times New Roman" w:hAnsi="Times New Roman"/>
          <w:bCs/>
          <w:color w:val="000000"/>
          <w:sz w:val="24"/>
          <w:szCs w:val="24"/>
        </w:rPr>
        <w:t xml:space="preserve"> provided by the method manufacturer with </w:t>
      </w:r>
      <w:r w:rsidR="00E74E87">
        <w:rPr>
          <w:rFonts w:ascii="Times New Roman" w:hAnsi="Times New Roman"/>
          <w:bCs/>
          <w:color w:val="000000"/>
          <w:sz w:val="24"/>
          <w:szCs w:val="24"/>
        </w:rPr>
        <w:t>method specific and reagent lot specific, Proficienc</w:t>
      </w:r>
      <w:r w:rsidR="000344B2">
        <w:rPr>
          <w:rFonts w:ascii="Times New Roman" w:hAnsi="Times New Roman"/>
          <w:bCs/>
          <w:color w:val="000000"/>
          <w:sz w:val="24"/>
          <w:szCs w:val="24"/>
        </w:rPr>
        <w:t>y T</w:t>
      </w:r>
      <w:r w:rsidR="00E74E87">
        <w:rPr>
          <w:rFonts w:ascii="Times New Roman" w:hAnsi="Times New Roman"/>
          <w:bCs/>
          <w:color w:val="000000"/>
          <w:sz w:val="24"/>
          <w:szCs w:val="24"/>
        </w:rPr>
        <w:t>esting materials with peer group</w:t>
      </w:r>
      <w:r w:rsidR="0023348B">
        <w:rPr>
          <w:rFonts w:ascii="Times New Roman" w:hAnsi="Times New Roman"/>
          <w:bCs/>
          <w:color w:val="000000"/>
          <w:sz w:val="24"/>
          <w:szCs w:val="24"/>
        </w:rPr>
        <w:t xml:space="preserve"> established means</w:t>
      </w:r>
      <w:r w:rsidR="000344B2">
        <w:rPr>
          <w:rFonts w:ascii="Times New Roman" w:hAnsi="Times New Roman"/>
          <w:bCs/>
          <w:color w:val="000000"/>
          <w:sz w:val="24"/>
          <w:szCs w:val="24"/>
        </w:rPr>
        <w:t xml:space="preserve"> can all be used to test reagent lot to lot correlations</w:t>
      </w:r>
      <w:r w:rsidR="00A574B3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452AE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Comparison results should be within 25%. </w:t>
      </w:r>
      <w:r w:rsidR="00A574B3">
        <w:rPr>
          <w:rFonts w:ascii="Times New Roman" w:hAnsi="Times New Roman"/>
          <w:bCs/>
          <w:color w:val="000000"/>
          <w:sz w:val="24"/>
          <w:szCs w:val="24"/>
        </w:rPr>
        <w:t>Results are d</w:t>
      </w:r>
      <w:r>
        <w:rPr>
          <w:rFonts w:ascii="Times New Roman" w:hAnsi="Times New Roman"/>
          <w:bCs/>
          <w:color w:val="000000"/>
          <w:sz w:val="24"/>
          <w:szCs w:val="24"/>
        </w:rPr>
        <w:t>ocument</w:t>
      </w:r>
      <w:r w:rsidR="00A574B3">
        <w:rPr>
          <w:rFonts w:ascii="Times New Roman" w:hAnsi="Times New Roman"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on the</w:t>
      </w:r>
      <w:r w:rsidR="00A574B3">
        <w:rPr>
          <w:rFonts w:ascii="Times New Roman" w:hAnsi="Times New Roman"/>
          <w:bCs/>
          <w:color w:val="000000"/>
          <w:sz w:val="24"/>
          <w:szCs w:val="24"/>
        </w:rPr>
        <w:t xml:space="preserve"> reagent lot to lot log sheet.</w:t>
      </w:r>
      <w:r w:rsidR="00452AE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9A67CE">
        <w:rPr>
          <w:rFonts w:ascii="Times New Roman" w:hAnsi="Times New Roman"/>
          <w:bCs/>
          <w:color w:val="000000"/>
          <w:sz w:val="24"/>
          <w:szCs w:val="24"/>
        </w:rPr>
        <w:t xml:space="preserve">Example of </w:t>
      </w:r>
      <w:r w:rsidR="00A54828">
        <w:rPr>
          <w:rFonts w:ascii="Times New Roman" w:hAnsi="Times New Roman"/>
          <w:bCs/>
          <w:color w:val="000000"/>
          <w:sz w:val="24"/>
          <w:szCs w:val="24"/>
        </w:rPr>
        <w:t>a log sheet for Chemistry is found in the back of this procedure.</w:t>
      </w:r>
    </w:p>
    <w:p w:rsidR="006C49D6" w:rsidRDefault="006C49D6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C49D6" w:rsidRPr="00A71944" w:rsidRDefault="006C49D6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1944">
        <w:rPr>
          <w:rFonts w:ascii="Times New Roman" w:hAnsi="Times New Roman"/>
          <w:b/>
          <w:bCs/>
          <w:color w:val="000000"/>
          <w:sz w:val="24"/>
          <w:szCs w:val="24"/>
        </w:rPr>
        <w:t>Notes:</w:t>
      </w:r>
    </w:p>
    <w:p w:rsidR="006C49D6" w:rsidRDefault="00BF2075" w:rsidP="006C49D6">
      <w:pPr>
        <w:pStyle w:val="ListParagraph"/>
        <w:numPr>
          <w:ilvl w:val="0"/>
          <w:numId w:val="30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All reagents are</w:t>
      </w:r>
      <w:r w:rsidR="006C49D6">
        <w:rPr>
          <w:rFonts w:ascii="Times New Roman" w:hAnsi="Times New Roman"/>
          <w:bCs/>
          <w:color w:val="000000"/>
          <w:sz w:val="24"/>
          <w:szCs w:val="24"/>
        </w:rPr>
        <w:t xml:space="preserve"> stored according to the manufacturer or procedure recommendations.</w:t>
      </w:r>
    </w:p>
    <w:p w:rsidR="006C49D6" w:rsidRDefault="006C49D6" w:rsidP="006C49D6">
      <w:pPr>
        <w:pStyle w:val="ListParagraph"/>
        <w:numPr>
          <w:ilvl w:val="0"/>
          <w:numId w:val="30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No expired reagents are to be used.  It is technologist</w:t>
      </w:r>
      <w:r w:rsidR="00537DEF">
        <w:rPr>
          <w:rFonts w:ascii="Times New Roman" w:hAnsi="Times New Roman"/>
          <w:bCs/>
          <w:color w:val="000000"/>
          <w:sz w:val="24"/>
          <w:szCs w:val="24"/>
        </w:rPr>
        <w:t>’s responsibility to monitor the expiration dates.</w:t>
      </w:r>
    </w:p>
    <w:p w:rsidR="00537DEF" w:rsidRPr="006C49D6" w:rsidRDefault="00537DEF" w:rsidP="006C49D6">
      <w:pPr>
        <w:pStyle w:val="ListParagraph"/>
        <w:numPr>
          <w:ilvl w:val="0"/>
          <w:numId w:val="30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It is not acceptable laboratory practice to mix reagent components of different lots.  If there are components of a reagent kit, it must be used together within the same lot.  If a new lot of reagent is used, all components must be replaced at that time. Follow manufacturer suggestions.</w:t>
      </w:r>
    </w:p>
    <w:p w:rsidR="00725A7D" w:rsidRPr="0016552D" w:rsidRDefault="00725A7D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312B7" w:rsidRPr="00507966" w:rsidRDefault="008312B7" w:rsidP="000F18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41DF" w:rsidRDefault="00DB6022" w:rsidP="007A41DF">
      <w:pPr>
        <w:pStyle w:val="ListParagrap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New Reagent Lot (Lot to Lot)</w:t>
      </w:r>
    </w:p>
    <w:p w:rsidR="0075797C" w:rsidRDefault="00A71944" w:rsidP="0075797C">
      <w:pPr>
        <w:pStyle w:val="ListParagraph"/>
        <w:rPr>
          <w:rFonts w:ascii="Times New Roman" w:hAnsi="Times New Roman"/>
          <w:bCs/>
          <w:color w:val="000000"/>
          <w:sz w:val="24"/>
          <w:szCs w:val="24"/>
        </w:rPr>
      </w:pPr>
      <w:r w:rsidRPr="00922990">
        <w:rPr>
          <w:rFonts w:ascii="Times New Roman" w:hAnsi="Times New Roman"/>
          <w:bCs/>
          <w:color w:val="000000"/>
          <w:sz w:val="24"/>
          <w:szCs w:val="24"/>
        </w:rPr>
        <w:t>New reagent lots are validated before any patient testing can be performed.</w:t>
      </w:r>
      <w:r w:rsidR="00D91B35">
        <w:rPr>
          <w:rFonts w:ascii="Times New Roman" w:hAnsi="Times New Roman"/>
          <w:bCs/>
          <w:color w:val="000000"/>
          <w:sz w:val="24"/>
          <w:szCs w:val="24"/>
        </w:rPr>
        <w:t xml:space="preserve"> All reagents placed in the instrument should be logged in and </w:t>
      </w:r>
      <w:r w:rsidR="00145A43">
        <w:rPr>
          <w:rFonts w:ascii="Times New Roman" w:hAnsi="Times New Roman"/>
          <w:bCs/>
          <w:color w:val="000000"/>
          <w:sz w:val="24"/>
          <w:szCs w:val="24"/>
        </w:rPr>
        <w:t>run QC.</w:t>
      </w:r>
      <w:r w:rsidR="00452AE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922990">
        <w:rPr>
          <w:rFonts w:ascii="Times New Roman" w:hAnsi="Times New Roman"/>
          <w:bCs/>
          <w:color w:val="000000"/>
          <w:sz w:val="24"/>
          <w:szCs w:val="24"/>
        </w:rPr>
        <w:t xml:space="preserve">The manufacturer recommendations are followed when a new lot of reagent is placed into service. This may include calibration, QC or other means </w:t>
      </w:r>
      <w:r w:rsidR="002973AF" w:rsidRPr="00922990">
        <w:rPr>
          <w:rFonts w:ascii="Times New Roman" w:hAnsi="Times New Roman"/>
          <w:bCs/>
          <w:color w:val="000000"/>
          <w:sz w:val="24"/>
          <w:szCs w:val="24"/>
        </w:rPr>
        <w:t>of testing to verify the matrix of the new lot of reagent is performing as specified.  We also perform quality control check and run 3 patients that were assayed with the previous lot to validate the assay. The result of the lot to lot patient correlations should not exceed 25% difference from the</w:t>
      </w:r>
      <w:r w:rsidR="00922990" w:rsidRPr="00922990">
        <w:rPr>
          <w:rFonts w:ascii="Times New Roman" w:hAnsi="Times New Roman"/>
          <w:bCs/>
          <w:color w:val="000000"/>
          <w:sz w:val="24"/>
          <w:szCs w:val="24"/>
        </w:rPr>
        <w:t xml:space="preserve"> old lot number.  This information is used to determine if QC material is acceptable for this validation.</w:t>
      </w:r>
      <w:r w:rsidR="00C73810">
        <w:rPr>
          <w:rFonts w:ascii="Times New Roman" w:hAnsi="Times New Roman"/>
          <w:bCs/>
          <w:color w:val="000000"/>
          <w:sz w:val="24"/>
          <w:szCs w:val="24"/>
        </w:rPr>
        <w:t xml:space="preserve"> No patient can be sent</w:t>
      </w:r>
      <w:r w:rsidR="00DB6022">
        <w:rPr>
          <w:rFonts w:ascii="Times New Roman" w:hAnsi="Times New Roman"/>
          <w:bCs/>
          <w:color w:val="000000"/>
          <w:sz w:val="24"/>
          <w:szCs w:val="24"/>
        </w:rPr>
        <w:t xml:space="preserve"> out if QC is not acceptable using the QC rules.</w:t>
      </w:r>
      <w:r w:rsidR="00922990" w:rsidRPr="00922990">
        <w:rPr>
          <w:rFonts w:ascii="Times New Roman" w:hAnsi="Times New Roman"/>
          <w:bCs/>
          <w:color w:val="000000"/>
          <w:sz w:val="24"/>
          <w:szCs w:val="24"/>
        </w:rPr>
        <w:t xml:space="preserve"> If QC is not acceptable, call the manufacturer for options or recommendation. Ask Medi</w:t>
      </w:r>
      <w:r w:rsidR="00DB6022">
        <w:rPr>
          <w:rFonts w:ascii="Times New Roman" w:hAnsi="Times New Roman"/>
          <w:bCs/>
          <w:color w:val="000000"/>
          <w:sz w:val="24"/>
          <w:szCs w:val="24"/>
        </w:rPr>
        <w:t>cal Director for guidance.</w:t>
      </w:r>
    </w:p>
    <w:p w:rsidR="0075797C" w:rsidRDefault="0075797C" w:rsidP="00223FAD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223FAD" w:rsidRPr="00EA0AB1" w:rsidRDefault="00223FAD" w:rsidP="00223FAD">
      <w:pPr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  <w:r w:rsidRPr="00EA0AB1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Research and Validation Materials</w:t>
      </w:r>
    </w:p>
    <w:p w:rsidR="00223FAD" w:rsidRDefault="00223FAD" w:rsidP="00223FAD">
      <w:pPr>
        <w:rPr>
          <w:rFonts w:ascii="Times New Roman" w:hAnsi="Times New Roman"/>
          <w:bCs/>
          <w:color w:val="000000"/>
          <w:sz w:val="24"/>
          <w:szCs w:val="24"/>
        </w:rPr>
      </w:pPr>
      <w:r w:rsidRPr="00EA0AB1">
        <w:rPr>
          <w:rFonts w:ascii="Times New Roman" w:hAnsi="Times New Roman"/>
          <w:bCs/>
          <w:color w:val="000000"/>
          <w:sz w:val="24"/>
          <w:szCs w:val="24"/>
          <w:highlight w:val="yellow"/>
        </w:rPr>
        <w:t>Any research or validation materials stored in fridges or freezers along with in use materials must be labeled as “FOR RESEARCH USE ONLY”.  They cannot be used for patient t</w:t>
      </w:r>
      <w:r w:rsidR="009A67CE" w:rsidRPr="00EA0AB1">
        <w:rPr>
          <w:rFonts w:ascii="Times New Roman" w:hAnsi="Times New Roman"/>
          <w:bCs/>
          <w:color w:val="000000"/>
          <w:sz w:val="24"/>
          <w:szCs w:val="24"/>
          <w:highlight w:val="yellow"/>
        </w:rPr>
        <w:t>esting until all proper validation documentation has been signed and approved.</w:t>
      </w:r>
    </w:p>
    <w:p w:rsidR="009A67CE" w:rsidRDefault="009A67CE" w:rsidP="00223FAD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9A67CE" w:rsidRPr="00223FAD" w:rsidRDefault="009A67CE" w:rsidP="00223FAD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7A41DF" w:rsidRDefault="007A41DF" w:rsidP="007A41D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A41DF" w:rsidRDefault="007A41DF" w:rsidP="007A41D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3C53" w:rsidRDefault="00A13C53" w:rsidP="00A13C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Review/Revision/Implementation</w:t>
      </w:r>
      <w:r w:rsidRPr="002B1AB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A13C53" w:rsidRPr="004C5CE9" w:rsidRDefault="00A13C53" w:rsidP="00A13C5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Review Cycle: 2 years</w:t>
      </w:r>
    </w:p>
    <w:p w:rsidR="00A13C53" w:rsidRPr="004C5CE9" w:rsidRDefault="00A13C53" w:rsidP="00A13C5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Office of Record: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Department of Clinical Core Laboratory-Chemistry</w:t>
      </w:r>
    </w:p>
    <w:p w:rsidR="00A13C53" w:rsidRPr="003D6138" w:rsidRDefault="00A13C53" w:rsidP="00A13C53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D6138">
        <w:rPr>
          <w:rFonts w:ascii="Times New Roman" w:hAnsi="Times New Roman"/>
          <w:bCs/>
          <w:color w:val="000000"/>
          <w:sz w:val="24"/>
          <w:szCs w:val="24"/>
        </w:rPr>
        <w:t xml:space="preserve">All new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procedures </w:t>
      </w:r>
      <w:r w:rsidRPr="003D6138">
        <w:rPr>
          <w:rFonts w:ascii="Times New Roman" w:hAnsi="Times New Roman"/>
          <w:bCs/>
          <w:color w:val="000000"/>
          <w:sz w:val="24"/>
          <w:szCs w:val="24"/>
        </w:rPr>
        <w:t xml:space="preserve">and procedures that have major revisions must be signed by the </w:t>
      </w:r>
      <w:r>
        <w:rPr>
          <w:rFonts w:ascii="Times New Roman" w:hAnsi="Times New Roman"/>
          <w:bCs/>
          <w:color w:val="000000"/>
          <w:sz w:val="24"/>
          <w:szCs w:val="24"/>
        </w:rPr>
        <w:t>Laboratory Director</w:t>
      </w:r>
      <w:r w:rsidRPr="003D6138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A13C53" w:rsidRDefault="00A13C53" w:rsidP="00A13C53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All reviewed procedures and procedures with minor revisions can be signed by the designated section medical director.</w:t>
      </w:r>
    </w:p>
    <w:p w:rsidR="00A13C53" w:rsidRPr="002B1ABF" w:rsidRDefault="00A13C53" w:rsidP="00A13C53">
      <w:pPr>
        <w:pStyle w:val="ListParagraph"/>
        <w:autoSpaceDE w:val="0"/>
        <w:autoSpaceDN w:val="0"/>
        <w:adjustRightInd w:val="0"/>
        <w:spacing w:after="0" w:line="240" w:lineRule="auto"/>
        <w:ind w:left="189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3C53" w:rsidRPr="002B1ABF" w:rsidRDefault="00A13C53" w:rsidP="00A13C53">
      <w:pPr>
        <w:pStyle w:val="ListParagraph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bCs/>
          <w:color w:val="000000"/>
          <w:sz w:val="24"/>
          <w:szCs w:val="24"/>
        </w:rPr>
      </w:pPr>
    </w:p>
    <w:p w:rsidR="00A13C53" w:rsidRDefault="00A13C53" w:rsidP="00A13C53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Related Procedures:</w:t>
      </w:r>
    </w:p>
    <w:p w:rsidR="00A13C53" w:rsidRPr="002B1ABF" w:rsidRDefault="00A13C53" w:rsidP="00A13C5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3C53" w:rsidRPr="002B1ABF" w:rsidRDefault="00A13C53" w:rsidP="00A13C53">
      <w:pPr>
        <w:pStyle w:val="Bibliography"/>
        <w:numPr>
          <w:ilvl w:val="0"/>
          <w:numId w:val="1"/>
        </w:numPr>
        <w:ind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References, National Professional Organizations, etc.</w:t>
      </w:r>
      <w:r w:rsidRPr="002B1ABF">
        <w:rPr>
          <w:rFonts w:ascii="Times New Roman" w:hAnsi="Times New Roman"/>
          <w:b/>
          <w:sz w:val="24"/>
          <w:szCs w:val="24"/>
        </w:rPr>
        <w:t>:</w:t>
      </w:r>
      <w:r w:rsidRPr="002B1ABF">
        <w:rPr>
          <w:rFonts w:ascii="Times New Roman" w:hAnsi="Times New Roman"/>
          <w:sz w:val="24"/>
          <w:szCs w:val="24"/>
        </w:rPr>
        <w:t xml:space="preserve">  </w:t>
      </w:r>
    </w:p>
    <w:p w:rsidR="006D1CBE" w:rsidRPr="006C72EC" w:rsidRDefault="00A13C53" w:rsidP="00A13C53">
      <w:pPr>
        <w:pStyle w:val="ListParagraph"/>
        <w:numPr>
          <w:ilvl w:val="0"/>
          <w:numId w:val="1"/>
        </w:numPr>
        <w:ind w:hanging="540"/>
      </w:pPr>
      <w:r>
        <w:rPr>
          <w:rFonts w:ascii="Times New Roman" w:hAnsi="Times New Roman"/>
          <w:b/>
          <w:sz w:val="24"/>
          <w:szCs w:val="24"/>
        </w:rPr>
        <w:t>Attachments</w:t>
      </w:r>
      <w:r w:rsidRPr="002B1ABF">
        <w:rPr>
          <w:rFonts w:ascii="Times New Roman" w:hAnsi="Times New Roman"/>
          <w:b/>
          <w:sz w:val="24"/>
          <w:szCs w:val="24"/>
        </w:rPr>
        <w:t>:</w:t>
      </w:r>
    </w:p>
    <w:p w:rsidR="006C72EC" w:rsidRPr="006C72EC" w:rsidRDefault="006C72EC" w:rsidP="006C72EC">
      <w:pPr>
        <w:pStyle w:val="ListParagraph"/>
        <w:numPr>
          <w:ilvl w:val="1"/>
          <w:numId w:val="1"/>
        </w:numPr>
      </w:pPr>
      <w:r w:rsidRPr="006C72EC">
        <w:rPr>
          <w:rFonts w:ascii="Times New Roman" w:hAnsi="Times New Roman"/>
          <w:sz w:val="24"/>
          <w:szCs w:val="24"/>
        </w:rPr>
        <w:t>Lot to Lot Log Sheet</w:t>
      </w:r>
    </w:p>
    <w:p w:rsidR="006D1CBE" w:rsidRDefault="006D1CBE" w:rsidP="006D1CBE">
      <w:pPr>
        <w:rPr>
          <w:rFonts w:ascii="Times New Roman" w:hAnsi="Times New Roman"/>
          <w:b/>
        </w:rPr>
      </w:pPr>
    </w:p>
    <w:p w:rsidR="00A13C53" w:rsidRPr="00DC34B1" w:rsidRDefault="00A13C53" w:rsidP="006C72EC"/>
    <w:p w:rsidR="00A13C53" w:rsidRPr="004F3685" w:rsidRDefault="00A13C53" w:rsidP="00A13C53">
      <w:pPr>
        <w:pStyle w:val="ListParagraph"/>
        <w:numPr>
          <w:ilvl w:val="0"/>
          <w:numId w:val="1"/>
        </w:numPr>
        <w:ind w:hanging="540"/>
      </w:pPr>
      <w:r>
        <w:rPr>
          <w:rFonts w:ascii="Times New Roman" w:hAnsi="Times New Roman"/>
          <w:b/>
        </w:rPr>
        <w:t>Revision Dates: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2405"/>
        <w:gridCol w:w="2423"/>
        <w:gridCol w:w="4550"/>
      </w:tblGrid>
      <w:tr w:rsidR="00A13C53" w:rsidRPr="009F6489" w:rsidTr="008E05A4">
        <w:tc>
          <w:tcPr>
            <w:tcW w:w="2405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89">
              <w:rPr>
                <w:rFonts w:ascii="Times New Roman" w:hAnsi="Times New Roman"/>
                <w:b/>
                <w:sz w:val="24"/>
                <w:szCs w:val="24"/>
              </w:rPr>
              <w:t>Review Date</w:t>
            </w:r>
          </w:p>
        </w:tc>
        <w:tc>
          <w:tcPr>
            <w:tcW w:w="2423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Revision Date</w:t>
            </w:r>
          </w:p>
        </w:tc>
        <w:tc>
          <w:tcPr>
            <w:tcW w:w="4550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</w:p>
        </w:tc>
      </w:tr>
      <w:tr w:rsidR="00A13C53" w:rsidRPr="009F6489" w:rsidTr="008E05A4">
        <w:tc>
          <w:tcPr>
            <w:tcW w:w="2405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B533F0" w:rsidRPr="009F6489" w:rsidRDefault="00B533F0" w:rsidP="00B533F0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and Validation Materials section added 6/11/2019</w:t>
            </w:r>
          </w:p>
        </w:tc>
        <w:tc>
          <w:tcPr>
            <w:tcW w:w="4550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13C53" w:rsidRPr="009F6489" w:rsidTr="008E05A4">
        <w:tc>
          <w:tcPr>
            <w:tcW w:w="2405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13C53" w:rsidRPr="009F6489" w:rsidTr="008E05A4">
        <w:tc>
          <w:tcPr>
            <w:tcW w:w="2405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13C53" w:rsidRPr="009F6489" w:rsidTr="008E05A4">
        <w:tc>
          <w:tcPr>
            <w:tcW w:w="2405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13C53" w:rsidRPr="009F6489" w:rsidTr="008E05A4">
        <w:tc>
          <w:tcPr>
            <w:tcW w:w="2405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13C53" w:rsidRPr="009F6489" w:rsidTr="008E05A4">
        <w:tc>
          <w:tcPr>
            <w:tcW w:w="2405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13C53" w:rsidRPr="009F6489" w:rsidTr="008E05A4">
        <w:tc>
          <w:tcPr>
            <w:tcW w:w="2405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Align w:val="center"/>
          </w:tcPr>
          <w:p w:rsidR="00A13C53" w:rsidRPr="009F6489" w:rsidRDefault="00A13C53" w:rsidP="008E05A4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A13C53" w:rsidRDefault="00A13C53" w:rsidP="00A13C53">
      <w:pPr>
        <w:pStyle w:val="ListParagraph"/>
      </w:pPr>
    </w:p>
    <w:p w:rsidR="007A41DF" w:rsidRDefault="007A41DF" w:rsidP="007A41D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41DF" w:rsidRDefault="007A41DF" w:rsidP="007A41D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7FD4" w:rsidRPr="004F3685" w:rsidRDefault="00E87FD4" w:rsidP="00D71FE5"/>
    <w:p w:rsidR="00A22D40" w:rsidRDefault="00A22D40" w:rsidP="00574B23"/>
    <w:sectPr w:rsidR="00A22D40" w:rsidSect="00A40159">
      <w:headerReference w:type="default" r:id="rId9"/>
      <w:footerReference w:type="default" r:id="rId10"/>
      <w:pgSz w:w="12240" w:h="15840"/>
      <w:pgMar w:top="1440" w:right="72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19" w:rsidRDefault="000D3519" w:rsidP="00C25F76">
      <w:pPr>
        <w:spacing w:after="0" w:line="240" w:lineRule="auto"/>
      </w:pPr>
      <w:r>
        <w:separator/>
      </w:r>
    </w:p>
  </w:endnote>
  <w:endnote w:type="continuationSeparator" w:id="0">
    <w:p w:rsidR="000D3519" w:rsidRDefault="000D3519" w:rsidP="00C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A8" w:rsidRDefault="005F64A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[REAGENTS CL-CH150]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A0AB1" w:rsidRPr="00EA0AB1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5F64A8" w:rsidRDefault="005F6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19" w:rsidRDefault="000D3519" w:rsidP="00C25F76">
      <w:pPr>
        <w:spacing w:after="0" w:line="240" w:lineRule="auto"/>
      </w:pPr>
      <w:r>
        <w:separator/>
      </w:r>
    </w:p>
  </w:footnote>
  <w:footnote w:type="continuationSeparator" w:id="0">
    <w:p w:rsidR="000D3519" w:rsidRDefault="000D3519" w:rsidP="00C2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A8" w:rsidRPr="000849D2" w:rsidRDefault="005F64A8" w:rsidP="00561680">
    <w:pPr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646"/>
    <w:multiLevelType w:val="hybridMultilevel"/>
    <w:tmpl w:val="99DE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7ECD"/>
    <w:multiLevelType w:val="hybridMultilevel"/>
    <w:tmpl w:val="C3A4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22D1"/>
    <w:multiLevelType w:val="hybridMultilevel"/>
    <w:tmpl w:val="D330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0B5C"/>
    <w:multiLevelType w:val="hybridMultilevel"/>
    <w:tmpl w:val="0072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592A"/>
    <w:multiLevelType w:val="hybridMultilevel"/>
    <w:tmpl w:val="E91E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365F"/>
    <w:multiLevelType w:val="hybridMultilevel"/>
    <w:tmpl w:val="294E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1B7C"/>
    <w:multiLevelType w:val="hybridMultilevel"/>
    <w:tmpl w:val="0AA2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43F0A"/>
    <w:multiLevelType w:val="hybridMultilevel"/>
    <w:tmpl w:val="580C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6454"/>
    <w:multiLevelType w:val="hybridMultilevel"/>
    <w:tmpl w:val="6930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1325"/>
    <w:multiLevelType w:val="hybridMultilevel"/>
    <w:tmpl w:val="72883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5324"/>
    <w:multiLevelType w:val="hybridMultilevel"/>
    <w:tmpl w:val="B238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31346"/>
    <w:multiLevelType w:val="hybridMultilevel"/>
    <w:tmpl w:val="0B5A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41575"/>
    <w:multiLevelType w:val="hybridMultilevel"/>
    <w:tmpl w:val="15745EF0"/>
    <w:lvl w:ilvl="0" w:tplc="B00686F8">
      <w:start w:val="5"/>
      <w:numFmt w:val="lowerRoman"/>
      <w:lvlText w:val="%1."/>
      <w:lvlJc w:val="right"/>
      <w:pPr>
        <w:ind w:left="25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C006F"/>
    <w:multiLevelType w:val="hybridMultilevel"/>
    <w:tmpl w:val="9FE0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4778B"/>
    <w:multiLevelType w:val="hybridMultilevel"/>
    <w:tmpl w:val="B834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B0C62"/>
    <w:multiLevelType w:val="hybridMultilevel"/>
    <w:tmpl w:val="791A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E03AC"/>
    <w:multiLevelType w:val="hybridMultilevel"/>
    <w:tmpl w:val="14B8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70BD4"/>
    <w:multiLevelType w:val="hybridMultilevel"/>
    <w:tmpl w:val="F63E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0AF4"/>
    <w:multiLevelType w:val="hybridMultilevel"/>
    <w:tmpl w:val="D1A2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C412F"/>
    <w:multiLevelType w:val="hybridMultilevel"/>
    <w:tmpl w:val="E74A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B4351"/>
    <w:multiLevelType w:val="hybridMultilevel"/>
    <w:tmpl w:val="7A94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1588B"/>
    <w:multiLevelType w:val="hybridMultilevel"/>
    <w:tmpl w:val="073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95E60"/>
    <w:multiLevelType w:val="hybridMultilevel"/>
    <w:tmpl w:val="A80A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2246"/>
    <w:multiLevelType w:val="hybridMultilevel"/>
    <w:tmpl w:val="CCB489EA"/>
    <w:lvl w:ilvl="0" w:tplc="0B180E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7A8ED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E37E1"/>
    <w:multiLevelType w:val="hybridMultilevel"/>
    <w:tmpl w:val="FA02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540C1"/>
    <w:multiLevelType w:val="hybridMultilevel"/>
    <w:tmpl w:val="B06A491A"/>
    <w:lvl w:ilvl="0" w:tplc="612C6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9884E32"/>
    <w:multiLevelType w:val="hybridMultilevel"/>
    <w:tmpl w:val="103C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35B6E"/>
    <w:multiLevelType w:val="hybridMultilevel"/>
    <w:tmpl w:val="5998B7B4"/>
    <w:lvl w:ilvl="0" w:tplc="B384823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FB01143"/>
    <w:multiLevelType w:val="hybridMultilevel"/>
    <w:tmpl w:val="DECA7ED6"/>
    <w:lvl w:ilvl="0" w:tplc="52E2FD0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  <w:b w:val="0"/>
        <w:color w:val="auto"/>
      </w:rPr>
    </w:lvl>
    <w:lvl w:ilvl="2" w:tplc="E9D88210">
      <w:start w:val="1"/>
      <w:numFmt w:val="lowerRoman"/>
      <w:lvlText w:val="%3."/>
      <w:lvlJc w:val="right"/>
      <w:pPr>
        <w:ind w:left="2340" w:hanging="180"/>
      </w:pPr>
      <w:rPr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66712F4"/>
    <w:multiLevelType w:val="hybridMultilevel"/>
    <w:tmpl w:val="88EA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9523B"/>
    <w:multiLevelType w:val="hybridMultilevel"/>
    <w:tmpl w:val="1B36599C"/>
    <w:lvl w:ilvl="0" w:tplc="52E2FD0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B94A536">
      <w:start w:val="1"/>
      <w:numFmt w:val="lowerLetter"/>
      <w:lvlText w:val="%2."/>
      <w:lvlJc w:val="left"/>
      <w:pPr>
        <w:ind w:left="1890" w:hanging="360"/>
      </w:pPr>
      <w:rPr>
        <w:b w:val="0"/>
        <w:color w:val="auto"/>
      </w:rPr>
    </w:lvl>
    <w:lvl w:ilvl="2" w:tplc="E9D88210">
      <w:start w:val="1"/>
      <w:numFmt w:val="lowerRoman"/>
      <w:lvlText w:val="%3."/>
      <w:lvlJc w:val="right"/>
      <w:pPr>
        <w:ind w:left="2340" w:hanging="180"/>
      </w:pPr>
      <w:rPr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23"/>
  </w:num>
  <w:num w:numId="3">
    <w:abstractNumId w:val="28"/>
  </w:num>
  <w:num w:numId="4">
    <w:abstractNumId w:val="12"/>
  </w:num>
  <w:num w:numId="5">
    <w:abstractNumId w:val="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4"/>
  </w:num>
  <w:num w:numId="13">
    <w:abstractNumId w:val="16"/>
  </w:num>
  <w:num w:numId="14">
    <w:abstractNumId w:val="1"/>
  </w:num>
  <w:num w:numId="15">
    <w:abstractNumId w:val="7"/>
  </w:num>
  <w:num w:numId="16">
    <w:abstractNumId w:val="13"/>
  </w:num>
  <w:num w:numId="17">
    <w:abstractNumId w:val="3"/>
  </w:num>
  <w:num w:numId="18">
    <w:abstractNumId w:val="14"/>
  </w:num>
  <w:num w:numId="19">
    <w:abstractNumId w:val="21"/>
  </w:num>
  <w:num w:numId="20">
    <w:abstractNumId w:val="26"/>
  </w:num>
  <w:num w:numId="21">
    <w:abstractNumId w:val="29"/>
  </w:num>
  <w:num w:numId="22">
    <w:abstractNumId w:val="2"/>
  </w:num>
  <w:num w:numId="23">
    <w:abstractNumId w:val="8"/>
  </w:num>
  <w:num w:numId="24">
    <w:abstractNumId w:val="20"/>
  </w:num>
  <w:num w:numId="25">
    <w:abstractNumId w:val="15"/>
  </w:num>
  <w:num w:numId="26">
    <w:abstractNumId w:val="11"/>
  </w:num>
  <w:num w:numId="27">
    <w:abstractNumId w:val="18"/>
  </w:num>
  <w:num w:numId="28">
    <w:abstractNumId w:val="22"/>
  </w:num>
  <w:num w:numId="29">
    <w:abstractNumId w:val="27"/>
  </w:num>
  <w:num w:numId="30">
    <w:abstractNumId w:val="5"/>
  </w:num>
  <w:num w:numId="31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19"/>
    <w:rsid w:val="00021F66"/>
    <w:rsid w:val="000344B2"/>
    <w:rsid w:val="000428CA"/>
    <w:rsid w:val="00050D3F"/>
    <w:rsid w:val="0006244D"/>
    <w:rsid w:val="00062DBC"/>
    <w:rsid w:val="00073309"/>
    <w:rsid w:val="00082427"/>
    <w:rsid w:val="00094091"/>
    <w:rsid w:val="00094A1C"/>
    <w:rsid w:val="000A21A0"/>
    <w:rsid w:val="000B316B"/>
    <w:rsid w:val="000D3519"/>
    <w:rsid w:val="000D5AEF"/>
    <w:rsid w:val="000E760A"/>
    <w:rsid w:val="000F18BD"/>
    <w:rsid w:val="000F1A5E"/>
    <w:rsid w:val="000F65EA"/>
    <w:rsid w:val="00102AD1"/>
    <w:rsid w:val="00113903"/>
    <w:rsid w:val="00144FEF"/>
    <w:rsid w:val="00145A43"/>
    <w:rsid w:val="00151F0F"/>
    <w:rsid w:val="0016552D"/>
    <w:rsid w:val="0019309C"/>
    <w:rsid w:val="001A1F5B"/>
    <w:rsid w:val="001A7A3D"/>
    <w:rsid w:val="001D04A8"/>
    <w:rsid w:val="001D0962"/>
    <w:rsid w:val="001D0C64"/>
    <w:rsid w:val="001E27D3"/>
    <w:rsid w:val="001E2C26"/>
    <w:rsid w:val="001E44D2"/>
    <w:rsid w:val="00223FAD"/>
    <w:rsid w:val="0023348B"/>
    <w:rsid w:val="002412AC"/>
    <w:rsid w:val="00260C24"/>
    <w:rsid w:val="00276CC8"/>
    <w:rsid w:val="002973AF"/>
    <w:rsid w:val="002A0087"/>
    <w:rsid w:val="002A077E"/>
    <w:rsid w:val="002A77FE"/>
    <w:rsid w:val="002B1ABF"/>
    <w:rsid w:val="002B59C9"/>
    <w:rsid w:val="00327E4F"/>
    <w:rsid w:val="00364AB0"/>
    <w:rsid w:val="0036739E"/>
    <w:rsid w:val="003710EC"/>
    <w:rsid w:val="0037192C"/>
    <w:rsid w:val="00372FC1"/>
    <w:rsid w:val="00375E09"/>
    <w:rsid w:val="003A6BB5"/>
    <w:rsid w:val="003D6138"/>
    <w:rsid w:val="003E64D3"/>
    <w:rsid w:val="003E677C"/>
    <w:rsid w:val="003F36E9"/>
    <w:rsid w:val="004145FC"/>
    <w:rsid w:val="004148B1"/>
    <w:rsid w:val="004202F5"/>
    <w:rsid w:val="00446C30"/>
    <w:rsid w:val="0045018A"/>
    <w:rsid w:val="00452AE5"/>
    <w:rsid w:val="004C1DDB"/>
    <w:rsid w:val="004D0BA9"/>
    <w:rsid w:val="004D1C0A"/>
    <w:rsid w:val="004F220D"/>
    <w:rsid w:val="004F73A1"/>
    <w:rsid w:val="00507966"/>
    <w:rsid w:val="00513541"/>
    <w:rsid w:val="00537DEF"/>
    <w:rsid w:val="00561680"/>
    <w:rsid w:val="00574B23"/>
    <w:rsid w:val="00583547"/>
    <w:rsid w:val="00583692"/>
    <w:rsid w:val="005A7FD2"/>
    <w:rsid w:val="005B3A01"/>
    <w:rsid w:val="005B3E82"/>
    <w:rsid w:val="005C0EA4"/>
    <w:rsid w:val="005D078C"/>
    <w:rsid w:val="005D39FD"/>
    <w:rsid w:val="005E702B"/>
    <w:rsid w:val="005F64A8"/>
    <w:rsid w:val="006124AC"/>
    <w:rsid w:val="00675B65"/>
    <w:rsid w:val="0068080E"/>
    <w:rsid w:val="006A0B10"/>
    <w:rsid w:val="006B03A9"/>
    <w:rsid w:val="006B47A8"/>
    <w:rsid w:val="006C49D6"/>
    <w:rsid w:val="006C72EC"/>
    <w:rsid w:val="006D1CBE"/>
    <w:rsid w:val="006F2CED"/>
    <w:rsid w:val="006F60A1"/>
    <w:rsid w:val="00702A1D"/>
    <w:rsid w:val="00702F35"/>
    <w:rsid w:val="007069D2"/>
    <w:rsid w:val="00707F4C"/>
    <w:rsid w:val="00713CC1"/>
    <w:rsid w:val="00725A7D"/>
    <w:rsid w:val="007307D2"/>
    <w:rsid w:val="0075797C"/>
    <w:rsid w:val="00766BDF"/>
    <w:rsid w:val="0077764E"/>
    <w:rsid w:val="007A26CA"/>
    <w:rsid w:val="007A41DF"/>
    <w:rsid w:val="007C0BFC"/>
    <w:rsid w:val="007C0F33"/>
    <w:rsid w:val="007C1D76"/>
    <w:rsid w:val="007D3567"/>
    <w:rsid w:val="007F5805"/>
    <w:rsid w:val="00801A12"/>
    <w:rsid w:val="00807869"/>
    <w:rsid w:val="0082225E"/>
    <w:rsid w:val="008312B7"/>
    <w:rsid w:val="008321B1"/>
    <w:rsid w:val="00840836"/>
    <w:rsid w:val="0085104F"/>
    <w:rsid w:val="008651A4"/>
    <w:rsid w:val="00883CB3"/>
    <w:rsid w:val="00887185"/>
    <w:rsid w:val="00891BE8"/>
    <w:rsid w:val="00892408"/>
    <w:rsid w:val="008B0149"/>
    <w:rsid w:val="008E05A4"/>
    <w:rsid w:val="008E4BD5"/>
    <w:rsid w:val="008F0478"/>
    <w:rsid w:val="008F23DC"/>
    <w:rsid w:val="008F32CB"/>
    <w:rsid w:val="00922990"/>
    <w:rsid w:val="009738A6"/>
    <w:rsid w:val="00982EDB"/>
    <w:rsid w:val="009A67CE"/>
    <w:rsid w:val="009B16D1"/>
    <w:rsid w:val="009B18AE"/>
    <w:rsid w:val="009B6D0A"/>
    <w:rsid w:val="009C3FFA"/>
    <w:rsid w:val="00A00848"/>
    <w:rsid w:val="00A01EDE"/>
    <w:rsid w:val="00A13C53"/>
    <w:rsid w:val="00A22D40"/>
    <w:rsid w:val="00A36C1F"/>
    <w:rsid w:val="00A40159"/>
    <w:rsid w:val="00A448B8"/>
    <w:rsid w:val="00A54828"/>
    <w:rsid w:val="00A574B3"/>
    <w:rsid w:val="00A71944"/>
    <w:rsid w:val="00A72F64"/>
    <w:rsid w:val="00A762FE"/>
    <w:rsid w:val="00AA3E74"/>
    <w:rsid w:val="00AE7B74"/>
    <w:rsid w:val="00B03891"/>
    <w:rsid w:val="00B1595A"/>
    <w:rsid w:val="00B21C46"/>
    <w:rsid w:val="00B262A1"/>
    <w:rsid w:val="00B31FD5"/>
    <w:rsid w:val="00B41B93"/>
    <w:rsid w:val="00B4632F"/>
    <w:rsid w:val="00B524D9"/>
    <w:rsid w:val="00B533F0"/>
    <w:rsid w:val="00B61993"/>
    <w:rsid w:val="00B73323"/>
    <w:rsid w:val="00B74368"/>
    <w:rsid w:val="00B81C8B"/>
    <w:rsid w:val="00B83E66"/>
    <w:rsid w:val="00BB6862"/>
    <w:rsid w:val="00BD401B"/>
    <w:rsid w:val="00BD41AE"/>
    <w:rsid w:val="00BF2075"/>
    <w:rsid w:val="00C040DC"/>
    <w:rsid w:val="00C24277"/>
    <w:rsid w:val="00C25F76"/>
    <w:rsid w:val="00C460C2"/>
    <w:rsid w:val="00C57126"/>
    <w:rsid w:val="00C60A2D"/>
    <w:rsid w:val="00C73810"/>
    <w:rsid w:val="00C81B3F"/>
    <w:rsid w:val="00C82F8E"/>
    <w:rsid w:val="00CA03C2"/>
    <w:rsid w:val="00CD20DF"/>
    <w:rsid w:val="00CD3693"/>
    <w:rsid w:val="00CD4739"/>
    <w:rsid w:val="00CD6D81"/>
    <w:rsid w:val="00CE6ADE"/>
    <w:rsid w:val="00CF210A"/>
    <w:rsid w:val="00D012E0"/>
    <w:rsid w:val="00D05D31"/>
    <w:rsid w:val="00D136D9"/>
    <w:rsid w:val="00D21167"/>
    <w:rsid w:val="00D26DB2"/>
    <w:rsid w:val="00D317AF"/>
    <w:rsid w:val="00D35024"/>
    <w:rsid w:val="00D70087"/>
    <w:rsid w:val="00D71FE5"/>
    <w:rsid w:val="00D77FF5"/>
    <w:rsid w:val="00D91B35"/>
    <w:rsid w:val="00D92B4E"/>
    <w:rsid w:val="00D944B2"/>
    <w:rsid w:val="00D96C8E"/>
    <w:rsid w:val="00DB6022"/>
    <w:rsid w:val="00DC4F0E"/>
    <w:rsid w:val="00DE3441"/>
    <w:rsid w:val="00DE6A48"/>
    <w:rsid w:val="00DF40F2"/>
    <w:rsid w:val="00DF5314"/>
    <w:rsid w:val="00E155C3"/>
    <w:rsid w:val="00E264A1"/>
    <w:rsid w:val="00E31C49"/>
    <w:rsid w:val="00E44BF7"/>
    <w:rsid w:val="00E44FA0"/>
    <w:rsid w:val="00E4642B"/>
    <w:rsid w:val="00E53CA7"/>
    <w:rsid w:val="00E62837"/>
    <w:rsid w:val="00E66908"/>
    <w:rsid w:val="00E70236"/>
    <w:rsid w:val="00E71C74"/>
    <w:rsid w:val="00E74E87"/>
    <w:rsid w:val="00E81737"/>
    <w:rsid w:val="00E862CB"/>
    <w:rsid w:val="00E87FD4"/>
    <w:rsid w:val="00E93071"/>
    <w:rsid w:val="00EA0AB1"/>
    <w:rsid w:val="00EA61BF"/>
    <w:rsid w:val="00ED5998"/>
    <w:rsid w:val="00F0326D"/>
    <w:rsid w:val="00F06598"/>
    <w:rsid w:val="00F15D43"/>
    <w:rsid w:val="00F55ECF"/>
    <w:rsid w:val="00F77FF0"/>
    <w:rsid w:val="00F87EB8"/>
    <w:rsid w:val="00F940FB"/>
    <w:rsid w:val="00F9496A"/>
    <w:rsid w:val="00FD5D7C"/>
    <w:rsid w:val="00FD5FD2"/>
    <w:rsid w:val="00FE0219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91A164-3D6C-433E-8006-50B0507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7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41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A4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F7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25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F76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C2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7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C2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5D078C"/>
  </w:style>
  <w:style w:type="paragraph" w:styleId="BalloonText">
    <w:name w:val="Balloon Text"/>
    <w:basedOn w:val="Normal"/>
    <w:link w:val="BalloonTextChar"/>
    <w:rsid w:val="00D2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DB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26D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DB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DB2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D26DB2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7A4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A41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pliance_Quality\Policy%20and%20Procedure\2012\New%20policy%20templates\Template%20Procedure%20Guide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The12</b:Tag>
    <b:SourceType>BookSection</b:SourceType>
    <b:Guid>{8308C8EE-3774-4AF8-98E7-9DE39BE9FA11}</b:Guid>
    <b:Author>
      <b:BookAuthor>
        <b:NameList>
          <b:Person>
            <b:Last>Commission</b:Last>
            <b:First>The</b:First>
            <b:Middle>Joint</b:Middle>
          </b:Person>
        </b:NameList>
      </b:BookAuthor>
    </b:Author>
    <b:Title>Medication Management</b:Title>
    <b:Year>2012</b:Year>
    <b:BookTitle>The Joint Commission Hospital Accreditation Standards</b:BookTitle>
    <b:Pages>MM1-MM23</b:Pages>
    <b:City>Oak Brooke Terrace</b:City>
    <b:Publisher>The Joint Commission</b:Publisher>
    <b:StateProvince>Illinois</b:StateProvince>
    <b:CountryRegion>U.S.</b:CountryRegion>
    <b:StandardNumber>ISBN: 978-1-59940-425-7 ISSN:  1522-1083</b:StandardNumber>
    <b:RefOrder>1</b:RefOrder>
  </b:Source>
  <b:Source>
    <b:Tag>42C</b:Tag>
    <b:SourceType>Misc</b:SourceType>
    <b:Guid>{06A99721-9A45-47DE-A19C-7A4EFDF8E1FD}</b:Guid>
    <b:Author>
      <b:Author>
        <b:NameList>
          <b:Person>
            <b:Last>Regulations</b:Last>
            <b:First>42</b:First>
            <b:Middle>Code of Federal</b:Middle>
          </b:Person>
        </b:NameList>
      </b:Author>
    </b:Author>
    <b:Title>482.25(b)(1), (b)(3); 482.23(c)(1), (c)(2)(i), (3); 482.12(c)</b:Title>
    <b:CountryRegion>U.S.</b:CountryRegion>
    <b:RefOrder>2</b:RefOrder>
  </b:Source>
  <b:Source>
    <b:Tag>10N</b:Tag>
    <b:SourceType>Misc</b:SourceType>
    <b:Guid>{60225654-17EB-4E2C-99D9-73D7E5B68818}</b:Guid>
    <b:Title>10 NCAC 03C.3707(a), (b),(c), (d); .3803(a)(5); .4511(a)(2), (k), (l)</b:Title>
    <b:StateProvince>North Carolina</b:StateProvince>
    <b:CountryRegion>U.S.</b:CountryRegion>
    <b:RefOrder>3</b:RefOrder>
  </b:Source>
</b:Sources>
</file>

<file path=customXml/itemProps1.xml><?xml version="1.0" encoding="utf-8"?>
<ds:datastoreItem xmlns:ds="http://schemas.openxmlformats.org/officeDocument/2006/customXml" ds:itemID="{48761085-419E-468B-B60B-B33CEEFD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Procedure Guideline</Template>
  <TotalTime>591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ppenland</dc:creator>
  <cp:lastModifiedBy>Johanna Waldron</cp:lastModifiedBy>
  <cp:revision>19</cp:revision>
  <cp:lastPrinted>2018-08-10T14:59:00Z</cp:lastPrinted>
  <dcterms:created xsi:type="dcterms:W3CDTF">2017-04-10T01:20:00Z</dcterms:created>
  <dcterms:modified xsi:type="dcterms:W3CDTF">2019-06-12T06:35:00Z</dcterms:modified>
</cp:coreProperties>
</file>