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A4" w:rsidRDefault="00642FA4" w:rsidP="00642FA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2FA4" w:rsidRDefault="00642FA4" w:rsidP="00642FA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2FA4" w:rsidRDefault="00642FA4" w:rsidP="00642FA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2FA4" w:rsidRDefault="00642FA4" w:rsidP="00642FA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t>II. Protocol for PUBS Transfusion</w:t>
      </w:r>
    </w:p>
    <w:p w:rsidR="00642FA4" w:rsidRDefault="00642FA4" w:rsidP="00642FA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2FA4" w:rsidRDefault="00642FA4" w:rsidP="00642FA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440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The provider orders the PUBS test on the mother’s MRN.  The sample will be labeled with mother’s name and MRN.  The Wake One Order is:  Intrauterine Transfusion Orders (PUBS).</w:t>
      </w:r>
    </w:p>
    <w:p w:rsidR="00642FA4" w:rsidRDefault="00642FA4" w:rsidP="00642FA4">
      <w:pPr>
        <w:pStyle w:val="ListParagraph"/>
        <w:autoSpaceDE w:val="0"/>
        <w:autoSpaceDN w:val="0"/>
        <w:adjustRightInd w:val="0"/>
        <w:spacing w:after="120" w:line="240" w:lineRule="auto"/>
        <w:ind w:left="1440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D8C6C1" wp14:editId="064DB6A7">
            <wp:simplePos x="0" y="0"/>
            <wp:positionH relativeFrom="column">
              <wp:posOffset>180975</wp:posOffset>
            </wp:positionH>
            <wp:positionV relativeFrom="paragraph">
              <wp:posOffset>172720</wp:posOffset>
            </wp:positionV>
            <wp:extent cx="6429375" cy="3076575"/>
            <wp:effectExtent l="0" t="0" r="9525" b="9525"/>
            <wp:wrapTight wrapText="bothSides">
              <wp:wrapPolygon edited="0">
                <wp:start x="0" y="0"/>
                <wp:lineTo x="0" y="21533"/>
                <wp:lineTo x="21568" y="21533"/>
                <wp:lineTo x="21568" y="0"/>
                <wp:lineTo x="0" y="0"/>
              </wp:wrapPolygon>
            </wp:wrapTight>
            <wp:docPr id="24" name="Picture 24" descr="cid:image007.jpg@01D61A34.E6D1D0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7.jpg@01D61A34.E6D1D0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FA4" w:rsidRDefault="00642FA4" w:rsidP="00642FA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800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This test includes specially created tests that will not interfere with mother’s history:</w:t>
      </w:r>
    </w:p>
    <w:p w:rsidR="00642FA4" w:rsidRDefault="00642FA4" w:rsidP="00642FA4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PABO, PRH, PDATG</w:t>
      </w:r>
    </w:p>
    <w:p w:rsidR="00642FA4" w:rsidRDefault="00642FA4" w:rsidP="00642FA4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Theme="minorHAnsi" w:hAnsiTheme="minorHAnsi"/>
          <w:bCs/>
          <w:color w:val="000000"/>
          <w:sz w:val="24"/>
          <w:szCs w:val="24"/>
        </w:rPr>
      </w:pPr>
    </w:p>
    <w:p w:rsidR="00642FA4" w:rsidRDefault="00642FA4" w:rsidP="00642FA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800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Other tests may be added on by Blood Bank staff as needed including titers and antigen testing specific for PUBS testing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3960"/>
        <w:gridCol w:w="3965"/>
      </w:tblGrid>
      <w:tr w:rsidR="00642FA4" w:rsidTr="0043364C">
        <w:trPr>
          <w:trHeight w:val="351"/>
        </w:trPr>
        <w:tc>
          <w:tcPr>
            <w:tcW w:w="3960" w:type="dxa"/>
            <w:shd w:val="clear" w:color="auto" w:fill="8EAADB" w:themeFill="accent5" w:themeFillTint="99"/>
          </w:tcPr>
          <w:p w:rsidR="00642FA4" w:rsidRPr="00CF44FA" w:rsidRDefault="00642FA4" w:rsidP="0043364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CF44FA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TEST TO BE DONE</w:t>
            </w:r>
          </w:p>
        </w:tc>
        <w:tc>
          <w:tcPr>
            <w:tcW w:w="3965" w:type="dxa"/>
            <w:shd w:val="clear" w:color="auto" w:fill="8EAADB" w:themeFill="accent5" w:themeFillTint="99"/>
          </w:tcPr>
          <w:p w:rsidR="00642FA4" w:rsidRPr="00CF44FA" w:rsidRDefault="00642FA4" w:rsidP="0043364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CF44FA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TEST NAME IN SCC</w:t>
            </w:r>
            <w: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*</w:t>
            </w:r>
          </w:p>
        </w:tc>
      </w:tr>
      <w:tr w:rsidR="00642FA4" w:rsidTr="0043364C">
        <w:trPr>
          <w:trHeight w:val="717"/>
        </w:trPr>
        <w:tc>
          <w:tcPr>
            <w:tcW w:w="3960" w:type="dxa"/>
          </w:tcPr>
          <w:p w:rsidR="00642FA4" w:rsidRDefault="00642FA4" w:rsidP="0043364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Rh System Antigen testing </w:t>
            </w:r>
          </w:p>
          <w:p w:rsidR="00642FA4" w:rsidRDefault="00642FA4" w:rsidP="0043364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(C, c, E, e, 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Cw</w:t>
            </w:r>
            <w:proofErr w:type="spellEnd"/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, V)</w:t>
            </w:r>
          </w:p>
        </w:tc>
        <w:tc>
          <w:tcPr>
            <w:tcW w:w="3965" w:type="dxa"/>
          </w:tcPr>
          <w:p w:rsidR="00642FA4" w:rsidRDefault="00642FA4" w:rsidP="0043364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PC, PE, PLC, PLE, PCW, PV</w:t>
            </w:r>
          </w:p>
        </w:tc>
      </w:tr>
      <w:tr w:rsidR="00642FA4" w:rsidTr="0043364C">
        <w:trPr>
          <w:trHeight w:val="717"/>
        </w:trPr>
        <w:tc>
          <w:tcPr>
            <w:tcW w:w="3960" w:type="dxa"/>
          </w:tcPr>
          <w:p w:rsidR="00642FA4" w:rsidRDefault="00642FA4" w:rsidP="0043364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Kell</w:t>
            </w:r>
            <w:proofErr w:type="spellEnd"/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 System Antigen testing </w:t>
            </w:r>
          </w:p>
          <w:p w:rsidR="00642FA4" w:rsidRDefault="00642FA4" w:rsidP="0043364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(K, k, 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Jsa</w:t>
            </w:r>
            <w:proofErr w:type="spellEnd"/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Kpa</w:t>
            </w:r>
            <w:proofErr w:type="spellEnd"/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5" w:type="dxa"/>
          </w:tcPr>
          <w:p w:rsidR="00642FA4" w:rsidRDefault="00642FA4" w:rsidP="0043364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PK, PLK, PJSA, PKPA</w:t>
            </w:r>
          </w:p>
        </w:tc>
      </w:tr>
      <w:tr w:rsidR="00642FA4" w:rsidTr="0043364C">
        <w:trPr>
          <w:trHeight w:val="351"/>
        </w:trPr>
        <w:tc>
          <w:tcPr>
            <w:tcW w:w="3960" w:type="dxa"/>
          </w:tcPr>
          <w:p w:rsidR="00642FA4" w:rsidRDefault="00642FA4" w:rsidP="0043364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Duffy Antigen testing  (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Fya</w:t>
            </w:r>
            <w:proofErr w:type="spellEnd"/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Fyb</w:t>
            </w:r>
            <w:proofErr w:type="spellEnd"/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5" w:type="dxa"/>
          </w:tcPr>
          <w:p w:rsidR="00642FA4" w:rsidRDefault="00642FA4" w:rsidP="0043364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PFYA, PFYB</w:t>
            </w:r>
          </w:p>
        </w:tc>
      </w:tr>
      <w:tr w:rsidR="00642FA4" w:rsidTr="0043364C">
        <w:trPr>
          <w:trHeight w:val="351"/>
        </w:trPr>
        <w:tc>
          <w:tcPr>
            <w:tcW w:w="3960" w:type="dxa"/>
          </w:tcPr>
          <w:p w:rsidR="00642FA4" w:rsidRDefault="00642FA4" w:rsidP="0043364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Kidd Antigen Testing (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Jka</w:t>
            </w:r>
            <w:proofErr w:type="spellEnd"/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Jkb</w:t>
            </w:r>
            <w:proofErr w:type="spellEnd"/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5" w:type="dxa"/>
          </w:tcPr>
          <w:p w:rsidR="00642FA4" w:rsidRDefault="00642FA4" w:rsidP="0043364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PJKA, PJKB</w:t>
            </w:r>
          </w:p>
        </w:tc>
      </w:tr>
      <w:tr w:rsidR="00642FA4" w:rsidTr="0043364C">
        <w:trPr>
          <w:trHeight w:val="717"/>
        </w:trPr>
        <w:tc>
          <w:tcPr>
            <w:tcW w:w="3960" w:type="dxa"/>
          </w:tcPr>
          <w:p w:rsidR="00642FA4" w:rsidRDefault="00642FA4" w:rsidP="0043364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MNS System Antigen testing </w:t>
            </w:r>
          </w:p>
          <w:p w:rsidR="00642FA4" w:rsidRDefault="00642FA4" w:rsidP="0043364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(M, N, S, LS)</w:t>
            </w:r>
          </w:p>
        </w:tc>
        <w:tc>
          <w:tcPr>
            <w:tcW w:w="3965" w:type="dxa"/>
          </w:tcPr>
          <w:p w:rsidR="00642FA4" w:rsidRDefault="00642FA4" w:rsidP="0043364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PM, PN, PS, PLS</w:t>
            </w:r>
          </w:p>
        </w:tc>
      </w:tr>
      <w:tr w:rsidR="00642FA4" w:rsidTr="0043364C">
        <w:trPr>
          <w:trHeight w:val="351"/>
        </w:trPr>
        <w:tc>
          <w:tcPr>
            <w:tcW w:w="3960" w:type="dxa"/>
          </w:tcPr>
          <w:p w:rsidR="00642FA4" w:rsidRDefault="00642FA4" w:rsidP="0043364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Other Antigens not listed above</w:t>
            </w:r>
          </w:p>
        </w:tc>
        <w:tc>
          <w:tcPr>
            <w:tcW w:w="3965" w:type="dxa"/>
          </w:tcPr>
          <w:p w:rsidR="00642FA4" w:rsidRDefault="00642FA4" w:rsidP="0043364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POT</w:t>
            </w:r>
          </w:p>
        </w:tc>
      </w:tr>
      <w:tr w:rsidR="00642FA4" w:rsidTr="0043364C">
        <w:trPr>
          <w:trHeight w:val="703"/>
        </w:trPr>
        <w:tc>
          <w:tcPr>
            <w:tcW w:w="3960" w:type="dxa"/>
          </w:tcPr>
          <w:p w:rsidR="00642FA4" w:rsidRDefault="00642FA4" w:rsidP="0043364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Titers (antibodies to: L, E, D, LC, LE, K, FYA, FYB, JKA, JKB, S, M, N, A, A1, B)</w:t>
            </w:r>
          </w:p>
        </w:tc>
        <w:tc>
          <w:tcPr>
            <w:tcW w:w="3965" w:type="dxa"/>
          </w:tcPr>
          <w:p w:rsidR="00642FA4" w:rsidRDefault="00642FA4" w:rsidP="0043364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PTAB1 (first antibody)</w:t>
            </w:r>
          </w:p>
          <w:p w:rsidR="00642FA4" w:rsidRDefault="00642FA4" w:rsidP="0043364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PTAB2 (second antibody) </w:t>
            </w:r>
          </w:p>
          <w:p w:rsidR="00642FA4" w:rsidRDefault="00642FA4" w:rsidP="0043364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PTAB3 (third antibody)</w:t>
            </w:r>
          </w:p>
        </w:tc>
      </w:tr>
    </w:tbl>
    <w:p w:rsidR="00642FA4" w:rsidRPr="001B6111" w:rsidRDefault="00642FA4" w:rsidP="00642FA4">
      <w:pPr>
        <w:pStyle w:val="ListParagraph"/>
        <w:autoSpaceDE w:val="0"/>
        <w:autoSpaceDN w:val="0"/>
        <w:adjustRightInd w:val="0"/>
        <w:spacing w:after="120" w:line="240" w:lineRule="auto"/>
        <w:ind w:left="1800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*the P in front indicates it is for PUBS</w:t>
      </w:r>
    </w:p>
    <w:p w:rsidR="00642FA4" w:rsidRPr="00B4782A" w:rsidRDefault="00642FA4" w:rsidP="00642FA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440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 xml:space="preserve">A TSX will also be collected on the mother to identify any antibodies present and </w:t>
      </w:r>
      <w:proofErr w:type="spellStart"/>
      <w:r>
        <w:rPr>
          <w:rFonts w:asciiTheme="minorHAnsi" w:hAnsiTheme="minorHAnsi"/>
          <w:bCs/>
          <w:color w:val="000000"/>
          <w:sz w:val="24"/>
          <w:szCs w:val="24"/>
        </w:rPr>
        <w:t>crossmatching</w:t>
      </w:r>
      <w:proofErr w:type="spellEnd"/>
      <w:r>
        <w:rPr>
          <w:rFonts w:asciiTheme="minorHAnsi" w:hAnsiTheme="minorHAnsi"/>
          <w:bCs/>
          <w:color w:val="000000"/>
          <w:sz w:val="24"/>
          <w:szCs w:val="24"/>
        </w:rPr>
        <w:t xml:space="preserve"> the unit.  The BBID used for this sample will be used for the IUT red cell unit.</w:t>
      </w:r>
    </w:p>
    <w:p w:rsidR="00642FA4" w:rsidRDefault="00642FA4" w:rsidP="00642FA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440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lastRenderedPageBreak/>
        <w:t>The IUT red cell unit must be:</w:t>
      </w:r>
    </w:p>
    <w:p w:rsidR="00642FA4" w:rsidRDefault="00642FA4" w:rsidP="00642FA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800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Fresh (&lt; 7 days old)</w:t>
      </w:r>
    </w:p>
    <w:p w:rsidR="00642FA4" w:rsidRDefault="00642FA4" w:rsidP="00642FA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800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Washed (See step 4.0)</w:t>
      </w:r>
    </w:p>
    <w:p w:rsidR="00642FA4" w:rsidRDefault="00642FA4" w:rsidP="00642FA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800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Irradiated</w:t>
      </w:r>
    </w:p>
    <w:p w:rsidR="00642FA4" w:rsidRDefault="00642FA4" w:rsidP="00642FA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800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CMV negative equivalent (</w:t>
      </w:r>
      <w:proofErr w:type="spellStart"/>
      <w:r>
        <w:rPr>
          <w:rFonts w:asciiTheme="minorHAnsi" w:hAnsiTheme="minorHAnsi"/>
          <w:bCs/>
          <w:color w:val="000000"/>
          <w:sz w:val="24"/>
          <w:szCs w:val="24"/>
        </w:rPr>
        <w:t>leukoreduced</w:t>
      </w:r>
      <w:proofErr w:type="spellEnd"/>
      <w:r>
        <w:rPr>
          <w:rFonts w:asciiTheme="minorHAnsi" w:hAnsiTheme="minorHAnsi"/>
          <w:bCs/>
          <w:color w:val="000000"/>
          <w:sz w:val="24"/>
          <w:szCs w:val="24"/>
        </w:rPr>
        <w:t>)</w:t>
      </w:r>
    </w:p>
    <w:p w:rsidR="00642FA4" w:rsidRDefault="00642FA4" w:rsidP="00642FA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800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HGBS negative</w:t>
      </w:r>
    </w:p>
    <w:p w:rsidR="00642FA4" w:rsidRDefault="00642FA4" w:rsidP="00642FA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800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O Negative (unless infant is O positive and O positive is needed to provide antigen negative)</w:t>
      </w:r>
    </w:p>
    <w:p w:rsidR="00642FA4" w:rsidRDefault="00642FA4" w:rsidP="00642FA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800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Antigen negative for the offending antibody</w:t>
      </w:r>
    </w:p>
    <w:p w:rsidR="00642FA4" w:rsidRDefault="00642FA4" w:rsidP="00642FA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800"/>
        <w:rPr>
          <w:rFonts w:asciiTheme="minorHAnsi" w:hAnsiTheme="minorHAnsi"/>
          <w:bCs/>
          <w:color w:val="000000"/>
          <w:sz w:val="24"/>
          <w:szCs w:val="24"/>
        </w:rPr>
      </w:pPr>
      <w:proofErr w:type="spellStart"/>
      <w:r>
        <w:rPr>
          <w:rFonts w:asciiTheme="minorHAnsi" w:hAnsiTheme="minorHAnsi"/>
          <w:bCs/>
          <w:color w:val="000000"/>
          <w:sz w:val="24"/>
          <w:szCs w:val="24"/>
        </w:rPr>
        <w:t>Crossmatch</w:t>
      </w:r>
      <w:proofErr w:type="spellEnd"/>
      <w:r>
        <w:rPr>
          <w:rFonts w:asciiTheme="minorHAnsi" w:hAnsiTheme="minorHAnsi"/>
          <w:bCs/>
          <w:color w:val="000000"/>
          <w:sz w:val="24"/>
          <w:szCs w:val="24"/>
        </w:rPr>
        <w:t xml:space="preserve"> compatible with mother’s TSX sample</w:t>
      </w:r>
    </w:p>
    <w:p w:rsidR="00642FA4" w:rsidRPr="00E05D58" w:rsidRDefault="00642FA4" w:rsidP="00642FA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800"/>
        <w:rPr>
          <w:rFonts w:asciiTheme="minorHAnsi" w:hAnsiTheme="minorHAnsi"/>
          <w:bCs/>
          <w:color w:val="000000"/>
          <w:sz w:val="24"/>
          <w:szCs w:val="24"/>
        </w:rPr>
      </w:pPr>
      <w:r w:rsidRPr="00E05D58">
        <w:rPr>
          <w:rFonts w:asciiTheme="minorHAnsi" w:hAnsiTheme="minorHAnsi"/>
          <w:bCs/>
          <w:color w:val="000000"/>
          <w:sz w:val="24"/>
          <w:szCs w:val="24"/>
        </w:rPr>
        <w:t xml:space="preserve">HCT after washing </w:t>
      </w:r>
      <w:proofErr w:type="gramStart"/>
      <w:r w:rsidRPr="00E05D58">
        <w:rPr>
          <w:rFonts w:asciiTheme="minorHAnsi" w:hAnsiTheme="minorHAnsi"/>
          <w:bCs/>
          <w:color w:val="000000"/>
          <w:sz w:val="24"/>
          <w:szCs w:val="24"/>
        </w:rPr>
        <w:t>75  to</w:t>
      </w:r>
      <w:proofErr w:type="gramEnd"/>
      <w:r w:rsidRPr="00E05D58">
        <w:rPr>
          <w:rFonts w:asciiTheme="minorHAnsi" w:hAnsiTheme="minorHAnsi"/>
          <w:bCs/>
          <w:color w:val="000000"/>
          <w:sz w:val="24"/>
          <w:szCs w:val="24"/>
        </w:rPr>
        <w:t xml:space="preserve"> 80%.</w:t>
      </w:r>
    </w:p>
    <w:p w:rsidR="00642FA4" w:rsidRDefault="00642FA4" w:rsidP="00642FA4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Theme="minorHAnsi" w:hAnsiTheme="minorHAnsi"/>
          <w:bCs/>
          <w:color w:val="000000"/>
          <w:sz w:val="24"/>
          <w:szCs w:val="24"/>
        </w:rPr>
      </w:pPr>
    </w:p>
    <w:p w:rsidR="00642FA4" w:rsidRDefault="00642FA4" w:rsidP="00642FA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440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WASHING SPECIAL INSTRUCTIONS</w:t>
      </w:r>
    </w:p>
    <w:p w:rsidR="00642FA4" w:rsidRPr="005F7722" w:rsidRDefault="00642FA4" w:rsidP="00642FA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rPr>
          <w:rFonts w:asciiTheme="minorHAnsi" w:hAnsiTheme="minorHAnsi"/>
          <w:bCs/>
          <w:color w:val="000000"/>
          <w:sz w:val="24"/>
          <w:szCs w:val="24"/>
        </w:rPr>
      </w:pPr>
      <w:r w:rsidRPr="005F7722">
        <w:rPr>
          <w:rFonts w:asciiTheme="minorHAnsi" w:hAnsiTheme="minorHAnsi"/>
          <w:bCs/>
          <w:color w:val="000000"/>
          <w:sz w:val="24"/>
          <w:szCs w:val="24"/>
        </w:rPr>
        <w:t>Transfer the unit to a transfer bag after washing and label per SOP.</w:t>
      </w:r>
    </w:p>
    <w:p w:rsidR="00642FA4" w:rsidRDefault="00642FA4" w:rsidP="00642FA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Obtain a segment from the transfer tubing (it should be well mixed after transfer) and take to BMT lab (if open) for HCT. (Take to Hematology if BMT is closed.)</w:t>
      </w:r>
    </w:p>
    <w:p w:rsidR="00642FA4" w:rsidRPr="005F7722" w:rsidRDefault="00642FA4" w:rsidP="00642FA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Determine next steps based on HCT.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088"/>
        <w:gridCol w:w="6570"/>
      </w:tblGrid>
      <w:tr w:rsidR="00642FA4" w:rsidTr="0043364C">
        <w:tc>
          <w:tcPr>
            <w:tcW w:w="2088" w:type="dxa"/>
            <w:shd w:val="clear" w:color="auto" w:fill="D9D9D9" w:themeFill="background1" w:themeFillShade="D9"/>
          </w:tcPr>
          <w:p w:rsidR="00642FA4" w:rsidRDefault="00642FA4" w:rsidP="0043364C">
            <w:pPr>
              <w:pStyle w:val="ListParagraph"/>
              <w:autoSpaceDE w:val="0"/>
              <w:autoSpaceDN w:val="0"/>
              <w:adjustRightInd w:val="0"/>
              <w:spacing w:after="120" w:line="240" w:lineRule="auto"/>
              <w:ind w:left="0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Hematocrit Result</w:t>
            </w:r>
          </w:p>
        </w:tc>
        <w:tc>
          <w:tcPr>
            <w:tcW w:w="6570" w:type="dxa"/>
            <w:shd w:val="clear" w:color="auto" w:fill="D9D9D9" w:themeFill="background1" w:themeFillShade="D9"/>
          </w:tcPr>
          <w:p w:rsidR="00642FA4" w:rsidRDefault="00642FA4" w:rsidP="0043364C">
            <w:pPr>
              <w:pStyle w:val="ListParagraph"/>
              <w:autoSpaceDE w:val="0"/>
              <w:autoSpaceDN w:val="0"/>
              <w:adjustRightInd w:val="0"/>
              <w:spacing w:after="120" w:line="240" w:lineRule="auto"/>
              <w:ind w:left="0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Step(s)</w:t>
            </w:r>
          </w:p>
        </w:tc>
      </w:tr>
      <w:tr w:rsidR="00642FA4" w:rsidTr="0043364C">
        <w:tc>
          <w:tcPr>
            <w:tcW w:w="2088" w:type="dxa"/>
          </w:tcPr>
          <w:p w:rsidR="00642FA4" w:rsidRDefault="00642FA4" w:rsidP="0043364C">
            <w:pPr>
              <w:pStyle w:val="ListParagraph"/>
              <w:autoSpaceDE w:val="0"/>
              <w:autoSpaceDN w:val="0"/>
              <w:adjustRightInd w:val="0"/>
              <w:spacing w:after="120" w:line="240" w:lineRule="auto"/>
              <w:ind w:left="0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&gt;75%</w:t>
            </w:r>
          </w:p>
        </w:tc>
        <w:tc>
          <w:tcPr>
            <w:tcW w:w="6570" w:type="dxa"/>
          </w:tcPr>
          <w:p w:rsidR="00642FA4" w:rsidRDefault="00642FA4" w:rsidP="0043364C">
            <w:pPr>
              <w:pStyle w:val="ListParagraph"/>
              <w:autoSpaceDE w:val="0"/>
              <w:autoSpaceDN w:val="0"/>
              <w:adjustRightInd w:val="0"/>
              <w:spacing w:after="120" w:line="240" w:lineRule="auto"/>
              <w:ind w:left="0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Record on bag. Call that unit is ready.</w:t>
            </w:r>
          </w:p>
        </w:tc>
      </w:tr>
      <w:tr w:rsidR="00642FA4" w:rsidTr="0043364C">
        <w:tc>
          <w:tcPr>
            <w:tcW w:w="2088" w:type="dxa"/>
          </w:tcPr>
          <w:p w:rsidR="00642FA4" w:rsidRDefault="00642FA4" w:rsidP="0043364C">
            <w:pPr>
              <w:pStyle w:val="ListParagraph"/>
              <w:autoSpaceDE w:val="0"/>
              <w:autoSpaceDN w:val="0"/>
              <w:adjustRightInd w:val="0"/>
              <w:spacing w:after="120" w:line="240" w:lineRule="auto"/>
              <w:ind w:left="0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&lt;75%</w:t>
            </w:r>
          </w:p>
        </w:tc>
        <w:tc>
          <w:tcPr>
            <w:tcW w:w="6570" w:type="dxa"/>
          </w:tcPr>
          <w:p w:rsidR="00642FA4" w:rsidRDefault="00642FA4" w:rsidP="0043364C">
            <w:pPr>
              <w:pStyle w:val="ListParagraph"/>
              <w:autoSpaceDE w:val="0"/>
              <w:autoSpaceDN w:val="0"/>
              <w:adjustRightInd w:val="0"/>
              <w:spacing w:after="120" w:line="240" w:lineRule="auto"/>
              <w:ind w:left="0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Take bag to BMT.</w:t>
            </w:r>
          </w:p>
          <w:p w:rsidR="00642FA4" w:rsidRDefault="00642FA4" w:rsidP="0043364C">
            <w:pPr>
              <w:pStyle w:val="ListParagraph"/>
              <w:autoSpaceDE w:val="0"/>
              <w:autoSpaceDN w:val="0"/>
              <w:adjustRightInd w:val="0"/>
              <w:spacing w:after="120" w:line="240" w:lineRule="auto"/>
              <w:ind w:left="0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Centrifuge per whole blood packing SOP.</w:t>
            </w:r>
          </w:p>
          <w:p w:rsidR="00642FA4" w:rsidRDefault="00642FA4" w:rsidP="0043364C">
            <w:pPr>
              <w:pStyle w:val="ListParagraph"/>
              <w:autoSpaceDE w:val="0"/>
              <w:autoSpaceDN w:val="0"/>
              <w:adjustRightInd w:val="0"/>
              <w:spacing w:after="120" w:line="240" w:lineRule="auto"/>
              <w:ind w:left="0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Express saline into a transfer bag and seal.</w:t>
            </w:r>
          </w:p>
          <w:p w:rsidR="00642FA4" w:rsidRDefault="00642FA4" w:rsidP="0043364C">
            <w:pPr>
              <w:pStyle w:val="ListParagraph"/>
              <w:autoSpaceDE w:val="0"/>
              <w:autoSpaceDN w:val="0"/>
              <w:adjustRightInd w:val="0"/>
              <w:spacing w:after="120" w:line="240" w:lineRule="auto"/>
              <w:ind w:left="0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Strip tubing and mix bag.</w:t>
            </w:r>
          </w:p>
          <w:p w:rsidR="00642FA4" w:rsidRDefault="00642FA4" w:rsidP="0043364C">
            <w:pPr>
              <w:pStyle w:val="ListParagraph"/>
              <w:autoSpaceDE w:val="0"/>
              <w:autoSpaceDN w:val="0"/>
              <w:adjustRightInd w:val="0"/>
              <w:spacing w:after="120" w:line="240" w:lineRule="auto"/>
              <w:ind w:left="0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Make a segment and repeat the HCT.</w:t>
            </w:r>
          </w:p>
          <w:p w:rsidR="00642FA4" w:rsidRDefault="00642FA4" w:rsidP="0043364C">
            <w:pPr>
              <w:pStyle w:val="ListParagraph"/>
              <w:autoSpaceDE w:val="0"/>
              <w:autoSpaceDN w:val="0"/>
              <w:adjustRightInd w:val="0"/>
              <w:spacing w:after="120" w:line="240" w:lineRule="auto"/>
              <w:ind w:left="0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Consult management if still &lt;75%.</w:t>
            </w:r>
          </w:p>
          <w:p w:rsidR="00642FA4" w:rsidRDefault="00642FA4" w:rsidP="0043364C">
            <w:pPr>
              <w:pStyle w:val="ListParagraph"/>
              <w:autoSpaceDE w:val="0"/>
              <w:autoSpaceDN w:val="0"/>
              <w:adjustRightInd w:val="0"/>
              <w:spacing w:after="120" w:line="240" w:lineRule="auto"/>
              <w:ind w:left="0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</w:p>
        </w:tc>
      </w:tr>
    </w:tbl>
    <w:p w:rsidR="00642FA4" w:rsidRDefault="00642FA4" w:rsidP="00642FA4">
      <w:pPr>
        <w:pStyle w:val="ListParagraph"/>
        <w:autoSpaceDE w:val="0"/>
        <w:autoSpaceDN w:val="0"/>
        <w:adjustRightInd w:val="0"/>
        <w:spacing w:after="120" w:line="240" w:lineRule="auto"/>
        <w:ind w:left="1440"/>
        <w:rPr>
          <w:rFonts w:asciiTheme="minorHAnsi" w:hAnsiTheme="minorHAnsi"/>
          <w:bCs/>
          <w:color w:val="000000"/>
          <w:sz w:val="24"/>
          <w:szCs w:val="24"/>
        </w:rPr>
      </w:pPr>
    </w:p>
    <w:p w:rsidR="00642FA4" w:rsidRDefault="00642FA4" w:rsidP="00642FA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440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PUBS will be of limited quantity and normal reflex testing may not be possible.</w:t>
      </w:r>
    </w:p>
    <w:p w:rsidR="00642FA4" w:rsidRDefault="00642FA4" w:rsidP="00642FA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A Pedi filter must be given with unit.</w:t>
      </w:r>
    </w:p>
    <w:p w:rsidR="00642FA4" w:rsidRDefault="00642FA4" w:rsidP="00642FA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800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In SCC:</w:t>
      </w:r>
    </w:p>
    <w:p w:rsidR="00642FA4" w:rsidRDefault="00642FA4" w:rsidP="00642FA4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Add as a supply when irradiating</w:t>
      </w:r>
    </w:p>
    <w:p w:rsidR="00642FA4" w:rsidRDefault="00642FA4" w:rsidP="00642FA4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Add as an instruction after selecting to patient</w:t>
      </w:r>
    </w:p>
    <w:p w:rsidR="00642FA4" w:rsidRDefault="00642FA4" w:rsidP="00642FA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A second transfusion label must accompany the unit to the floor.</w:t>
      </w:r>
    </w:p>
    <w:p w:rsidR="00642FA4" w:rsidRPr="004505D6" w:rsidRDefault="00642FA4" w:rsidP="00642FA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800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1B6111">
        <w:rPr>
          <w:rFonts w:asciiTheme="minorHAnsi" w:hAnsiTheme="minorHAnsi"/>
          <w:bCs/>
          <w:color w:val="000000"/>
          <w:sz w:val="24"/>
          <w:szCs w:val="24"/>
        </w:rPr>
        <w:t>Refer to Section I under Protocol, step 5.1.b.</w:t>
      </w:r>
    </w:p>
    <w:p w:rsidR="00642FA4" w:rsidRDefault="00642FA4" w:rsidP="00642FA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642FA4" w:rsidRPr="004505D6" w:rsidRDefault="00642FA4" w:rsidP="00642FA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047ACF" w:rsidRDefault="00047ACF"/>
    <w:sectPr w:rsidR="00047ACF" w:rsidSect="00642FA4">
      <w:pgSz w:w="12240" w:h="15840"/>
      <w:pgMar w:top="30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1EEF"/>
    <w:multiLevelType w:val="multilevel"/>
    <w:tmpl w:val="D31E9BA2"/>
    <w:lvl w:ilvl="0">
      <w:start w:val="1"/>
      <w:numFmt w:val="upperRoman"/>
      <w:lvlText w:val="%1."/>
      <w:lvlJc w:val="left"/>
      <w:pPr>
        <w:ind w:left="1305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85" w:hanging="1800"/>
      </w:pPr>
      <w:rPr>
        <w:rFonts w:hint="default"/>
      </w:rPr>
    </w:lvl>
  </w:abstractNum>
  <w:abstractNum w:abstractNumId="1" w15:restartNumberingAfterBreak="0">
    <w:nsid w:val="6AE63EC9"/>
    <w:multiLevelType w:val="hybridMultilevel"/>
    <w:tmpl w:val="F63AABF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3B88525E">
      <w:start w:val="1"/>
      <w:numFmt w:val="lowerLetter"/>
      <w:lvlText w:val="%2."/>
      <w:lvlJc w:val="left"/>
      <w:pPr>
        <w:ind w:left="2520" w:hanging="360"/>
      </w:pPr>
      <w:rPr>
        <w:b w:val="0"/>
        <w:sz w:val="24"/>
        <w:szCs w:val="22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A4"/>
    <w:rsid w:val="00047ACF"/>
    <w:rsid w:val="0064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FA6BD"/>
  <w15:chartTrackingRefBased/>
  <w15:docId w15:val="{03C3109E-65AE-44C1-8B59-09CC510D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F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FA4"/>
    <w:pPr>
      <w:ind w:left="720"/>
    </w:pPr>
  </w:style>
  <w:style w:type="table" w:styleId="TableGrid">
    <w:name w:val="Table Grid"/>
    <w:basedOn w:val="TableNormal"/>
    <w:uiPriority w:val="59"/>
    <w:rsid w:val="00642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7.jpg@01D61A34.E6D1D0A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 Simmons</dc:creator>
  <cp:keywords/>
  <dc:description/>
  <cp:lastModifiedBy>Julie H Simmons</cp:lastModifiedBy>
  <cp:revision>1</cp:revision>
  <dcterms:created xsi:type="dcterms:W3CDTF">2020-04-24T17:01:00Z</dcterms:created>
  <dcterms:modified xsi:type="dcterms:W3CDTF">2020-04-24T17:01:00Z</dcterms:modified>
</cp:coreProperties>
</file>