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7F3E6E" w:rsidRDefault="001C63A8" w:rsidP="00397CDA">
      <w:pPr>
        <w:pStyle w:val="Heading1"/>
        <w:tabs>
          <w:tab w:val="left" w:pos="7920"/>
        </w:tabs>
        <w:rPr>
          <w:sz w:val="24"/>
          <w:szCs w:val="24"/>
        </w:rPr>
      </w:pPr>
      <w:r w:rsidRPr="007F3E6E">
        <w:rPr>
          <w:sz w:val="24"/>
          <w:szCs w:val="24"/>
        </w:rPr>
        <w:t>Applicable Laboratory(s)</w:t>
      </w:r>
      <w:r w:rsidR="00606A36" w:rsidRPr="007F3E6E">
        <w:rPr>
          <w:sz w:val="24"/>
          <w:szCs w:val="24"/>
        </w:rPr>
        <w:t>:</w:t>
      </w:r>
    </w:p>
    <w:p w:rsidR="00606A36" w:rsidRDefault="00606A36" w:rsidP="0056313C">
      <w:pPr>
        <w:sectPr w:rsidR="00606A36" w:rsidSect="00A153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272"/>
        </w:sectPr>
      </w:pPr>
    </w:p>
    <w:p w:rsidR="00606A36" w:rsidRPr="00887AE0" w:rsidRDefault="00397CDA" w:rsidP="0056313C">
      <w:pPr>
        <w:rPr>
          <w:rFonts w:cs="Arial"/>
        </w:rPr>
      </w:pPr>
      <w:sdt>
        <w:sdtPr>
          <w:id w:val="-761983799"/>
          <w14:checkbox>
            <w14:checked w14:val="0"/>
            <w14:checkedState w14:val="2612" w14:font="MS Gothic"/>
            <w14:uncheckedState w14:val="2610" w14:font="MS Gothic"/>
          </w14:checkbox>
        </w:sdtPr>
        <w:sdtEndPr/>
        <w:sdtContent>
          <w:r w:rsidR="00606A36" w:rsidRPr="0056313C">
            <w:rPr>
              <w:rFonts w:ascii="Segoe UI Symbol" w:hAnsi="Segoe UI Symbol" w:cs="Segoe UI Symbol"/>
            </w:rPr>
            <w:t>☐</w:t>
          </w:r>
        </w:sdtContent>
      </w:sdt>
      <w:r w:rsidR="00606A36" w:rsidRPr="0056313C">
        <w:t xml:space="preserve"> </w:t>
      </w:r>
      <w:r w:rsidR="00606A36" w:rsidRPr="00887AE0">
        <w:rPr>
          <w:rFonts w:cs="Arial"/>
        </w:rPr>
        <w:t>North Carolina Baptist Hospital (NCBH)</w:t>
      </w:r>
    </w:p>
    <w:p w:rsidR="00606A36" w:rsidRPr="00887AE0" w:rsidRDefault="00397CDA"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397CDA"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397CDA"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397CDA"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397CDA"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397CDA"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Pr="007F3E6E" w:rsidRDefault="007F3E6E" w:rsidP="00BF5F7B">
      <w:pPr>
        <w:pStyle w:val="Heading1"/>
        <w:rPr>
          <w:sz w:val="24"/>
          <w:szCs w:val="24"/>
        </w:rPr>
      </w:pPr>
      <w:r w:rsidRPr="007F3E6E">
        <w:rPr>
          <w:sz w:val="24"/>
          <w:szCs w:val="24"/>
        </w:rPr>
        <w:t>Purpose</w:t>
      </w:r>
    </w:p>
    <w:p w:rsidR="00BF5F7B" w:rsidRDefault="00BF5F7B" w:rsidP="00887AE0"/>
    <w:p w:rsidR="008E16B1" w:rsidRDefault="008E16B1" w:rsidP="00887AE0">
      <w:r>
        <w:t xml:space="preserve">The purpose of this </w:t>
      </w:r>
      <w:r w:rsidR="00524D92">
        <w:t>procedure</w:t>
      </w:r>
      <w:r>
        <w:t xml:space="preserve"> is to</w:t>
      </w:r>
      <w:r w:rsidR="00A07F91">
        <w:t xml:space="preserve"> comply with current AABB standards that all Codabar and non-ISBT 128 units be assigned and relabeled in ISBT format with the assigning facility clearly indicated. </w:t>
      </w:r>
    </w:p>
    <w:p w:rsidR="0056313C" w:rsidRDefault="0056313C" w:rsidP="00887AE0"/>
    <w:p w:rsidR="00B048D9" w:rsidRPr="007F3E6E" w:rsidRDefault="00B048D9" w:rsidP="00887AE0">
      <w:pPr>
        <w:pStyle w:val="Heading1"/>
        <w:rPr>
          <w:sz w:val="24"/>
          <w:szCs w:val="24"/>
        </w:rPr>
      </w:pPr>
      <w:r w:rsidRPr="007F3E6E">
        <w:rPr>
          <w:sz w:val="24"/>
          <w:szCs w:val="24"/>
        </w:rPr>
        <w:t>Scope</w:t>
      </w:r>
    </w:p>
    <w:p w:rsidR="0056313C" w:rsidRDefault="0056313C" w:rsidP="0056313C"/>
    <w:p w:rsidR="00904FFE" w:rsidRPr="0056313C" w:rsidRDefault="00353C0F" w:rsidP="0056313C">
      <w:r>
        <w:t xml:space="preserve">This </w:t>
      </w:r>
      <w:r w:rsidR="00524D92">
        <w:t>procedure</w:t>
      </w:r>
      <w:r>
        <w:t xml:space="preserve"> applies to</w:t>
      </w:r>
      <w:r w:rsidR="00A07F91">
        <w:t xml:space="preserve"> BB Staff and Management</w:t>
      </w:r>
    </w:p>
    <w:p w:rsidR="002451BA" w:rsidRPr="00B3765F" w:rsidRDefault="002451BA" w:rsidP="0056313C"/>
    <w:p w:rsidR="00B048D9" w:rsidRPr="007F3E6E" w:rsidRDefault="00B048D9" w:rsidP="00887AE0">
      <w:pPr>
        <w:pStyle w:val="Heading1"/>
        <w:rPr>
          <w:sz w:val="24"/>
          <w:szCs w:val="24"/>
        </w:rPr>
      </w:pPr>
      <w:r w:rsidRPr="007F3E6E">
        <w:rPr>
          <w:sz w:val="24"/>
          <w:szCs w:val="24"/>
        </w:rP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A07F91" w:rsidRDefault="00A07F91" w:rsidP="00A07F91">
      <w:r>
        <w:t xml:space="preserve">C.  AABB: Association for the Advancement for Blood and Biotherapies. </w:t>
      </w:r>
    </w:p>
    <w:p w:rsidR="00A07F91" w:rsidRPr="00A07F91" w:rsidRDefault="00A07F91" w:rsidP="00A07F91">
      <w:r>
        <w:t xml:space="preserve">D.  ISBT 128: Standardized labeling for all blood products. </w:t>
      </w:r>
    </w:p>
    <w:p w:rsidR="003C4DEB" w:rsidRDefault="003C4DEB" w:rsidP="007F3E6E">
      <w:pPr>
        <w:pStyle w:val="Heading1"/>
      </w:pPr>
    </w:p>
    <w:p w:rsidR="007F3E6E" w:rsidRDefault="007F3E6E" w:rsidP="007F3E6E">
      <w:pPr>
        <w:pStyle w:val="Heading1"/>
      </w:pPr>
      <w:r>
        <w:t xml:space="preserve">Supplies/Materials </w:t>
      </w:r>
    </w:p>
    <w:p w:rsidR="007F3E6E" w:rsidRDefault="007F3E6E" w:rsidP="007F3E6E"/>
    <w:p w:rsidR="007F3E6E" w:rsidRDefault="00A07F91" w:rsidP="007F3E6E">
      <w:r>
        <w:t>Codabar units converted to ISBT Worksheets</w:t>
      </w:r>
    </w:p>
    <w:p w:rsidR="00A07F91" w:rsidRDefault="00A07F91" w:rsidP="007F3E6E">
      <w:r>
        <w:t>Hematrax printer</w:t>
      </w:r>
    </w:p>
    <w:p w:rsidR="00A07F91" w:rsidRDefault="00A07F91" w:rsidP="007F3E6E">
      <w:r>
        <w:t>ISBT printer</w:t>
      </w:r>
    </w:p>
    <w:p w:rsidR="00A07F91" w:rsidRPr="007F3E6E" w:rsidRDefault="00A07F91" w:rsidP="007F3E6E">
      <w:r>
        <w:t>Computer with SCC</w:t>
      </w:r>
    </w:p>
    <w:p w:rsidR="00A2219E" w:rsidRPr="00B3765F" w:rsidRDefault="00A2219E" w:rsidP="0056313C"/>
    <w:p w:rsidR="003405F2" w:rsidRDefault="003405F2" w:rsidP="00887AE0">
      <w:pPr>
        <w:pStyle w:val="Heading1"/>
      </w:pPr>
      <w:r>
        <w:t xml:space="preserve">Protocol </w:t>
      </w:r>
    </w:p>
    <w:p w:rsidR="003405F2" w:rsidRDefault="003405F2" w:rsidP="003405F2">
      <w:pPr>
        <w:pStyle w:val="Style2"/>
        <w:numPr>
          <w:ilvl w:val="0"/>
          <w:numId w:val="15"/>
        </w:numPr>
      </w:pPr>
      <w:r>
        <w:t xml:space="preserve">Frozen and liquid products will be received into inventory as labeled from the blood supplier. </w:t>
      </w:r>
    </w:p>
    <w:p w:rsidR="003405F2" w:rsidRDefault="003405F2" w:rsidP="003405F2">
      <w:pPr>
        <w:pStyle w:val="Style2"/>
        <w:numPr>
          <w:ilvl w:val="0"/>
          <w:numId w:val="0"/>
        </w:numPr>
        <w:ind w:left="720"/>
        <w:rPr>
          <w:i/>
          <w:color w:val="00B0F0"/>
        </w:rPr>
      </w:pPr>
      <w:r w:rsidRPr="003405F2">
        <w:rPr>
          <w:i/>
          <w:color w:val="00B0F0"/>
        </w:rPr>
        <w:lastRenderedPageBreak/>
        <w:t>Refer to BB-SOP-0014</w:t>
      </w:r>
      <w:r>
        <w:rPr>
          <w:i/>
          <w:color w:val="00B0F0"/>
        </w:rPr>
        <w:t xml:space="preserve"> Blood Product Entry</w:t>
      </w:r>
    </w:p>
    <w:p w:rsidR="003405F2" w:rsidRDefault="003405F2" w:rsidP="003405F2">
      <w:pPr>
        <w:pStyle w:val="Style2"/>
        <w:numPr>
          <w:ilvl w:val="0"/>
          <w:numId w:val="15"/>
        </w:numPr>
      </w:pPr>
      <w:r>
        <w:t xml:space="preserve">Frozen units will be assigned and re-labeled with ISBT 128 donor identification number </w:t>
      </w:r>
      <w:r w:rsidR="00397CDA">
        <w:t>when thawing</w:t>
      </w:r>
      <w:r>
        <w:t>.</w:t>
      </w:r>
    </w:p>
    <w:p w:rsidR="003405F2" w:rsidRDefault="003405F2" w:rsidP="003405F2">
      <w:pPr>
        <w:pStyle w:val="Style2"/>
        <w:numPr>
          <w:ilvl w:val="0"/>
          <w:numId w:val="15"/>
        </w:numPr>
      </w:pPr>
      <w:r>
        <w:t xml:space="preserve">Liquid units will be assigned and re-labeled with ISBT 128 donor identification number after completion of blood product entry. </w:t>
      </w:r>
    </w:p>
    <w:p w:rsidR="003405F2" w:rsidRPr="003405F2" w:rsidRDefault="003405F2" w:rsidP="003405F2">
      <w:bookmarkStart w:id="0" w:name="_GoBack"/>
      <w:bookmarkEnd w:id="0"/>
    </w:p>
    <w:p w:rsidR="00B048D9" w:rsidRDefault="00DC0D2A" w:rsidP="00887AE0">
      <w:pPr>
        <w:pStyle w:val="Heading1"/>
      </w:pPr>
      <w:r>
        <w:t>P</w:t>
      </w:r>
      <w:r w:rsidR="00590E5F">
        <w:t>rocedure</w:t>
      </w:r>
      <w:r w:rsidR="008E16B1">
        <w:t xml:space="preserve"> </w:t>
      </w:r>
      <w:r w:rsidR="003B660A">
        <w:t>Guidelines</w:t>
      </w:r>
    </w:p>
    <w:p w:rsidR="008A7FE8" w:rsidRDefault="008A7FE8" w:rsidP="0056313C"/>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869"/>
      </w:tblGrid>
      <w:tr w:rsidR="003405F2" w:rsidRPr="003405F2" w:rsidTr="003405F2">
        <w:trPr>
          <w:tblHeader/>
          <w:jc w:val="center"/>
        </w:trPr>
        <w:tc>
          <w:tcPr>
            <w:tcW w:w="1075" w:type="dxa"/>
            <w:shd w:val="clear" w:color="auto" w:fill="CCCCCC"/>
          </w:tcPr>
          <w:p w:rsidR="003405F2" w:rsidRPr="003405F2" w:rsidRDefault="003405F2" w:rsidP="003405F2">
            <w:pPr>
              <w:pStyle w:val="Style2"/>
              <w:numPr>
                <w:ilvl w:val="0"/>
                <w:numId w:val="0"/>
              </w:numPr>
              <w:jc w:val="center"/>
              <w:rPr>
                <w:b/>
              </w:rPr>
            </w:pPr>
            <w:r w:rsidRPr="003405F2">
              <w:rPr>
                <w:b/>
              </w:rPr>
              <w:t>STEPS</w:t>
            </w:r>
          </w:p>
        </w:tc>
        <w:tc>
          <w:tcPr>
            <w:tcW w:w="7869" w:type="dxa"/>
            <w:shd w:val="clear" w:color="auto" w:fill="CCCCCC"/>
          </w:tcPr>
          <w:p w:rsidR="003405F2" w:rsidRPr="003405F2" w:rsidRDefault="003405F2" w:rsidP="003405F2">
            <w:pPr>
              <w:pStyle w:val="Style2"/>
              <w:numPr>
                <w:ilvl w:val="0"/>
                <w:numId w:val="0"/>
              </w:numPr>
              <w:jc w:val="center"/>
              <w:rPr>
                <w:b/>
              </w:rPr>
            </w:pPr>
            <w:r w:rsidRPr="003405F2">
              <w:rPr>
                <w:b/>
              </w:rPr>
              <w:t>INSTRUCTIONS</w:t>
            </w:r>
          </w:p>
        </w:tc>
      </w:tr>
      <w:tr w:rsidR="00B177FB" w:rsidRPr="003405F2" w:rsidTr="003405F2">
        <w:trPr>
          <w:jc w:val="center"/>
        </w:trPr>
        <w:tc>
          <w:tcPr>
            <w:tcW w:w="1075" w:type="dxa"/>
            <w:vAlign w:val="center"/>
          </w:tcPr>
          <w:p w:rsidR="00B177FB" w:rsidRDefault="00B177FB" w:rsidP="003405F2">
            <w:pPr>
              <w:pStyle w:val="Style2"/>
              <w:numPr>
                <w:ilvl w:val="0"/>
                <w:numId w:val="0"/>
              </w:numPr>
              <w:ind w:left="-30"/>
              <w:jc w:val="center"/>
              <w:rPr>
                <w:b/>
              </w:rPr>
            </w:pPr>
            <w:r>
              <w:rPr>
                <w:b/>
              </w:rPr>
              <w:t>1.</w:t>
            </w:r>
          </w:p>
        </w:tc>
        <w:tc>
          <w:tcPr>
            <w:tcW w:w="7869" w:type="dxa"/>
          </w:tcPr>
          <w:p w:rsidR="00B177FB" w:rsidRDefault="00B177FB" w:rsidP="00B177FB">
            <w:pPr>
              <w:pStyle w:val="Style2"/>
              <w:numPr>
                <w:ilvl w:val="0"/>
                <w:numId w:val="0"/>
              </w:numPr>
              <w:ind w:left="-14"/>
            </w:pPr>
            <w:r>
              <w:t>Obtain Codabar Units Converted to ISBT Worksheet appropriate for the product being cr</w:t>
            </w:r>
            <w:r w:rsidR="00397CDA">
              <w:t>e</w:t>
            </w:r>
            <w:r>
              <w:t>ated.</w:t>
            </w:r>
          </w:p>
          <w:p w:rsidR="00D3435A" w:rsidRDefault="00D3435A" w:rsidP="00B177FB">
            <w:pPr>
              <w:pStyle w:val="Style2"/>
              <w:numPr>
                <w:ilvl w:val="0"/>
                <w:numId w:val="0"/>
              </w:numPr>
              <w:ind w:left="-14"/>
            </w:pPr>
          </w:p>
          <w:p w:rsidR="007779C2" w:rsidRDefault="007779C2" w:rsidP="00B177FB">
            <w:pPr>
              <w:pStyle w:val="Style2"/>
              <w:numPr>
                <w:ilvl w:val="0"/>
                <w:numId w:val="0"/>
              </w:numPr>
              <w:ind w:left="-14"/>
              <w:rPr>
                <w:i/>
                <w:color w:val="00B0F0"/>
              </w:rPr>
            </w:pPr>
            <w:r>
              <w:rPr>
                <w:i/>
                <w:color w:val="00B0F0"/>
              </w:rPr>
              <w:t>Refer to Attachment 1: Codabar Units Converted to ISBT Worksheet</w:t>
            </w:r>
          </w:p>
          <w:p w:rsidR="00D3435A" w:rsidRDefault="00D3435A" w:rsidP="00B177FB">
            <w:pPr>
              <w:pStyle w:val="Style2"/>
              <w:numPr>
                <w:ilvl w:val="0"/>
                <w:numId w:val="0"/>
              </w:numPr>
              <w:ind w:left="-14"/>
              <w:rPr>
                <w:color w:val="00B0F0"/>
              </w:rPr>
            </w:pPr>
          </w:p>
          <w:p w:rsidR="007779C2" w:rsidRDefault="007779C2" w:rsidP="007779C2">
            <w:pPr>
              <w:pStyle w:val="Style2"/>
              <w:numPr>
                <w:ilvl w:val="0"/>
                <w:numId w:val="16"/>
              </w:numPr>
            </w:pPr>
            <w:r>
              <w:t>This worksheet has 4 sections that correspond to the component code</w:t>
            </w:r>
          </w:p>
          <w:p w:rsidR="007779C2" w:rsidRPr="007779C2" w:rsidRDefault="007779C2" w:rsidP="007779C2">
            <w:pPr>
              <w:pStyle w:val="Style2"/>
              <w:numPr>
                <w:ilvl w:val="0"/>
                <w:numId w:val="16"/>
              </w:numPr>
            </w:pPr>
            <w:r>
              <w:t>Frozen red cells will either be leukoreduced or non-leukoreduced. Check the component label for product type, NOT SCC.</w:t>
            </w:r>
          </w:p>
          <w:p w:rsidR="00B177FB" w:rsidRDefault="00B177FB" w:rsidP="00B177FB">
            <w:pPr>
              <w:pStyle w:val="Style2"/>
              <w:numPr>
                <w:ilvl w:val="0"/>
                <w:numId w:val="0"/>
              </w:numPr>
              <w:ind w:left="-14"/>
            </w:pPr>
          </w:p>
        </w:tc>
      </w:tr>
      <w:tr w:rsidR="003405F2" w:rsidRPr="003405F2" w:rsidTr="003405F2">
        <w:trPr>
          <w:jc w:val="center"/>
        </w:trPr>
        <w:tc>
          <w:tcPr>
            <w:tcW w:w="1075" w:type="dxa"/>
            <w:vAlign w:val="center"/>
          </w:tcPr>
          <w:p w:rsidR="003405F2" w:rsidRPr="003405F2" w:rsidRDefault="003405F2" w:rsidP="003405F2">
            <w:pPr>
              <w:pStyle w:val="Style2"/>
              <w:numPr>
                <w:ilvl w:val="0"/>
                <w:numId w:val="0"/>
              </w:numPr>
              <w:ind w:left="-30"/>
              <w:jc w:val="center"/>
              <w:rPr>
                <w:b/>
              </w:rPr>
            </w:pPr>
            <w:r>
              <w:rPr>
                <w:b/>
              </w:rPr>
              <w:t>1.</w:t>
            </w:r>
          </w:p>
        </w:tc>
        <w:tc>
          <w:tcPr>
            <w:tcW w:w="7869" w:type="dxa"/>
          </w:tcPr>
          <w:p w:rsidR="003405F2" w:rsidRDefault="00B177FB" w:rsidP="00B177FB">
            <w:pPr>
              <w:pStyle w:val="Style2"/>
              <w:numPr>
                <w:ilvl w:val="0"/>
                <w:numId w:val="0"/>
              </w:numPr>
              <w:ind w:left="-14"/>
            </w:pPr>
            <w:r>
              <w:t>In SCC: Inventory &gt; In</w:t>
            </w:r>
            <w:r w:rsidR="00397CDA">
              <w:t>/Out</w:t>
            </w:r>
            <w:r>
              <w:t xml:space="preserve"> &gt; Delivery</w:t>
            </w:r>
          </w:p>
          <w:p w:rsidR="00B177FB" w:rsidRPr="003405F2" w:rsidRDefault="00B177FB" w:rsidP="00B177FB">
            <w:pPr>
              <w:pStyle w:val="Style2"/>
              <w:numPr>
                <w:ilvl w:val="0"/>
                <w:numId w:val="0"/>
              </w:numPr>
              <w:ind w:left="-14"/>
            </w:pPr>
          </w:p>
        </w:tc>
      </w:tr>
      <w:tr w:rsidR="003405F2" w:rsidRPr="003405F2" w:rsidTr="003405F2">
        <w:trPr>
          <w:jc w:val="center"/>
        </w:trPr>
        <w:tc>
          <w:tcPr>
            <w:tcW w:w="1075" w:type="dxa"/>
            <w:vAlign w:val="center"/>
          </w:tcPr>
          <w:p w:rsidR="003405F2" w:rsidRPr="003405F2" w:rsidRDefault="00B177FB" w:rsidP="003405F2">
            <w:pPr>
              <w:pStyle w:val="Style2"/>
              <w:numPr>
                <w:ilvl w:val="0"/>
                <w:numId w:val="0"/>
              </w:numPr>
              <w:jc w:val="center"/>
              <w:rPr>
                <w:b/>
              </w:rPr>
            </w:pPr>
            <w:r>
              <w:rPr>
                <w:b/>
              </w:rPr>
              <w:t>2.</w:t>
            </w:r>
          </w:p>
        </w:tc>
        <w:tc>
          <w:tcPr>
            <w:tcW w:w="7869" w:type="dxa"/>
          </w:tcPr>
          <w:p w:rsidR="003405F2" w:rsidRDefault="00B177FB" w:rsidP="00B177FB">
            <w:pPr>
              <w:pStyle w:val="Style2"/>
              <w:numPr>
                <w:ilvl w:val="0"/>
                <w:numId w:val="0"/>
              </w:numPr>
              <w:ind w:left="-14"/>
            </w:pPr>
            <w:r>
              <w:t>For Source: Enter original collecting site</w:t>
            </w:r>
          </w:p>
          <w:p w:rsidR="00B177FB" w:rsidRPr="003405F2" w:rsidRDefault="00B177FB" w:rsidP="00B177FB">
            <w:pPr>
              <w:pStyle w:val="Style2"/>
              <w:numPr>
                <w:ilvl w:val="0"/>
                <w:numId w:val="0"/>
              </w:numPr>
              <w:ind w:left="-14"/>
            </w:pPr>
          </w:p>
        </w:tc>
      </w:tr>
      <w:tr w:rsidR="003405F2" w:rsidRPr="003405F2" w:rsidTr="003405F2">
        <w:trPr>
          <w:jc w:val="center"/>
        </w:trPr>
        <w:tc>
          <w:tcPr>
            <w:tcW w:w="1075" w:type="dxa"/>
            <w:vAlign w:val="center"/>
          </w:tcPr>
          <w:p w:rsidR="003405F2" w:rsidRPr="003405F2" w:rsidRDefault="00B177FB" w:rsidP="00B177FB">
            <w:pPr>
              <w:pStyle w:val="Style2"/>
              <w:numPr>
                <w:ilvl w:val="0"/>
                <w:numId w:val="0"/>
              </w:numPr>
              <w:jc w:val="center"/>
              <w:rPr>
                <w:b/>
              </w:rPr>
            </w:pPr>
            <w:r>
              <w:rPr>
                <w:b/>
              </w:rPr>
              <w:t>3.</w:t>
            </w:r>
          </w:p>
        </w:tc>
        <w:tc>
          <w:tcPr>
            <w:tcW w:w="7869" w:type="dxa"/>
          </w:tcPr>
          <w:p w:rsidR="003405F2" w:rsidRDefault="00B177FB" w:rsidP="007779C2">
            <w:pPr>
              <w:pStyle w:val="Style2"/>
              <w:numPr>
                <w:ilvl w:val="0"/>
                <w:numId w:val="0"/>
              </w:numPr>
            </w:pPr>
            <w:r>
              <w:t xml:space="preserve">For Collector: </w:t>
            </w:r>
            <w:r w:rsidR="007779C2">
              <w:t xml:space="preserve">scan the next label for New Assigned ISBT Unit # from the appropriate worksheet. </w:t>
            </w:r>
          </w:p>
          <w:p w:rsidR="00D3435A" w:rsidRDefault="00D3435A" w:rsidP="007779C2">
            <w:pPr>
              <w:pStyle w:val="Style2"/>
              <w:numPr>
                <w:ilvl w:val="0"/>
                <w:numId w:val="0"/>
              </w:numPr>
            </w:pPr>
          </w:p>
          <w:p w:rsidR="007779C2" w:rsidRDefault="007779C2" w:rsidP="007779C2">
            <w:pPr>
              <w:pStyle w:val="Style2"/>
              <w:numPr>
                <w:ilvl w:val="0"/>
                <w:numId w:val="18"/>
              </w:numPr>
            </w:pPr>
            <w:r>
              <w:t>If unable to scan, type in the unit number</w:t>
            </w:r>
          </w:p>
          <w:p w:rsidR="00BA0FF8" w:rsidRPr="00B177FB" w:rsidRDefault="00BA0FF8" w:rsidP="00BA0FF8">
            <w:pPr>
              <w:pStyle w:val="Style2"/>
              <w:numPr>
                <w:ilvl w:val="0"/>
                <w:numId w:val="0"/>
              </w:numPr>
              <w:ind w:left="720"/>
            </w:pPr>
          </w:p>
        </w:tc>
      </w:tr>
      <w:tr w:rsidR="003405F2" w:rsidRPr="003405F2" w:rsidTr="003405F2">
        <w:trPr>
          <w:jc w:val="center"/>
        </w:trPr>
        <w:tc>
          <w:tcPr>
            <w:tcW w:w="1075" w:type="dxa"/>
            <w:vAlign w:val="center"/>
          </w:tcPr>
          <w:p w:rsidR="003405F2" w:rsidRPr="003405F2" w:rsidRDefault="00BA0FF8" w:rsidP="003405F2">
            <w:pPr>
              <w:pStyle w:val="Style2"/>
              <w:numPr>
                <w:ilvl w:val="0"/>
                <w:numId w:val="0"/>
              </w:numPr>
              <w:jc w:val="center"/>
              <w:rPr>
                <w:b/>
              </w:rPr>
            </w:pPr>
            <w:r>
              <w:rPr>
                <w:b/>
              </w:rPr>
              <w:t xml:space="preserve">4. </w:t>
            </w:r>
          </w:p>
        </w:tc>
        <w:tc>
          <w:tcPr>
            <w:tcW w:w="7869" w:type="dxa"/>
          </w:tcPr>
          <w:p w:rsidR="003405F2" w:rsidRDefault="00BA0FF8" w:rsidP="00BA0FF8">
            <w:pPr>
              <w:pStyle w:val="Style2"/>
              <w:numPr>
                <w:ilvl w:val="0"/>
                <w:numId w:val="0"/>
              </w:numPr>
              <w:ind w:left="-14"/>
            </w:pPr>
            <w:r>
              <w:t xml:space="preserve">For Product: Scan the new ISBT </w:t>
            </w:r>
            <w:r w:rsidR="00397CDA">
              <w:t xml:space="preserve">Frozen </w:t>
            </w:r>
            <w:r>
              <w:t xml:space="preserve">product </w:t>
            </w:r>
            <w:proofErr w:type="spellStart"/>
            <w:r>
              <w:t>Ecode</w:t>
            </w:r>
            <w:proofErr w:type="spellEnd"/>
            <w:r>
              <w:t xml:space="preserve"> from worksheet that corresponds to Codabar product code.</w:t>
            </w:r>
          </w:p>
          <w:p w:rsidR="00D3435A" w:rsidRDefault="00D3435A" w:rsidP="00BA0FF8">
            <w:pPr>
              <w:pStyle w:val="Style2"/>
              <w:numPr>
                <w:ilvl w:val="0"/>
                <w:numId w:val="0"/>
              </w:numPr>
              <w:ind w:left="-14"/>
            </w:pPr>
          </w:p>
          <w:p w:rsidR="00B709A8" w:rsidRDefault="00B709A8" w:rsidP="00BA0FF8">
            <w:pPr>
              <w:pStyle w:val="Style2"/>
              <w:numPr>
                <w:ilvl w:val="0"/>
                <w:numId w:val="0"/>
              </w:numPr>
              <w:ind w:left="-14"/>
            </w:pPr>
          </w:p>
          <w:tbl>
            <w:tblPr>
              <w:tblStyle w:val="TableGrid"/>
              <w:tblW w:w="0" w:type="auto"/>
              <w:tblInd w:w="720" w:type="dxa"/>
              <w:tblLook w:val="04A0" w:firstRow="1" w:lastRow="0" w:firstColumn="1" w:lastColumn="0" w:noHBand="0" w:noVBand="1"/>
            </w:tblPr>
            <w:tblGrid>
              <w:gridCol w:w="2443"/>
              <w:gridCol w:w="2080"/>
              <w:gridCol w:w="2400"/>
            </w:tblGrid>
            <w:tr w:rsidR="00B709A8" w:rsidTr="00B709A8">
              <w:tc>
                <w:tcPr>
                  <w:tcW w:w="2443" w:type="dxa"/>
                  <w:shd w:val="clear" w:color="auto" w:fill="98DDE8" w:themeFill="accent6" w:themeFillTint="66"/>
                </w:tcPr>
                <w:p w:rsidR="00B709A8" w:rsidRPr="00B709A8" w:rsidRDefault="00B709A8" w:rsidP="00B709A8">
                  <w:pPr>
                    <w:pStyle w:val="Style2"/>
                    <w:numPr>
                      <w:ilvl w:val="0"/>
                      <w:numId w:val="0"/>
                    </w:numPr>
                    <w:rPr>
                      <w:b/>
                    </w:rPr>
                  </w:pPr>
                  <w:r w:rsidRPr="00B709A8">
                    <w:rPr>
                      <w:b/>
                    </w:rPr>
                    <w:t>Product Description</w:t>
                  </w:r>
                </w:p>
              </w:tc>
              <w:tc>
                <w:tcPr>
                  <w:tcW w:w="2080" w:type="dxa"/>
                  <w:shd w:val="clear" w:color="auto" w:fill="98DDE8" w:themeFill="accent6" w:themeFillTint="66"/>
                </w:tcPr>
                <w:p w:rsidR="00B709A8" w:rsidRPr="00B709A8" w:rsidRDefault="00B709A8" w:rsidP="00B709A8">
                  <w:pPr>
                    <w:pStyle w:val="Style2"/>
                    <w:numPr>
                      <w:ilvl w:val="0"/>
                      <w:numId w:val="0"/>
                    </w:numPr>
                    <w:rPr>
                      <w:b/>
                    </w:rPr>
                  </w:pPr>
                  <w:r w:rsidRPr="00B709A8">
                    <w:rPr>
                      <w:b/>
                    </w:rPr>
                    <w:t>Original Codabar Product Code</w:t>
                  </w:r>
                </w:p>
              </w:tc>
              <w:tc>
                <w:tcPr>
                  <w:tcW w:w="2400" w:type="dxa"/>
                  <w:shd w:val="clear" w:color="auto" w:fill="98DDE8" w:themeFill="accent6" w:themeFillTint="66"/>
                </w:tcPr>
                <w:p w:rsidR="00B709A8" w:rsidRPr="00B709A8" w:rsidRDefault="00B709A8" w:rsidP="00B709A8">
                  <w:pPr>
                    <w:pStyle w:val="Style2"/>
                    <w:numPr>
                      <w:ilvl w:val="0"/>
                      <w:numId w:val="0"/>
                    </w:numPr>
                    <w:rPr>
                      <w:b/>
                    </w:rPr>
                  </w:pPr>
                  <w:r w:rsidRPr="00B709A8">
                    <w:rPr>
                      <w:b/>
                    </w:rPr>
                    <w:t xml:space="preserve">New ISBT </w:t>
                  </w:r>
                  <w:r w:rsidR="00397CDA">
                    <w:rPr>
                      <w:b/>
                    </w:rPr>
                    <w:t xml:space="preserve">Frozen </w:t>
                  </w:r>
                  <w:r w:rsidRPr="00B709A8">
                    <w:rPr>
                      <w:b/>
                    </w:rPr>
                    <w:t xml:space="preserve">Product </w:t>
                  </w:r>
                  <w:proofErr w:type="spellStart"/>
                  <w:r w:rsidRPr="00B709A8">
                    <w:rPr>
                      <w:b/>
                    </w:rPr>
                    <w:t>Ecode</w:t>
                  </w:r>
                  <w:proofErr w:type="spellEnd"/>
                </w:p>
              </w:tc>
            </w:tr>
            <w:tr w:rsidR="00B709A8" w:rsidTr="00B709A8">
              <w:tc>
                <w:tcPr>
                  <w:tcW w:w="2443" w:type="dxa"/>
                </w:tcPr>
                <w:p w:rsidR="00B709A8" w:rsidRDefault="00B709A8" w:rsidP="00B709A8">
                  <w:pPr>
                    <w:pStyle w:val="Style2"/>
                    <w:numPr>
                      <w:ilvl w:val="0"/>
                      <w:numId w:val="0"/>
                    </w:numPr>
                  </w:pPr>
                  <w:r>
                    <w:t>Frozen LR RBC (FPCLR)</w:t>
                  </w:r>
                </w:p>
              </w:tc>
              <w:tc>
                <w:tcPr>
                  <w:tcW w:w="2080" w:type="dxa"/>
                </w:tcPr>
                <w:p w:rsidR="00B709A8" w:rsidRDefault="00B709A8" w:rsidP="00B709A8">
                  <w:pPr>
                    <w:pStyle w:val="Style2"/>
                    <w:numPr>
                      <w:ilvl w:val="0"/>
                      <w:numId w:val="0"/>
                    </w:numPr>
                  </w:pPr>
                  <w:r>
                    <w:t>06700</w:t>
                  </w:r>
                </w:p>
              </w:tc>
              <w:tc>
                <w:tcPr>
                  <w:tcW w:w="2400" w:type="dxa"/>
                </w:tcPr>
                <w:p w:rsidR="00B709A8" w:rsidRDefault="00B709A8" w:rsidP="00B709A8">
                  <w:pPr>
                    <w:pStyle w:val="Style2"/>
                    <w:numPr>
                      <w:ilvl w:val="0"/>
                      <w:numId w:val="0"/>
                    </w:numPr>
                  </w:pPr>
                  <w:r>
                    <w:t>E5085</w:t>
                  </w:r>
                </w:p>
              </w:tc>
            </w:tr>
            <w:tr w:rsidR="00B709A8" w:rsidTr="00B709A8">
              <w:tc>
                <w:tcPr>
                  <w:tcW w:w="2443" w:type="dxa"/>
                </w:tcPr>
                <w:p w:rsidR="00B709A8" w:rsidRDefault="00B709A8" w:rsidP="00B709A8">
                  <w:pPr>
                    <w:pStyle w:val="Style2"/>
                    <w:numPr>
                      <w:ilvl w:val="0"/>
                      <w:numId w:val="0"/>
                    </w:numPr>
                  </w:pPr>
                  <w:r>
                    <w:t>Frozen RBC non-leukoreduced (FPC)</w:t>
                  </w:r>
                </w:p>
              </w:tc>
              <w:tc>
                <w:tcPr>
                  <w:tcW w:w="2080" w:type="dxa"/>
                </w:tcPr>
                <w:p w:rsidR="00B709A8" w:rsidRDefault="00B709A8" w:rsidP="00B709A8">
                  <w:pPr>
                    <w:pStyle w:val="Style2"/>
                    <w:numPr>
                      <w:ilvl w:val="0"/>
                      <w:numId w:val="0"/>
                    </w:numPr>
                  </w:pPr>
                  <w:r>
                    <w:t>06200</w:t>
                  </w:r>
                </w:p>
              </w:tc>
              <w:tc>
                <w:tcPr>
                  <w:tcW w:w="2400" w:type="dxa"/>
                </w:tcPr>
                <w:p w:rsidR="00B709A8" w:rsidRDefault="00B709A8" w:rsidP="00B709A8">
                  <w:pPr>
                    <w:pStyle w:val="Style2"/>
                    <w:numPr>
                      <w:ilvl w:val="0"/>
                      <w:numId w:val="0"/>
                    </w:numPr>
                  </w:pPr>
                  <w:r>
                    <w:t>E5079</w:t>
                  </w:r>
                </w:p>
              </w:tc>
            </w:tr>
            <w:tr w:rsidR="00B709A8" w:rsidTr="00B709A8">
              <w:tc>
                <w:tcPr>
                  <w:tcW w:w="2443" w:type="dxa"/>
                </w:tcPr>
                <w:p w:rsidR="00B709A8" w:rsidRDefault="00B709A8" w:rsidP="00B709A8">
                  <w:pPr>
                    <w:pStyle w:val="Style2"/>
                    <w:numPr>
                      <w:ilvl w:val="0"/>
                      <w:numId w:val="0"/>
                    </w:numPr>
                  </w:pPr>
                  <w:r>
                    <w:t>FFP (ACD-A)</w:t>
                  </w:r>
                </w:p>
              </w:tc>
              <w:tc>
                <w:tcPr>
                  <w:tcW w:w="2080" w:type="dxa"/>
                </w:tcPr>
                <w:p w:rsidR="00B709A8" w:rsidRDefault="00B709A8" w:rsidP="00B709A8">
                  <w:pPr>
                    <w:pStyle w:val="Style2"/>
                    <w:numPr>
                      <w:ilvl w:val="0"/>
                      <w:numId w:val="0"/>
                    </w:numPr>
                  </w:pPr>
                  <w:r>
                    <w:t>18211</w:t>
                  </w:r>
                </w:p>
              </w:tc>
              <w:tc>
                <w:tcPr>
                  <w:tcW w:w="2400" w:type="dxa"/>
                </w:tcPr>
                <w:p w:rsidR="00B709A8" w:rsidRDefault="00B709A8" w:rsidP="00B709A8">
                  <w:pPr>
                    <w:pStyle w:val="Style2"/>
                    <w:numPr>
                      <w:ilvl w:val="0"/>
                      <w:numId w:val="0"/>
                    </w:numPr>
                  </w:pPr>
                  <w:r>
                    <w:t>E0869</w:t>
                  </w:r>
                </w:p>
                <w:p w:rsidR="00B709A8" w:rsidRDefault="00B709A8" w:rsidP="00B709A8">
                  <w:pPr>
                    <w:pStyle w:val="Style2"/>
                    <w:numPr>
                      <w:ilvl w:val="0"/>
                      <w:numId w:val="0"/>
                    </w:numPr>
                  </w:pPr>
                </w:p>
              </w:tc>
            </w:tr>
            <w:tr w:rsidR="00B709A8" w:rsidTr="00B709A8">
              <w:tc>
                <w:tcPr>
                  <w:tcW w:w="2443" w:type="dxa"/>
                </w:tcPr>
                <w:p w:rsidR="00B709A8" w:rsidRDefault="00B709A8" w:rsidP="00B709A8">
                  <w:pPr>
                    <w:pStyle w:val="Style2"/>
                    <w:numPr>
                      <w:ilvl w:val="0"/>
                      <w:numId w:val="0"/>
                    </w:numPr>
                  </w:pPr>
                  <w:r>
                    <w:t>FFP (CP2D)</w:t>
                  </w:r>
                </w:p>
              </w:tc>
              <w:tc>
                <w:tcPr>
                  <w:tcW w:w="2080" w:type="dxa"/>
                </w:tcPr>
                <w:p w:rsidR="00B709A8" w:rsidRDefault="00B709A8" w:rsidP="00B709A8">
                  <w:pPr>
                    <w:pStyle w:val="Style2"/>
                    <w:numPr>
                      <w:ilvl w:val="0"/>
                      <w:numId w:val="0"/>
                    </w:numPr>
                  </w:pPr>
                  <w:r>
                    <w:t>18201</w:t>
                  </w:r>
                </w:p>
                <w:p w:rsidR="00B709A8" w:rsidRDefault="00B709A8" w:rsidP="00B709A8">
                  <w:pPr>
                    <w:pStyle w:val="Style2"/>
                    <w:numPr>
                      <w:ilvl w:val="0"/>
                      <w:numId w:val="0"/>
                    </w:numPr>
                  </w:pPr>
                </w:p>
              </w:tc>
              <w:tc>
                <w:tcPr>
                  <w:tcW w:w="2400" w:type="dxa"/>
                </w:tcPr>
                <w:p w:rsidR="00B709A8" w:rsidRDefault="00B709A8" w:rsidP="00B709A8">
                  <w:pPr>
                    <w:pStyle w:val="Style2"/>
                    <w:numPr>
                      <w:ilvl w:val="0"/>
                      <w:numId w:val="0"/>
                    </w:numPr>
                  </w:pPr>
                  <w:r>
                    <w:t>E0713</w:t>
                  </w:r>
                </w:p>
              </w:tc>
            </w:tr>
          </w:tbl>
          <w:p w:rsidR="00BA0FF8" w:rsidRDefault="00BA0FF8" w:rsidP="00D3435A">
            <w:pPr>
              <w:pStyle w:val="Style2"/>
              <w:numPr>
                <w:ilvl w:val="0"/>
                <w:numId w:val="0"/>
              </w:numPr>
            </w:pPr>
          </w:p>
          <w:p w:rsidR="00D3435A" w:rsidRDefault="00D3435A" w:rsidP="00D3435A">
            <w:pPr>
              <w:pStyle w:val="Style2"/>
              <w:numPr>
                <w:ilvl w:val="0"/>
                <w:numId w:val="0"/>
              </w:numPr>
            </w:pPr>
          </w:p>
          <w:p w:rsidR="00D3435A" w:rsidRDefault="00D3435A" w:rsidP="00D3435A">
            <w:pPr>
              <w:pStyle w:val="Style2"/>
              <w:numPr>
                <w:ilvl w:val="0"/>
                <w:numId w:val="0"/>
              </w:numPr>
            </w:pPr>
          </w:p>
          <w:p w:rsidR="00D3435A" w:rsidRDefault="00D3435A" w:rsidP="00D3435A">
            <w:pPr>
              <w:pStyle w:val="Style2"/>
              <w:numPr>
                <w:ilvl w:val="0"/>
                <w:numId w:val="0"/>
              </w:numPr>
            </w:pPr>
          </w:p>
          <w:p w:rsidR="00D3435A" w:rsidRDefault="00D3435A" w:rsidP="00D3435A">
            <w:pPr>
              <w:pStyle w:val="Style2"/>
              <w:numPr>
                <w:ilvl w:val="0"/>
                <w:numId w:val="0"/>
              </w:numPr>
            </w:pPr>
          </w:p>
          <w:p w:rsidR="00BA0FF8" w:rsidRPr="003405F2" w:rsidRDefault="00BA0FF8" w:rsidP="00B709A8">
            <w:pPr>
              <w:pStyle w:val="Style2"/>
              <w:numPr>
                <w:ilvl w:val="0"/>
                <w:numId w:val="0"/>
              </w:numPr>
            </w:pPr>
          </w:p>
        </w:tc>
      </w:tr>
      <w:tr w:rsidR="00B709A8" w:rsidRPr="003405F2" w:rsidTr="003405F2">
        <w:trPr>
          <w:jc w:val="center"/>
        </w:trPr>
        <w:tc>
          <w:tcPr>
            <w:tcW w:w="1075" w:type="dxa"/>
            <w:vAlign w:val="center"/>
          </w:tcPr>
          <w:p w:rsidR="00B709A8" w:rsidRDefault="00B709A8" w:rsidP="003405F2">
            <w:pPr>
              <w:pStyle w:val="Style2"/>
              <w:numPr>
                <w:ilvl w:val="0"/>
                <w:numId w:val="0"/>
              </w:numPr>
              <w:jc w:val="center"/>
              <w:rPr>
                <w:b/>
              </w:rPr>
            </w:pPr>
            <w:r>
              <w:rPr>
                <w:b/>
              </w:rPr>
              <w:t>5.</w:t>
            </w:r>
          </w:p>
        </w:tc>
        <w:tc>
          <w:tcPr>
            <w:tcW w:w="7869" w:type="dxa"/>
          </w:tcPr>
          <w:p w:rsidR="00B709A8" w:rsidRDefault="00B709A8" w:rsidP="00BA0FF8">
            <w:pPr>
              <w:pStyle w:val="Style2"/>
              <w:numPr>
                <w:ilvl w:val="0"/>
                <w:numId w:val="0"/>
              </w:numPr>
              <w:ind w:left="-14"/>
            </w:pPr>
            <w:r>
              <w:t>Enter expiration of unit as it is currently displayed in SCC for the Codabar/non-ISBT unit.</w:t>
            </w:r>
          </w:p>
          <w:p w:rsidR="00B709A8" w:rsidRDefault="00B709A8" w:rsidP="00BA0FF8">
            <w:pPr>
              <w:pStyle w:val="Style2"/>
              <w:numPr>
                <w:ilvl w:val="0"/>
                <w:numId w:val="0"/>
              </w:numPr>
              <w:ind w:left="-14"/>
            </w:pPr>
          </w:p>
        </w:tc>
      </w:tr>
      <w:tr w:rsidR="00B709A8" w:rsidRPr="003405F2" w:rsidTr="003405F2">
        <w:trPr>
          <w:jc w:val="center"/>
        </w:trPr>
        <w:tc>
          <w:tcPr>
            <w:tcW w:w="1075" w:type="dxa"/>
            <w:vAlign w:val="center"/>
          </w:tcPr>
          <w:p w:rsidR="00B709A8" w:rsidRDefault="00B709A8" w:rsidP="003405F2">
            <w:pPr>
              <w:pStyle w:val="Style2"/>
              <w:numPr>
                <w:ilvl w:val="0"/>
                <w:numId w:val="0"/>
              </w:numPr>
              <w:jc w:val="center"/>
              <w:rPr>
                <w:b/>
              </w:rPr>
            </w:pPr>
            <w:r>
              <w:rPr>
                <w:b/>
              </w:rPr>
              <w:lastRenderedPageBreak/>
              <w:t xml:space="preserve">6. </w:t>
            </w:r>
          </w:p>
        </w:tc>
        <w:tc>
          <w:tcPr>
            <w:tcW w:w="7869" w:type="dxa"/>
          </w:tcPr>
          <w:p w:rsidR="00D3435A" w:rsidRDefault="00D3435A" w:rsidP="00D3435A">
            <w:pPr>
              <w:pStyle w:val="Style2"/>
              <w:numPr>
                <w:ilvl w:val="0"/>
                <w:numId w:val="0"/>
              </w:numPr>
              <w:ind w:left="-14"/>
            </w:pPr>
            <w:r>
              <w:t xml:space="preserve">In SCC: Inventory &gt; Edit &gt; Comment &gt; </w:t>
            </w:r>
          </w:p>
          <w:p w:rsidR="00D3435A" w:rsidRDefault="00D3435A" w:rsidP="00D3435A">
            <w:pPr>
              <w:pStyle w:val="Style2"/>
              <w:numPr>
                <w:ilvl w:val="0"/>
                <w:numId w:val="0"/>
              </w:numPr>
              <w:ind w:left="-14"/>
            </w:pPr>
          </w:p>
          <w:p w:rsidR="00D3435A" w:rsidRDefault="00D3435A" w:rsidP="00D3435A">
            <w:pPr>
              <w:pStyle w:val="Style2"/>
              <w:numPr>
                <w:ilvl w:val="0"/>
                <w:numId w:val="20"/>
              </w:numPr>
            </w:pPr>
            <w:r>
              <w:t>Enter original unit number (Codabar/non-ISBT) and comment containing new ISBT unit number.</w:t>
            </w:r>
          </w:p>
          <w:p w:rsidR="00D3435A" w:rsidRDefault="00D3435A" w:rsidP="00D3435A">
            <w:pPr>
              <w:pStyle w:val="Style2"/>
              <w:numPr>
                <w:ilvl w:val="0"/>
                <w:numId w:val="20"/>
              </w:numPr>
            </w:pPr>
            <w:r>
              <w:t xml:space="preserve">Enter new ISBT unit number and add comment containing original ISBT unit number. </w:t>
            </w:r>
          </w:p>
          <w:p w:rsidR="00B709A8" w:rsidRDefault="00B709A8" w:rsidP="00D3435A">
            <w:pPr>
              <w:pStyle w:val="Style2"/>
              <w:numPr>
                <w:ilvl w:val="0"/>
                <w:numId w:val="0"/>
              </w:numPr>
              <w:ind w:left="-14"/>
            </w:pPr>
          </w:p>
        </w:tc>
      </w:tr>
      <w:tr w:rsidR="00B709A8" w:rsidRPr="003405F2" w:rsidTr="003405F2">
        <w:trPr>
          <w:jc w:val="center"/>
        </w:trPr>
        <w:tc>
          <w:tcPr>
            <w:tcW w:w="1075" w:type="dxa"/>
            <w:vAlign w:val="center"/>
          </w:tcPr>
          <w:p w:rsidR="00B709A8" w:rsidRDefault="00B709A8" w:rsidP="003405F2">
            <w:pPr>
              <w:pStyle w:val="Style2"/>
              <w:numPr>
                <w:ilvl w:val="0"/>
                <w:numId w:val="0"/>
              </w:numPr>
              <w:jc w:val="center"/>
              <w:rPr>
                <w:b/>
              </w:rPr>
            </w:pPr>
            <w:r>
              <w:rPr>
                <w:b/>
              </w:rPr>
              <w:t>7.</w:t>
            </w:r>
          </w:p>
        </w:tc>
        <w:tc>
          <w:tcPr>
            <w:tcW w:w="7869" w:type="dxa"/>
          </w:tcPr>
          <w:p w:rsidR="00D3435A" w:rsidRDefault="00D3435A" w:rsidP="00D3435A">
            <w:pPr>
              <w:pStyle w:val="Style2"/>
              <w:numPr>
                <w:ilvl w:val="0"/>
                <w:numId w:val="0"/>
              </w:numPr>
              <w:ind w:left="-14"/>
            </w:pPr>
            <w:r>
              <w:t>In SCC: Inventory &gt; Edit &gt; Status&gt;</w:t>
            </w:r>
          </w:p>
          <w:p w:rsidR="00D3435A" w:rsidRDefault="00D3435A" w:rsidP="00D3435A">
            <w:pPr>
              <w:pStyle w:val="Style2"/>
              <w:numPr>
                <w:ilvl w:val="0"/>
                <w:numId w:val="0"/>
              </w:numPr>
              <w:ind w:left="-14"/>
            </w:pPr>
          </w:p>
          <w:p w:rsidR="00D3435A" w:rsidRDefault="00D3435A" w:rsidP="00D3435A">
            <w:pPr>
              <w:pStyle w:val="Style2"/>
              <w:numPr>
                <w:ilvl w:val="0"/>
                <w:numId w:val="21"/>
              </w:numPr>
            </w:pPr>
            <w:r>
              <w:t xml:space="preserve">Enter original unit number </w:t>
            </w:r>
          </w:p>
          <w:p w:rsidR="00D3435A" w:rsidRDefault="00D3435A" w:rsidP="00D3435A">
            <w:pPr>
              <w:pStyle w:val="Style2"/>
              <w:numPr>
                <w:ilvl w:val="0"/>
                <w:numId w:val="21"/>
              </w:numPr>
            </w:pPr>
            <w:r>
              <w:t>Change status of Codabar/Non-ISBT unit to discarded</w:t>
            </w:r>
          </w:p>
          <w:p w:rsidR="00D3435A" w:rsidRDefault="00D3435A" w:rsidP="00D3435A">
            <w:pPr>
              <w:pStyle w:val="Style2"/>
              <w:numPr>
                <w:ilvl w:val="1"/>
                <w:numId w:val="21"/>
              </w:numPr>
            </w:pPr>
            <w:r>
              <w:t>Use reason code: ISBT</w:t>
            </w:r>
          </w:p>
          <w:p w:rsidR="00D3435A" w:rsidRDefault="00D3435A" w:rsidP="00D3435A">
            <w:pPr>
              <w:pStyle w:val="Style2"/>
              <w:numPr>
                <w:ilvl w:val="0"/>
                <w:numId w:val="0"/>
              </w:numPr>
              <w:ind w:left="1426"/>
            </w:pPr>
          </w:p>
          <w:p w:rsidR="00B709A8" w:rsidRDefault="00D3435A" w:rsidP="00D3435A">
            <w:pPr>
              <w:pStyle w:val="Style2"/>
              <w:numPr>
                <w:ilvl w:val="0"/>
                <w:numId w:val="0"/>
              </w:numPr>
              <w:ind w:left="-14"/>
            </w:pPr>
            <w:r w:rsidRPr="00D3435A">
              <w:rPr>
                <w:color w:val="FF0000"/>
              </w:rPr>
              <w:t>Note: if this step is not complete the Codabar unit will still show in inventory and cause problems with inventory reconciliation</w:t>
            </w:r>
          </w:p>
        </w:tc>
      </w:tr>
      <w:tr w:rsidR="00D3435A" w:rsidRPr="003405F2" w:rsidTr="003405F2">
        <w:trPr>
          <w:jc w:val="center"/>
        </w:trPr>
        <w:tc>
          <w:tcPr>
            <w:tcW w:w="1075" w:type="dxa"/>
            <w:vAlign w:val="center"/>
          </w:tcPr>
          <w:p w:rsidR="00D3435A" w:rsidRDefault="00D3435A" w:rsidP="00D3435A">
            <w:pPr>
              <w:pStyle w:val="Style2"/>
              <w:numPr>
                <w:ilvl w:val="0"/>
                <w:numId w:val="0"/>
              </w:numPr>
              <w:jc w:val="center"/>
              <w:rPr>
                <w:b/>
              </w:rPr>
            </w:pPr>
            <w:r>
              <w:rPr>
                <w:b/>
              </w:rPr>
              <w:t>8.</w:t>
            </w:r>
          </w:p>
        </w:tc>
        <w:tc>
          <w:tcPr>
            <w:tcW w:w="7869" w:type="dxa"/>
          </w:tcPr>
          <w:p w:rsidR="009A50C2" w:rsidRDefault="009A50C2" w:rsidP="009A50C2">
            <w:pPr>
              <w:pStyle w:val="Style2"/>
              <w:numPr>
                <w:ilvl w:val="0"/>
                <w:numId w:val="0"/>
              </w:numPr>
              <w:ind w:left="-14"/>
            </w:pPr>
            <w:r>
              <w:t>Complete Codabar Units Converted to ISBT Worksheet indicating that all steps have been completed</w:t>
            </w:r>
          </w:p>
          <w:p w:rsidR="009A50C2" w:rsidRDefault="009A50C2" w:rsidP="009A50C2">
            <w:pPr>
              <w:pStyle w:val="Style2"/>
              <w:numPr>
                <w:ilvl w:val="0"/>
                <w:numId w:val="0"/>
              </w:numPr>
              <w:ind w:left="-14"/>
            </w:pPr>
          </w:p>
          <w:p w:rsidR="009A50C2" w:rsidRDefault="009A50C2" w:rsidP="009A50C2">
            <w:pPr>
              <w:pStyle w:val="Style2"/>
              <w:numPr>
                <w:ilvl w:val="0"/>
                <w:numId w:val="22"/>
              </w:numPr>
            </w:pPr>
            <w:r>
              <w:t xml:space="preserve">Notify management or LIS specialist and submit worksheet for review when filled or beginning of new calendar year. </w:t>
            </w:r>
          </w:p>
          <w:p w:rsidR="009A50C2" w:rsidRDefault="009A50C2" w:rsidP="009A50C2">
            <w:pPr>
              <w:pStyle w:val="Style2"/>
              <w:numPr>
                <w:ilvl w:val="0"/>
                <w:numId w:val="0"/>
              </w:numPr>
              <w:ind w:left="706"/>
            </w:pPr>
          </w:p>
        </w:tc>
      </w:tr>
      <w:tr w:rsidR="00D3435A" w:rsidRPr="003405F2" w:rsidTr="003405F2">
        <w:trPr>
          <w:jc w:val="center"/>
        </w:trPr>
        <w:tc>
          <w:tcPr>
            <w:tcW w:w="1075" w:type="dxa"/>
            <w:vAlign w:val="center"/>
          </w:tcPr>
          <w:p w:rsidR="00D3435A" w:rsidRDefault="00D3435A" w:rsidP="00D3435A">
            <w:pPr>
              <w:pStyle w:val="Style2"/>
              <w:numPr>
                <w:ilvl w:val="0"/>
                <w:numId w:val="0"/>
              </w:numPr>
              <w:jc w:val="center"/>
              <w:rPr>
                <w:b/>
              </w:rPr>
            </w:pPr>
            <w:r>
              <w:rPr>
                <w:b/>
              </w:rPr>
              <w:t xml:space="preserve">9.  </w:t>
            </w:r>
          </w:p>
        </w:tc>
        <w:tc>
          <w:tcPr>
            <w:tcW w:w="7869" w:type="dxa"/>
          </w:tcPr>
          <w:p w:rsidR="00D3435A" w:rsidRDefault="00D3435A" w:rsidP="00D3435A">
            <w:pPr>
              <w:pStyle w:val="Style2"/>
              <w:numPr>
                <w:ilvl w:val="0"/>
                <w:numId w:val="0"/>
              </w:numPr>
              <w:ind w:left="-14"/>
            </w:pPr>
            <w:r>
              <w:t>Complete ABO Recheck if applicable.</w:t>
            </w:r>
          </w:p>
          <w:p w:rsidR="00D3435A" w:rsidRDefault="00D3435A" w:rsidP="00D3435A">
            <w:pPr>
              <w:pStyle w:val="Style2"/>
              <w:numPr>
                <w:ilvl w:val="0"/>
                <w:numId w:val="0"/>
              </w:numPr>
              <w:ind w:left="1426"/>
            </w:pPr>
          </w:p>
        </w:tc>
      </w:tr>
      <w:tr w:rsidR="00D3435A" w:rsidRPr="003405F2" w:rsidTr="003405F2">
        <w:trPr>
          <w:jc w:val="center"/>
        </w:trPr>
        <w:tc>
          <w:tcPr>
            <w:tcW w:w="1075" w:type="dxa"/>
            <w:vAlign w:val="center"/>
          </w:tcPr>
          <w:p w:rsidR="00D3435A" w:rsidRDefault="00D3435A" w:rsidP="00D3435A">
            <w:pPr>
              <w:pStyle w:val="Style2"/>
              <w:numPr>
                <w:ilvl w:val="0"/>
                <w:numId w:val="0"/>
              </w:numPr>
              <w:jc w:val="center"/>
              <w:rPr>
                <w:b/>
              </w:rPr>
            </w:pPr>
            <w:r>
              <w:rPr>
                <w:b/>
              </w:rPr>
              <w:t>10.</w:t>
            </w:r>
          </w:p>
        </w:tc>
        <w:tc>
          <w:tcPr>
            <w:tcW w:w="7869" w:type="dxa"/>
          </w:tcPr>
          <w:p w:rsidR="00D3435A" w:rsidRDefault="00D3435A" w:rsidP="00D3435A">
            <w:pPr>
              <w:pStyle w:val="Style2"/>
              <w:numPr>
                <w:ilvl w:val="0"/>
                <w:numId w:val="0"/>
              </w:numPr>
              <w:ind w:left="-14"/>
            </w:pPr>
            <w:r>
              <w:t>Continue to modify unit (thaw/deglycerolize) in SCC using ISBT unit number.</w:t>
            </w:r>
          </w:p>
          <w:p w:rsidR="00D3435A" w:rsidRDefault="00D3435A" w:rsidP="00D3435A">
            <w:pPr>
              <w:pStyle w:val="Style2"/>
              <w:numPr>
                <w:ilvl w:val="0"/>
                <w:numId w:val="0"/>
              </w:numPr>
              <w:ind w:left="1426"/>
            </w:pPr>
          </w:p>
        </w:tc>
      </w:tr>
    </w:tbl>
    <w:p w:rsidR="003405F2" w:rsidRDefault="003405F2" w:rsidP="003405F2">
      <w:pPr>
        <w:pStyle w:val="Style2"/>
        <w:numPr>
          <w:ilvl w:val="0"/>
          <w:numId w:val="0"/>
        </w:numPr>
      </w:pPr>
    </w:p>
    <w:p w:rsidR="003405F2" w:rsidRPr="003405F2" w:rsidRDefault="003405F2" w:rsidP="003405F2">
      <w:pPr>
        <w:pStyle w:val="Style2"/>
        <w:numPr>
          <w:ilvl w:val="0"/>
          <w:numId w:val="0"/>
        </w:numPr>
        <w:ind w:left="720"/>
      </w:pPr>
    </w:p>
    <w:p w:rsidR="003405F2" w:rsidRPr="00887AE0" w:rsidRDefault="003405F2" w:rsidP="003405F2">
      <w:pPr>
        <w:pStyle w:val="Style2"/>
        <w:numPr>
          <w:ilvl w:val="0"/>
          <w:numId w:val="0"/>
        </w:numPr>
        <w:ind w:left="360"/>
      </w:pPr>
    </w:p>
    <w:p w:rsidR="00353C0F" w:rsidRPr="00F85C8D" w:rsidRDefault="00353C0F" w:rsidP="0056313C"/>
    <w:p w:rsidR="00B048D9" w:rsidRDefault="007F3E6E" w:rsidP="00887AE0">
      <w:pPr>
        <w:pStyle w:val="Heading1"/>
      </w:pPr>
      <w:r>
        <w:t xml:space="preserve">Literature </w:t>
      </w:r>
      <w:r w:rsidR="00B048D9">
        <w:t>References</w:t>
      </w:r>
      <w:r>
        <w:t>:</w:t>
      </w:r>
    </w:p>
    <w:p w:rsidR="009A50C2" w:rsidRDefault="009A50C2" w:rsidP="009A50C2"/>
    <w:p w:rsidR="009A50C2" w:rsidRPr="009A50C2" w:rsidRDefault="009A50C2" w:rsidP="009A50C2">
      <w:r>
        <w:t>AABB Standards for Blood Banks and Transfusion Services, revised periodically.</w:t>
      </w:r>
    </w:p>
    <w:p w:rsidR="00BF5F7B" w:rsidRPr="00BF5F7B" w:rsidRDefault="00BF5F7B" w:rsidP="00BF5F7B"/>
    <w:p w:rsidR="00AB191A" w:rsidRDefault="007F3E6E" w:rsidP="00AB191A">
      <w:pPr>
        <w:pStyle w:val="Heading1"/>
      </w:pPr>
      <w:r>
        <w:t xml:space="preserve">Related Procedures/Policies in </w:t>
      </w:r>
      <w:proofErr w:type="spellStart"/>
      <w:r>
        <w:t>Navex</w:t>
      </w:r>
      <w:proofErr w:type="spellEnd"/>
      <w:r>
        <w:t>:</w:t>
      </w:r>
    </w:p>
    <w:p w:rsidR="00BF5F7B" w:rsidRPr="00BF5F7B" w:rsidRDefault="00BF5F7B" w:rsidP="00BF5F7B"/>
    <w:p w:rsidR="00B048D9" w:rsidRDefault="00B048D9" w:rsidP="00887AE0">
      <w:pPr>
        <w:pStyle w:val="Heading1"/>
      </w:pPr>
      <w:r>
        <w:t>Attachments</w:t>
      </w:r>
      <w:r w:rsidR="007F3E6E">
        <w:t>/Linked Documents in Title 21:</w:t>
      </w:r>
    </w:p>
    <w:p w:rsidR="00AB191A" w:rsidRDefault="00AB191A" w:rsidP="00AB191A"/>
    <w:p w:rsidR="00BF5F7B" w:rsidRDefault="009A50C2" w:rsidP="00BF5F7B">
      <w:r>
        <w:t>Attachment 1: Codabar Units Converted to ISBT Worksheet</w:t>
      </w:r>
    </w:p>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BF5F7B" w:rsidRDefault="00BF5F7B" w:rsidP="00BF5F7B"/>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F5" w:rsidRDefault="00CD22F5" w:rsidP="009A3908">
      <w:r>
        <w:separator/>
      </w:r>
    </w:p>
  </w:endnote>
  <w:endnote w:type="continuationSeparator" w:id="0">
    <w:p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C2" w:rsidRDefault="009A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397CDA">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397CDA">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397CD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397CDA">
              <w:rPr>
                <w:rFonts w:ascii="Franklin Gothic Book" w:hAnsi="Franklin Gothic Book" w:cs="Calibri"/>
                <w:i/>
                <w:iCs/>
                <w:noProof/>
                <w:sz w:val="18"/>
                <w:szCs w:val="18"/>
              </w:rPr>
              <w:t>3</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F5" w:rsidRDefault="00CD22F5" w:rsidP="009A3908">
      <w:r>
        <w:separator/>
      </w:r>
    </w:p>
  </w:footnote>
  <w:footnote w:type="continuationSeparator" w:id="0">
    <w:p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C2" w:rsidRDefault="009A5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A07F91" w:rsidP="00A153FF">
    <w:pPr>
      <w:shd w:val="clear" w:color="auto" w:fill="A6A6A6" w:themeFill="background1" w:themeFillShade="A6"/>
      <w:spacing w:line="360" w:lineRule="auto"/>
      <w:ind w:right="90"/>
      <w:jc w:val="center"/>
      <w:rPr>
        <w:rFonts w:ascii="Franklin Gothic Demi" w:hAnsi="Franklin Gothic Demi"/>
        <w:b/>
        <w:szCs w:val="32"/>
      </w:rPr>
    </w:pPr>
    <w:r>
      <w:t>Creating ISBT labels for non-ISBT units</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7F3E6E" w:rsidP="00A153FF">
          <w:pPr>
            <w:rPr>
              <w:rFonts w:ascii="Franklin Gothic Book" w:hAnsi="Franklin Gothic Book"/>
              <w:b/>
              <w:szCs w:val="22"/>
            </w:rPr>
          </w:pPr>
          <w:r>
            <w:rPr>
              <w:noProof/>
            </w:rPr>
            <w:drawing>
              <wp:inline distT="0" distB="0" distL="0" distR="0" wp14:anchorId="26A09A43" wp14:editId="7A4AD115">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7F3E6E" w:rsidRDefault="007F3E6E" w:rsidP="001F0047">
          <w:pPr>
            <w:rPr>
              <w:rFonts w:ascii="Segoe UI Symbol" w:hAnsi="Segoe UI Symbol" w:cs="Segoe UI Symbol"/>
            </w:rPr>
          </w:pPr>
        </w:p>
        <w:p w:rsidR="001F0047" w:rsidRDefault="00335902" w:rsidP="001F0047">
          <w:pPr>
            <w:rPr>
              <w:rFonts w:cs="Arial"/>
            </w:rPr>
          </w:pPr>
          <w:r>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9A50C2" w:rsidP="00A153FF">
          <w:pPr>
            <w:rPr>
              <w:rFonts w:ascii="Franklin Gothic Book" w:hAnsi="Franklin Gothic Book"/>
              <w:b/>
              <w:sz w:val="28"/>
              <w:szCs w:val="28"/>
            </w:rPr>
          </w:pPr>
          <w:r>
            <w:rPr>
              <w:rFonts w:ascii="Franklin Gothic Book" w:hAnsi="Franklin Gothic Book"/>
              <w:b/>
              <w:sz w:val="28"/>
              <w:szCs w:val="28"/>
            </w:rPr>
            <w:t>4/11/22</w:t>
          </w: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Default="00A153FF" w:rsidP="001F0047">
          <w:pPr>
            <w:rPr>
              <w:rFonts w:ascii="Franklin Gothic Book" w:hAnsi="Franklin Gothic Book"/>
              <w:b/>
              <w:szCs w:val="22"/>
            </w:rPr>
          </w:pPr>
        </w:p>
        <w:p w:rsidR="009A50C2" w:rsidRDefault="009A50C2" w:rsidP="001F0047">
          <w:pPr>
            <w:rPr>
              <w:rFonts w:ascii="Franklin Gothic Book" w:hAnsi="Franklin Gothic Book"/>
              <w:b/>
              <w:szCs w:val="22"/>
            </w:rPr>
          </w:pPr>
        </w:p>
        <w:p w:rsidR="009A50C2" w:rsidRPr="00F85C8D" w:rsidRDefault="009A50C2" w:rsidP="001F0047">
          <w:pPr>
            <w:rPr>
              <w:rFonts w:ascii="Franklin Gothic Book" w:hAnsi="Franklin Gothic Book"/>
              <w:b/>
              <w:szCs w:val="22"/>
            </w:rPr>
          </w:pPr>
          <w:r>
            <w:rPr>
              <w:rFonts w:ascii="Franklin Gothic Book" w:hAnsi="Franklin Gothic Book"/>
              <w:b/>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Default="001F0047" w:rsidP="001F0047">
          <w:pPr>
            <w:rPr>
              <w:rFonts w:ascii="Franklin Gothic Demi" w:hAnsi="Franklin Gothic Demi"/>
              <w:smallCaps/>
              <w:szCs w:val="22"/>
            </w:rPr>
          </w:pPr>
        </w:p>
        <w:p w:rsidR="009A50C2" w:rsidRDefault="009A50C2" w:rsidP="001F0047">
          <w:pPr>
            <w:rPr>
              <w:rFonts w:ascii="Franklin Gothic Demi" w:hAnsi="Franklin Gothic Demi"/>
              <w:smallCaps/>
              <w:szCs w:val="22"/>
            </w:rPr>
          </w:pPr>
        </w:p>
        <w:p w:rsidR="009A50C2" w:rsidRPr="001F0047" w:rsidRDefault="009A50C2"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636B43" w:rsidRDefault="00636B43" w:rsidP="00A153FF">
          <w:pPr>
            <w:rPr>
              <w:rFonts w:ascii="Franklin Gothic Book" w:hAnsi="Franklin Gothic Book"/>
              <w:szCs w:val="22"/>
            </w:rPr>
          </w:pPr>
        </w:p>
        <w:p w:rsidR="009A50C2" w:rsidRPr="00636B43" w:rsidRDefault="009A50C2" w:rsidP="00A153FF">
          <w:pPr>
            <w:rPr>
              <w:rFonts w:ascii="Franklin Gothic Book" w:hAnsi="Franklin Gothic Book"/>
              <w:szCs w:val="22"/>
            </w:rPr>
          </w:pPr>
          <w:r>
            <w:rPr>
              <w:rFonts w:ascii="Franklin Gothic Book" w:hAnsi="Franklin Gothic Book"/>
              <w:szCs w:val="22"/>
            </w:rPr>
            <w:t>Blood Bank Management</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A1C"/>
    <w:multiLevelType w:val="hybridMultilevel"/>
    <w:tmpl w:val="4E7C500E"/>
    <w:lvl w:ilvl="0" w:tplc="04090019">
      <w:start w:val="1"/>
      <w:numFmt w:val="lowerLetter"/>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 w15:restartNumberingAfterBreak="0">
    <w:nsid w:val="0EBC07EB"/>
    <w:multiLevelType w:val="hybridMultilevel"/>
    <w:tmpl w:val="B1C417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A71A1"/>
    <w:multiLevelType w:val="hybridMultilevel"/>
    <w:tmpl w:val="D1485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607FA4"/>
    <w:multiLevelType w:val="hybridMultilevel"/>
    <w:tmpl w:val="3410B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322E7"/>
    <w:multiLevelType w:val="hybridMultilevel"/>
    <w:tmpl w:val="8042F0B4"/>
    <w:lvl w:ilvl="0" w:tplc="04090019">
      <w:start w:val="1"/>
      <w:numFmt w:val="lowerLetter"/>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450927"/>
    <w:multiLevelType w:val="hybridMultilevel"/>
    <w:tmpl w:val="3C2027F2"/>
    <w:lvl w:ilvl="0" w:tplc="04090019">
      <w:start w:val="1"/>
      <w:numFmt w:val="lowerLetter"/>
      <w:lvlText w:val="%1."/>
      <w:lvlJc w:val="left"/>
      <w:pPr>
        <w:ind w:left="706" w:hanging="360"/>
      </w:pPr>
    </w:lvl>
    <w:lvl w:ilvl="1" w:tplc="0409000F">
      <w:start w:val="1"/>
      <w:numFmt w:val="decimal"/>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3" w15:restartNumberingAfterBreak="0">
    <w:nsid w:val="79DC4417"/>
    <w:multiLevelType w:val="hybridMultilevel"/>
    <w:tmpl w:val="422E65F4"/>
    <w:lvl w:ilvl="0" w:tplc="1252186C">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4" w15:restartNumberingAfterBreak="0">
    <w:nsid w:val="7ACE7355"/>
    <w:multiLevelType w:val="hybridMultilevel"/>
    <w:tmpl w:val="3410B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7"/>
  </w:num>
  <w:num w:numId="2">
    <w:abstractNumId w:val="8"/>
  </w:num>
  <w:num w:numId="3">
    <w:abstractNumId w:val="10"/>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1"/>
  </w:num>
  <w:num w:numId="12">
    <w:abstractNumId w:val="11"/>
  </w:num>
  <w:num w:numId="13">
    <w:abstractNumId w:val="11"/>
  </w:num>
  <w:num w:numId="14">
    <w:abstractNumId w:val="11"/>
    <w:lvlOverride w:ilvl="0">
      <w:startOverride w:val="1"/>
    </w:lvlOverride>
  </w:num>
  <w:num w:numId="15">
    <w:abstractNumId w:val="1"/>
  </w:num>
  <w:num w:numId="16">
    <w:abstractNumId w:val="6"/>
  </w:num>
  <w:num w:numId="17">
    <w:abstractNumId w:val="13"/>
  </w:num>
  <w:num w:numId="18">
    <w:abstractNumId w:val="14"/>
  </w:num>
  <w:num w:numId="19">
    <w:abstractNumId w:val="2"/>
  </w:num>
  <w:num w:numId="20">
    <w:abstractNumId w:val="5"/>
  </w:num>
  <w:num w:numId="21">
    <w:abstractNumId w:val="12"/>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05F2"/>
    <w:rsid w:val="00341E64"/>
    <w:rsid w:val="003432C0"/>
    <w:rsid w:val="003509F9"/>
    <w:rsid w:val="00353C0F"/>
    <w:rsid w:val="003551FD"/>
    <w:rsid w:val="00366A9A"/>
    <w:rsid w:val="0038097D"/>
    <w:rsid w:val="00380DF7"/>
    <w:rsid w:val="003821CE"/>
    <w:rsid w:val="00391558"/>
    <w:rsid w:val="00393BBD"/>
    <w:rsid w:val="00397CDA"/>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779C2"/>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A50C2"/>
    <w:rsid w:val="009B6A9E"/>
    <w:rsid w:val="009B70B1"/>
    <w:rsid w:val="009B7C7D"/>
    <w:rsid w:val="009C2A11"/>
    <w:rsid w:val="009C7A62"/>
    <w:rsid w:val="009D6A6B"/>
    <w:rsid w:val="009D6F32"/>
    <w:rsid w:val="009E6AF7"/>
    <w:rsid w:val="009F4193"/>
    <w:rsid w:val="00A00C4F"/>
    <w:rsid w:val="00A033AC"/>
    <w:rsid w:val="00A07F91"/>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7FB"/>
    <w:rsid w:val="00B1796D"/>
    <w:rsid w:val="00B344BC"/>
    <w:rsid w:val="00B3456B"/>
    <w:rsid w:val="00B36034"/>
    <w:rsid w:val="00B3765F"/>
    <w:rsid w:val="00B40B6E"/>
    <w:rsid w:val="00B40CD8"/>
    <w:rsid w:val="00B459D0"/>
    <w:rsid w:val="00B476A4"/>
    <w:rsid w:val="00B56F84"/>
    <w:rsid w:val="00B6337D"/>
    <w:rsid w:val="00B709A8"/>
    <w:rsid w:val="00B73F85"/>
    <w:rsid w:val="00B80A9E"/>
    <w:rsid w:val="00B84425"/>
    <w:rsid w:val="00B87470"/>
    <w:rsid w:val="00B9216F"/>
    <w:rsid w:val="00B96DAD"/>
    <w:rsid w:val="00BA0FF8"/>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435A"/>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847732"/>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9F6602-CB73-488B-9281-CBBA469D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TotalTime>
  <Pages>3</Pages>
  <Words>581</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2022-04-11T15:00:00Z</dcterms:created>
  <dcterms:modified xsi:type="dcterms:W3CDTF">2022-04-12T18:41:00Z</dcterms:modified>
</cp:coreProperties>
</file>