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272"/>
        </w:sectPr>
      </w:pPr>
    </w:p>
    <w:p w:rsidR="00606A36" w:rsidRPr="00887AE0" w:rsidRDefault="00840EB3"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840EB3"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840EB3"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840EB3"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840EB3"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840EB3"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840EB3"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84076A" w:rsidRDefault="00524D92" w:rsidP="0084076A">
      <w:pPr>
        <w:pStyle w:val="Heading1"/>
      </w:pPr>
      <w:r>
        <w:t>Procedure</w:t>
      </w:r>
      <w:r w:rsidR="00B048D9">
        <w:t xml:space="preserve"> Statement</w:t>
      </w:r>
    </w:p>
    <w:p w:rsidR="0084076A" w:rsidRDefault="0084076A" w:rsidP="0084076A">
      <w:pPr>
        <w:pStyle w:val="Heading1"/>
      </w:pPr>
    </w:p>
    <w:p w:rsidR="008E16B1" w:rsidRDefault="0084076A" w:rsidP="0084076A">
      <w:r w:rsidRPr="0084076A">
        <w:t>Monoclonal antibody-based cancer therapies are under development.  Some of these therapies may interfere with blood bank tests. Guidelines are developed to determine the best approach to testing in the presence of these new drugs.</w:t>
      </w:r>
    </w:p>
    <w:p w:rsidR="0056313C" w:rsidRDefault="0056313C" w:rsidP="00887AE0"/>
    <w:p w:rsidR="00B048D9" w:rsidRDefault="00B048D9" w:rsidP="00887AE0">
      <w:pPr>
        <w:pStyle w:val="Heading1"/>
      </w:pPr>
      <w:r>
        <w:t>Scope</w:t>
      </w:r>
    </w:p>
    <w:p w:rsidR="0056313C" w:rsidRDefault="0056313C" w:rsidP="0056313C"/>
    <w:p w:rsidR="000858A5" w:rsidRDefault="000858A5" w:rsidP="000858A5">
      <w:r>
        <w:t xml:space="preserve">Procedure Owner/Implementer:  </w:t>
      </w:r>
      <w:r w:rsidR="00FF0138">
        <w:t>Blood Bank Manag</w:t>
      </w:r>
      <w:r w:rsidR="0084076A">
        <w:t>e</w:t>
      </w:r>
      <w:r w:rsidR="00FF0138">
        <w:t>ment</w:t>
      </w:r>
    </w:p>
    <w:p w:rsidR="000858A5" w:rsidRDefault="0084076A" w:rsidP="000858A5">
      <w:r>
        <w:t>Procedure Prepared by: Julie Simmons</w:t>
      </w:r>
    </w:p>
    <w:p w:rsidR="00904FFE" w:rsidRPr="0056313C" w:rsidRDefault="000858A5" w:rsidP="000858A5">
      <w:r>
        <w:t xml:space="preserve">Who Performs Procedure: </w:t>
      </w:r>
      <w:r w:rsidR="00FF0138">
        <w:t>Blood Bank Staff</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84076A" w:rsidRPr="0084076A" w:rsidRDefault="0084076A" w:rsidP="0084076A"/>
    <w:p w:rsidR="003C4DEB" w:rsidRDefault="0084076A" w:rsidP="0084076A">
      <w:pPr>
        <w:pStyle w:val="Heading1"/>
      </w:pPr>
      <w:r>
        <w:t>Sections</w:t>
      </w:r>
    </w:p>
    <w:p w:rsidR="000F44A7" w:rsidRDefault="00502ACD" w:rsidP="00502ACD">
      <w:pPr>
        <w:pStyle w:val="ListParagraph"/>
        <w:numPr>
          <w:ilvl w:val="0"/>
          <w:numId w:val="39"/>
        </w:numPr>
        <w:ind w:left="360" w:firstLine="0"/>
      </w:pPr>
      <w:r>
        <w:t xml:space="preserve">  </w:t>
      </w:r>
      <w:r w:rsidR="000F44A7">
        <w:t>Policy Guidelines</w:t>
      </w:r>
    </w:p>
    <w:p w:rsidR="00502ACD" w:rsidRDefault="00502ACD" w:rsidP="00502ACD">
      <w:pPr>
        <w:pStyle w:val="ListParagraph"/>
        <w:numPr>
          <w:ilvl w:val="0"/>
          <w:numId w:val="39"/>
        </w:numPr>
        <w:ind w:left="360" w:firstLine="0"/>
      </w:pPr>
      <w:r>
        <w:t xml:space="preserve">  Use of DTT Treated Red Cells for patients receiving DARA</w:t>
      </w:r>
    </w:p>
    <w:p w:rsidR="00502ACD" w:rsidRPr="00502ACD" w:rsidRDefault="00502ACD" w:rsidP="00502ACD">
      <w:pPr>
        <w:pStyle w:val="ListParagraph"/>
        <w:numPr>
          <w:ilvl w:val="0"/>
          <w:numId w:val="39"/>
        </w:numPr>
        <w:ind w:left="360" w:firstLine="0"/>
      </w:pPr>
      <w:r>
        <w:t xml:space="preserve">  </w:t>
      </w:r>
      <w:r w:rsidRPr="00502ACD">
        <w:t>Patients Receiving anti-CD-47 (Hu5F9-G4) Magrolimab</w:t>
      </w:r>
    </w:p>
    <w:p w:rsidR="00151BB6" w:rsidRDefault="00151BB6" w:rsidP="00502ACD">
      <w:r>
        <w:br w:type="page"/>
      </w:r>
    </w:p>
    <w:p w:rsidR="00A2219E" w:rsidRPr="00B3765F" w:rsidRDefault="00A2219E" w:rsidP="0056313C"/>
    <w:p w:rsidR="00B048D9" w:rsidRDefault="00DC0D2A" w:rsidP="00887AE0">
      <w:pPr>
        <w:pStyle w:val="Heading1"/>
      </w:pPr>
      <w:r>
        <w:t>Policy</w:t>
      </w:r>
      <w:r w:rsidR="008E16B1">
        <w:t xml:space="preserve"> </w:t>
      </w:r>
      <w:r w:rsidR="003B660A">
        <w:t>Guidelines</w:t>
      </w:r>
    </w:p>
    <w:p w:rsidR="008A7FE8" w:rsidRDefault="008A7FE8" w:rsidP="0056313C"/>
    <w:p w:rsidR="00151BB6" w:rsidRPr="00151BB6" w:rsidRDefault="00151BB6" w:rsidP="00151BB6">
      <w:pPr>
        <w:numPr>
          <w:ilvl w:val="0"/>
          <w:numId w:val="21"/>
        </w:numPr>
        <w:tabs>
          <w:tab w:val="left" w:pos="3345"/>
          <w:tab w:val="right" w:pos="10800"/>
        </w:tabs>
        <w:spacing w:after="200" w:line="276" w:lineRule="auto"/>
        <w:ind w:left="540"/>
        <w:contextualSpacing/>
        <w:rPr>
          <w:rFonts w:cs="Arial"/>
          <w:b/>
          <w:bCs/>
          <w:szCs w:val="22"/>
        </w:rPr>
      </w:pPr>
      <w:r w:rsidRPr="00151BB6">
        <w:rPr>
          <w:rFonts w:cs="Arial"/>
          <w:b/>
          <w:bCs/>
          <w:szCs w:val="22"/>
        </w:rPr>
        <w:t>General Guidelines</w:t>
      </w:r>
    </w:p>
    <w:p w:rsidR="00151BB6" w:rsidRPr="00151BB6" w:rsidRDefault="00151BB6" w:rsidP="00151BB6">
      <w:pPr>
        <w:tabs>
          <w:tab w:val="left" w:pos="3345"/>
          <w:tab w:val="right" w:pos="10800"/>
        </w:tabs>
        <w:ind w:left="960"/>
        <w:contextualSpacing/>
        <w:rPr>
          <w:rFonts w:cs="Arial"/>
          <w:b/>
          <w:bCs/>
          <w:szCs w:val="22"/>
        </w:rPr>
      </w:pPr>
    </w:p>
    <w:p w:rsidR="00151BB6" w:rsidRPr="00151BB6" w:rsidRDefault="00151BB6" w:rsidP="00151BB6">
      <w:pPr>
        <w:numPr>
          <w:ilvl w:val="0"/>
          <w:numId w:val="19"/>
        </w:numPr>
        <w:tabs>
          <w:tab w:val="left" w:pos="3345"/>
          <w:tab w:val="right" w:pos="10800"/>
        </w:tabs>
        <w:spacing w:after="200" w:line="276" w:lineRule="auto"/>
        <w:contextualSpacing/>
        <w:rPr>
          <w:rFonts w:cs="Arial"/>
          <w:bCs/>
          <w:szCs w:val="22"/>
        </w:rPr>
      </w:pPr>
      <w:r w:rsidRPr="00151BB6">
        <w:rPr>
          <w:rFonts w:cs="Arial"/>
          <w:bCs/>
          <w:szCs w:val="22"/>
        </w:rPr>
        <w:t>Monoclonal antibodies directed against specific markers expressed on tumor cells are an active area in new drug development to treat hematologic malignancies and solid tumors.</w:t>
      </w:r>
    </w:p>
    <w:p w:rsidR="00151BB6" w:rsidRPr="00151BB6" w:rsidRDefault="00151BB6" w:rsidP="00151BB6">
      <w:pPr>
        <w:tabs>
          <w:tab w:val="left" w:pos="3345"/>
          <w:tab w:val="right" w:pos="10800"/>
        </w:tabs>
        <w:ind w:left="960"/>
        <w:contextualSpacing/>
        <w:rPr>
          <w:rFonts w:cs="Arial"/>
          <w:bCs/>
          <w:szCs w:val="22"/>
        </w:rPr>
      </w:pPr>
    </w:p>
    <w:p w:rsidR="00151BB6" w:rsidRPr="00151BB6" w:rsidRDefault="00151BB6" w:rsidP="00151BB6">
      <w:pPr>
        <w:numPr>
          <w:ilvl w:val="0"/>
          <w:numId w:val="19"/>
        </w:numPr>
        <w:tabs>
          <w:tab w:val="left" w:pos="3345"/>
          <w:tab w:val="right" w:pos="10800"/>
        </w:tabs>
        <w:spacing w:after="200" w:line="276" w:lineRule="auto"/>
        <w:contextualSpacing/>
        <w:rPr>
          <w:rFonts w:cs="Arial"/>
          <w:bCs/>
          <w:szCs w:val="22"/>
        </w:rPr>
      </w:pPr>
      <w:r w:rsidRPr="00151BB6">
        <w:rPr>
          <w:rFonts w:cs="Arial"/>
          <w:bCs/>
          <w:szCs w:val="22"/>
        </w:rPr>
        <w:t>Two monoclonal antibodies currently undergoing use are anti-CD38 (DARA) and anti-CD47 (Hu5F9-G4)</w:t>
      </w:r>
      <w:r w:rsidR="00A14DB2">
        <w:rPr>
          <w:rFonts w:cs="Arial"/>
          <w:bCs/>
          <w:szCs w:val="22"/>
        </w:rPr>
        <w:t xml:space="preserve"> Magrolimab</w:t>
      </w:r>
      <w:r w:rsidRPr="00151BB6">
        <w:rPr>
          <w:rFonts w:cs="Arial"/>
          <w:bCs/>
          <w:szCs w:val="22"/>
        </w:rPr>
        <w:t>.</w:t>
      </w:r>
    </w:p>
    <w:p w:rsidR="00151BB6" w:rsidRPr="00151BB6" w:rsidRDefault="00151BB6" w:rsidP="00151BB6">
      <w:pPr>
        <w:tabs>
          <w:tab w:val="left" w:pos="3345"/>
          <w:tab w:val="right" w:pos="10800"/>
        </w:tabs>
        <w:rPr>
          <w:rFonts w:cs="Arial"/>
          <w:bCs/>
          <w:szCs w:val="22"/>
        </w:rPr>
      </w:pPr>
    </w:p>
    <w:p w:rsidR="00151BB6" w:rsidRPr="00151BB6" w:rsidRDefault="00151BB6" w:rsidP="00151BB6">
      <w:pPr>
        <w:numPr>
          <w:ilvl w:val="0"/>
          <w:numId w:val="19"/>
        </w:numPr>
        <w:autoSpaceDE w:val="0"/>
        <w:autoSpaceDN w:val="0"/>
        <w:adjustRightInd w:val="0"/>
        <w:spacing w:after="200" w:line="276" w:lineRule="auto"/>
        <w:contextualSpacing/>
        <w:rPr>
          <w:rFonts w:cs="Arial"/>
          <w:color w:val="000000"/>
          <w:szCs w:val="22"/>
        </w:rPr>
      </w:pPr>
      <w:r w:rsidRPr="00151BB6">
        <w:rPr>
          <w:rFonts w:cs="Arial"/>
          <w:bCs/>
          <w:szCs w:val="22"/>
        </w:rPr>
        <w:t xml:space="preserve">Patients receiving treatment with monoclonal antibody drugs (DARA – anti-CD38 and Hu5F9-G4 – anti-CD47) should have samples submitted for ABO, Rh, antibody screen and DNA genotyping prior to start of therapy. </w:t>
      </w:r>
    </w:p>
    <w:p w:rsidR="00151BB6" w:rsidRPr="00151BB6" w:rsidRDefault="00151BB6" w:rsidP="00151BB6">
      <w:pPr>
        <w:autoSpaceDE w:val="0"/>
        <w:autoSpaceDN w:val="0"/>
        <w:adjustRightInd w:val="0"/>
        <w:rPr>
          <w:rFonts w:cs="Arial"/>
          <w:color w:val="000000"/>
          <w:szCs w:val="22"/>
        </w:rPr>
      </w:pPr>
    </w:p>
    <w:p w:rsidR="00151BB6" w:rsidRPr="00151BB6" w:rsidRDefault="00151BB6" w:rsidP="00151BB6">
      <w:pPr>
        <w:numPr>
          <w:ilvl w:val="0"/>
          <w:numId w:val="19"/>
        </w:numPr>
        <w:autoSpaceDE w:val="0"/>
        <w:autoSpaceDN w:val="0"/>
        <w:adjustRightInd w:val="0"/>
        <w:spacing w:after="200" w:line="276" w:lineRule="auto"/>
        <w:contextualSpacing/>
        <w:rPr>
          <w:rFonts w:cs="Arial"/>
          <w:color w:val="000000"/>
          <w:szCs w:val="22"/>
        </w:rPr>
      </w:pPr>
      <w:r w:rsidRPr="00151BB6">
        <w:rPr>
          <w:rFonts w:cs="Arial"/>
          <w:color w:val="000000"/>
          <w:szCs w:val="22"/>
        </w:rPr>
        <w:t>Many other antibody-based cancer therapies are under development.  Some of these may also interfere with blood bank tests.</w:t>
      </w:r>
    </w:p>
    <w:p w:rsidR="00151BB6" w:rsidRPr="00151BB6" w:rsidRDefault="00151BB6" w:rsidP="00151BB6">
      <w:pPr>
        <w:spacing w:after="200" w:line="276" w:lineRule="auto"/>
        <w:ind w:left="360"/>
        <w:contextualSpacing/>
        <w:rPr>
          <w:rFonts w:cs="Arial"/>
          <w:szCs w:val="22"/>
        </w:rPr>
      </w:pPr>
    </w:p>
    <w:p w:rsidR="00151BB6" w:rsidRPr="00151BB6" w:rsidRDefault="00151BB6" w:rsidP="00151BB6">
      <w:pPr>
        <w:tabs>
          <w:tab w:val="left" w:pos="3345"/>
          <w:tab w:val="right" w:pos="10800"/>
        </w:tabs>
        <w:rPr>
          <w:rFonts w:cs="Arial"/>
          <w:bCs/>
          <w:szCs w:val="22"/>
        </w:rPr>
      </w:pPr>
    </w:p>
    <w:p w:rsidR="00151BB6" w:rsidRPr="00151BB6" w:rsidRDefault="00151BB6" w:rsidP="00151BB6">
      <w:pPr>
        <w:numPr>
          <w:ilvl w:val="0"/>
          <w:numId w:val="21"/>
        </w:numPr>
        <w:autoSpaceDE w:val="0"/>
        <w:autoSpaceDN w:val="0"/>
        <w:adjustRightInd w:val="0"/>
        <w:spacing w:after="200" w:line="276" w:lineRule="auto"/>
        <w:ind w:left="540"/>
        <w:contextualSpacing/>
        <w:rPr>
          <w:rFonts w:cs="Arial"/>
          <w:b/>
          <w:color w:val="000000"/>
          <w:szCs w:val="22"/>
        </w:rPr>
      </w:pPr>
      <w:r w:rsidRPr="00151BB6">
        <w:rPr>
          <w:rFonts w:cs="Arial"/>
          <w:b/>
          <w:color w:val="000000"/>
          <w:szCs w:val="22"/>
        </w:rPr>
        <w:t>DARA (Anti-CD38)</w:t>
      </w:r>
    </w:p>
    <w:p w:rsidR="00151BB6" w:rsidRPr="00151BB6" w:rsidRDefault="00151BB6" w:rsidP="00151BB6">
      <w:pPr>
        <w:autoSpaceDE w:val="0"/>
        <w:autoSpaceDN w:val="0"/>
        <w:adjustRightInd w:val="0"/>
        <w:ind w:left="432"/>
        <w:contextualSpacing/>
        <w:rPr>
          <w:rFonts w:cs="Arial"/>
          <w:b/>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 xml:space="preserve">Anti-CD38 (DARA: </w:t>
      </w:r>
      <w:proofErr w:type="spellStart"/>
      <w:r w:rsidRPr="00151BB6">
        <w:rPr>
          <w:rFonts w:cs="Arial"/>
          <w:color w:val="000000"/>
          <w:szCs w:val="22"/>
        </w:rPr>
        <w:t>Daratumumab</w:t>
      </w:r>
      <w:proofErr w:type="spellEnd"/>
      <w:r w:rsidRPr="00151BB6">
        <w:rPr>
          <w:rFonts w:cs="Arial"/>
          <w:color w:val="000000"/>
          <w:szCs w:val="22"/>
        </w:rPr>
        <w:t>) is a monoclonal antibody drug that is a new treatment for multiple myeloma</w:t>
      </w:r>
      <w:r w:rsidR="00A14DB2">
        <w:rPr>
          <w:rFonts w:cs="Arial"/>
          <w:color w:val="000000"/>
          <w:szCs w:val="22"/>
        </w:rPr>
        <w:t xml:space="preserve"> (MM)</w:t>
      </w:r>
      <w:r w:rsidRPr="00151BB6">
        <w:rPr>
          <w:rFonts w:cs="Arial"/>
          <w:color w:val="000000"/>
          <w:szCs w:val="22"/>
        </w:rPr>
        <w:t>.</w:t>
      </w:r>
    </w:p>
    <w:p w:rsidR="00151BB6" w:rsidRPr="00151BB6" w:rsidRDefault="00151BB6" w:rsidP="00151BB6">
      <w:pPr>
        <w:autoSpaceDE w:val="0"/>
        <w:autoSpaceDN w:val="0"/>
        <w:adjustRightInd w:val="0"/>
        <w:ind w:left="792"/>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CD38 is highly expressed on myeloma cells.</w:t>
      </w:r>
    </w:p>
    <w:p w:rsidR="00151BB6" w:rsidRPr="00151BB6" w:rsidRDefault="00151BB6" w:rsidP="00151BB6">
      <w:pPr>
        <w:autoSpaceDE w:val="0"/>
        <w:autoSpaceDN w:val="0"/>
        <w:adjustRightInd w:val="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 xml:space="preserve">CD38 is expressed at low levels on the surface of red blood cells. </w:t>
      </w:r>
    </w:p>
    <w:p w:rsidR="00151BB6" w:rsidRPr="00151BB6" w:rsidRDefault="00151BB6" w:rsidP="00151BB6">
      <w:pPr>
        <w:autoSpaceDE w:val="0"/>
        <w:autoSpaceDN w:val="0"/>
        <w:adjustRightInd w:val="0"/>
        <w:ind w:left="792"/>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Anti-CD38 kills by complement mediated cytotoxicity through phagocytosis.</w:t>
      </w:r>
    </w:p>
    <w:p w:rsidR="00151BB6" w:rsidRPr="00151BB6" w:rsidRDefault="00151BB6" w:rsidP="00151BB6">
      <w:pPr>
        <w:autoSpaceDE w:val="0"/>
        <w:autoSpaceDN w:val="0"/>
        <w:adjustRightInd w:val="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Approximately 1/3 of patients with refractory Multiple Myeloma have responded to anti-CD38.</w:t>
      </w:r>
    </w:p>
    <w:p w:rsidR="00151BB6" w:rsidRPr="00151BB6" w:rsidRDefault="00151BB6" w:rsidP="00151BB6">
      <w:pPr>
        <w:autoSpaceDE w:val="0"/>
        <w:autoSpaceDN w:val="0"/>
        <w:adjustRightInd w:val="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Patients being treated with Anti-CD38 have anti-CD38 in their plasma that may or often reacts with all red cells.</w:t>
      </w:r>
    </w:p>
    <w:p w:rsidR="00151BB6" w:rsidRPr="00151BB6" w:rsidRDefault="00151BB6" w:rsidP="00151BB6">
      <w:pPr>
        <w:spacing w:line="276" w:lineRule="auto"/>
        <w:ind w:left="72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Patients usually undergo treatment with DARA for approximately 8 weeks.</w:t>
      </w:r>
    </w:p>
    <w:p w:rsidR="00151BB6" w:rsidRPr="00151BB6" w:rsidRDefault="00151BB6" w:rsidP="00151BB6">
      <w:pPr>
        <w:autoSpaceDE w:val="0"/>
        <w:autoSpaceDN w:val="0"/>
        <w:adjustRightInd w:val="0"/>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Level of anti-CD38 may be a high titer and cannot be easily adsorbed.</w:t>
      </w:r>
    </w:p>
    <w:p w:rsidR="00151BB6" w:rsidRPr="00151BB6" w:rsidRDefault="00151BB6" w:rsidP="00151BB6">
      <w:pPr>
        <w:autoSpaceDE w:val="0"/>
        <w:autoSpaceDN w:val="0"/>
        <w:adjustRightInd w:val="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There are several published approaches to resolving the reactivity of the anti-CD38:</w:t>
      </w:r>
    </w:p>
    <w:p w:rsidR="00151BB6" w:rsidRPr="00151BB6" w:rsidRDefault="00151BB6" w:rsidP="00151BB6">
      <w:pPr>
        <w:numPr>
          <w:ilvl w:val="1"/>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 xml:space="preserve">Denature CD38 (protein) on red cells with </w:t>
      </w:r>
      <w:proofErr w:type="spellStart"/>
      <w:r w:rsidRPr="00151BB6">
        <w:rPr>
          <w:rFonts w:cs="Arial"/>
          <w:color w:val="000000"/>
          <w:szCs w:val="22"/>
        </w:rPr>
        <w:t>Dithiothreitol</w:t>
      </w:r>
      <w:proofErr w:type="spellEnd"/>
      <w:r w:rsidRPr="00151BB6">
        <w:rPr>
          <w:rFonts w:cs="Arial"/>
          <w:color w:val="000000"/>
          <w:szCs w:val="22"/>
        </w:rPr>
        <w:t xml:space="preserve"> (DTT).</w:t>
      </w:r>
    </w:p>
    <w:p w:rsidR="00151BB6" w:rsidRPr="00151BB6" w:rsidRDefault="00151BB6" w:rsidP="00151BB6">
      <w:pPr>
        <w:numPr>
          <w:ilvl w:val="1"/>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Neutralize the anti-CD38 in the plasma.</w:t>
      </w:r>
    </w:p>
    <w:p w:rsidR="00151BB6" w:rsidRPr="00151BB6" w:rsidRDefault="00151BB6" w:rsidP="00151BB6">
      <w:pPr>
        <w:numPr>
          <w:ilvl w:val="1"/>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Genotype/phenotype patients and give phenotypically matched units</w:t>
      </w:r>
    </w:p>
    <w:p w:rsidR="00151BB6" w:rsidRPr="00151BB6" w:rsidRDefault="00151BB6" w:rsidP="00151BB6">
      <w:pPr>
        <w:numPr>
          <w:ilvl w:val="1"/>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lastRenderedPageBreak/>
        <w:t xml:space="preserve">Cord red blood cells that have been phenotyped for testing may be used for antibody screening. </w:t>
      </w:r>
    </w:p>
    <w:p w:rsidR="00151BB6" w:rsidRPr="00151BB6" w:rsidRDefault="00151BB6" w:rsidP="00151BB6">
      <w:pPr>
        <w:autoSpaceDE w:val="0"/>
        <w:autoSpaceDN w:val="0"/>
        <w:adjustRightInd w:val="0"/>
        <w:ind w:left="1512"/>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151BB6">
        <w:rPr>
          <w:rFonts w:cs="Arial"/>
          <w:color w:val="000000"/>
          <w:szCs w:val="22"/>
        </w:rPr>
        <w:t>DTT is a reducing agent that disrupts the tertiary structure of proteins by reducing the disulfide bonds to free sulfhydryl groups.</w:t>
      </w:r>
    </w:p>
    <w:p w:rsidR="00151BB6" w:rsidRPr="00151BB6" w:rsidRDefault="00151BB6" w:rsidP="00151BB6">
      <w:pPr>
        <w:numPr>
          <w:ilvl w:val="1"/>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 xml:space="preserve">Protein antigens cannot bind to their specific antibodies. </w:t>
      </w:r>
    </w:p>
    <w:p w:rsidR="00151BB6" w:rsidRPr="00151BB6" w:rsidRDefault="00151BB6" w:rsidP="00151BB6">
      <w:pPr>
        <w:numPr>
          <w:ilvl w:val="1"/>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 xml:space="preserve">DTT destroys antigens in the Kell system, most antigens in the Knops system and most  antigens below: </w:t>
      </w:r>
    </w:p>
    <w:p w:rsidR="00151BB6" w:rsidRPr="00151BB6" w:rsidRDefault="00151BB6" w:rsidP="00151BB6">
      <w:pPr>
        <w:numPr>
          <w:ilvl w:val="0"/>
          <w:numId w:val="20"/>
        </w:numPr>
        <w:autoSpaceDE w:val="0"/>
        <w:autoSpaceDN w:val="0"/>
        <w:adjustRightInd w:val="0"/>
        <w:spacing w:after="200" w:line="276" w:lineRule="auto"/>
        <w:contextualSpacing/>
        <w:rPr>
          <w:rFonts w:cs="Arial"/>
          <w:color w:val="000000"/>
          <w:szCs w:val="22"/>
        </w:rPr>
      </w:pPr>
      <w:r w:rsidRPr="00151BB6">
        <w:rPr>
          <w:rFonts w:cs="Arial"/>
          <w:color w:val="000000"/>
          <w:szCs w:val="22"/>
        </w:rPr>
        <w:t xml:space="preserve">Cartwright, LW, </w:t>
      </w:r>
      <w:proofErr w:type="spellStart"/>
      <w:r w:rsidRPr="00151BB6">
        <w:rPr>
          <w:rFonts w:cs="Arial"/>
          <w:color w:val="000000"/>
          <w:szCs w:val="22"/>
        </w:rPr>
        <w:t>Scianna</w:t>
      </w:r>
      <w:proofErr w:type="spellEnd"/>
      <w:r w:rsidRPr="00151BB6">
        <w:rPr>
          <w:rFonts w:cs="Arial"/>
          <w:color w:val="000000"/>
          <w:szCs w:val="22"/>
        </w:rPr>
        <w:t xml:space="preserve">, </w:t>
      </w:r>
      <w:proofErr w:type="spellStart"/>
      <w:r w:rsidRPr="00151BB6">
        <w:rPr>
          <w:rFonts w:cs="Arial"/>
          <w:color w:val="000000"/>
          <w:szCs w:val="22"/>
        </w:rPr>
        <w:t>Dombrock</w:t>
      </w:r>
      <w:proofErr w:type="spellEnd"/>
      <w:r w:rsidRPr="00151BB6">
        <w:rPr>
          <w:rFonts w:cs="Arial"/>
          <w:color w:val="000000"/>
          <w:szCs w:val="22"/>
        </w:rPr>
        <w:t xml:space="preserve"> (</w:t>
      </w:r>
      <w:proofErr w:type="spellStart"/>
      <w:r w:rsidRPr="00151BB6">
        <w:rPr>
          <w:rFonts w:cs="Arial"/>
          <w:color w:val="000000"/>
          <w:szCs w:val="22"/>
        </w:rPr>
        <w:t>Doa</w:t>
      </w:r>
      <w:proofErr w:type="spellEnd"/>
      <w:r w:rsidRPr="00151BB6">
        <w:rPr>
          <w:rFonts w:cs="Arial"/>
          <w:color w:val="000000"/>
          <w:szCs w:val="22"/>
        </w:rPr>
        <w:t>/</w:t>
      </w:r>
      <w:proofErr w:type="spellStart"/>
      <w:r w:rsidRPr="00151BB6">
        <w:rPr>
          <w:rFonts w:cs="Arial"/>
          <w:color w:val="000000"/>
          <w:szCs w:val="22"/>
        </w:rPr>
        <w:t>Dob</w:t>
      </w:r>
      <w:proofErr w:type="spellEnd"/>
      <w:r w:rsidRPr="00151BB6">
        <w:rPr>
          <w:rFonts w:cs="Arial"/>
          <w:color w:val="000000"/>
          <w:szCs w:val="22"/>
        </w:rPr>
        <w:t>), Lutheran, JMH, Indian, Gregory (</w:t>
      </w:r>
      <w:proofErr w:type="spellStart"/>
      <w:r w:rsidRPr="00151BB6">
        <w:rPr>
          <w:rFonts w:cs="Arial"/>
          <w:color w:val="000000"/>
          <w:szCs w:val="22"/>
        </w:rPr>
        <w:t>Gya</w:t>
      </w:r>
      <w:proofErr w:type="spellEnd"/>
      <w:r w:rsidRPr="00151BB6">
        <w:rPr>
          <w:rFonts w:cs="Arial"/>
          <w:color w:val="000000"/>
          <w:szCs w:val="22"/>
        </w:rPr>
        <w:t>), Holly (</w:t>
      </w:r>
      <w:proofErr w:type="spellStart"/>
      <w:r w:rsidRPr="00151BB6">
        <w:rPr>
          <w:rFonts w:cs="Arial"/>
          <w:color w:val="000000"/>
          <w:szCs w:val="22"/>
        </w:rPr>
        <w:t>Hy</w:t>
      </w:r>
      <w:proofErr w:type="spellEnd"/>
      <w:r w:rsidRPr="00151BB6">
        <w:rPr>
          <w:rFonts w:cs="Arial"/>
          <w:color w:val="000000"/>
          <w:szCs w:val="22"/>
        </w:rPr>
        <w:t>), and Joseph (</w:t>
      </w:r>
      <w:proofErr w:type="spellStart"/>
      <w:r w:rsidRPr="00151BB6">
        <w:rPr>
          <w:rFonts w:cs="Arial"/>
          <w:color w:val="000000"/>
          <w:szCs w:val="22"/>
        </w:rPr>
        <w:t>Joa</w:t>
      </w:r>
      <w:proofErr w:type="spellEnd"/>
      <w:r w:rsidRPr="00151BB6">
        <w:rPr>
          <w:rFonts w:cs="Arial"/>
          <w:color w:val="000000"/>
          <w:szCs w:val="22"/>
        </w:rPr>
        <w:t>) are sensitive to DTT treatment.</w:t>
      </w:r>
    </w:p>
    <w:p w:rsidR="00151BB6" w:rsidRPr="00151BB6" w:rsidRDefault="00151BB6" w:rsidP="00151BB6">
      <w:pPr>
        <w:autoSpaceDE w:val="0"/>
        <w:autoSpaceDN w:val="0"/>
        <w:adjustRightInd w:val="0"/>
        <w:ind w:left="2232"/>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151BB6">
        <w:rPr>
          <w:rFonts w:cs="Arial"/>
          <w:color w:val="000000"/>
          <w:szCs w:val="22"/>
        </w:rPr>
        <w:t xml:space="preserve">Prior to starting any patient on anti-CD38, a baseline type and screen and a phenotype or genotype will be performed. </w:t>
      </w:r>
    </w:p>
    <w:p w:rsidR="00151BB6" w:rsidRPr="00151BB6" w:rsidRDefault="00151BB6" w:rsidP="00151BB6">
      <w:pPr>
        <w:numPr>
          <w:ilvl w:val="1"/>
          <w:numId w:val="22"/>
        </w:numPr>
        <w:autoSpaceDE w:val="0"/>
        <w:autoSpaceDN w:val="0"/>
        <w:adjustRightInd w:val="0"/>
        <w:spacing w:after="200" w:line="276" w:lineRule="auto"/>
        <w:contextualSpacing/>
        <w:rPr>
          <w:rFonts w:cs="Arial"/>
          <w:color w:val="000000"/>
          <w:szCs w:val="22"/>
        </w:rPr>
      </w:pPr>
      <w:r w:rsidRPr="00151BB6">
        <w:rPr>
          <w:rFonts w:cs="Arial"/>
          <w:color w:val="000000"/>
          <w:szCs w:val="22"/>
        </w:rPr>
        <w:t xml:space="preserve">The comment DARA/date should be added to the patient’s computer record to flag future work-ups within the 6 month period that DARA may be causing interference. </w:t>
      </w:r>
    </w:p>
    <w:p w:rsidR="00151BB6" w:rsidRPr="00151BB6" w:rsidRDefault="00151BB6" w:rsidP="00151BB6">
      <w:pPr>
        <w:autoSpaceDE w:val="0"/>
        <w:autoSpaceDN w:val="0"/>
        <w:adjustRightInd w:val="0"/>
        <w:ind w:left="792"/>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151BB6">
        <w:rPr>
          <w:rFonts w:cs="Arial"/>
          <w:color w:val="000000"/>
          <w:szCs w:val="22"/>
        </w:rPr>
        <w:t>DTT treatment of reagent red cells will be the first approach.</w:t>
      </w:r>
    </w:p>
    <w:p w:rsidR="00151BB6" w:rsidRPr="00151BB6" w:rsidRDefault="00151BB6" w:rsidP="00151BB6">
      <w:pPr>
        <w:autoSpaceDE w:val="0"/>
        <w:autoSpaceDN w:val="0"/>
        <w:adjustRightInd w:val="0"/>
        <w:ind w:left="792"/>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151BB6">
        <w:rPr>
          <w:rFonts w:cs="Arial"/>
          <w:color w:val="000000"/>
          <w:szCs w:val="22"/>
        </w:rPr>
        <w:t xml:space="preserve">After receiving DARA, the patient’s plasma is expected to react with all red cells and the DAT may also be positive. </w:t>
      </w:r>
    </w:p>
    <w:p w:rsidR="00151BB6" w:rsidRPr="00151BB6" w:rsidRDefault="00151BB6" w:rsidP="00151BB6">
      <w:pPr>
        <w:autoSpaceDE w:val="0"/>
        <w:autoSpaceDN w:val="0"/>
        <w:adjustRightInd w:val="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151BB6">
        <w:rPr>
          <w:rFonts w:cs="Arial"/>
          <w:color w:val="000000"/>
          <w:szCs w:val="22"/>
        </w:rPr>
        <w:t xml:space="preserve">The patient’s antibody screen should be set up in PEG.  </w:t>
      </w:r>
    </w:p>
    <w:p w:rsidR="00151BB6" w:rsidRPr="00151BB6" w:rsidRDefault="00151BB6" w:rsidP="00151BB6">
      <w:pPr>
        <w:spacing w:line="276" w:lineRule="auto"/>
        <w:ind w:left="720"/>
        <w:contextualSpacing/>
        <w:rPr>
          <w:rFonts w:cs="Arial"/>
          <w:color w:val="000000"/>
          <w:szCs w:val="22"/>
        </w:rPr>
      </w:pPr>
    </w:p>
    <w:p w:rsidR="00151BB6" w:rsidRPr="00151BB6" w:rsidRDefault="00C41225" w:rsidP="00151BB6">
      <w:pPr>
        <w:numPr>
          <w:ilvl w:val="0"/>
          <w:numId w:val="22"/>
        </w:numPr>
        <w:autoSpaceDE w:val="0"/>
        <w:autoSpaceDN w:val="0"/>
        <w:adjustRightInd w:val="0"/>
        <w:spacing w:after="200" w:line="276" w:lineRule="auto"/>
        <w:ind w:left="1170" w:hanging="570"/>
        <w:contextualSpacing/>
        <w:rPr>
          <w:rFonts w:cs="Arial"/>
          <w:color w:val="000000"/>
          <w:szCs w:val="22"/>
        </w:rPr>
      </w:pPr>
      <w:r>
        <w:rPr>
          <w:rFonts w:cs="Arial"/>
          <w:color w:val="000000"/>
          <w:szCs w:val="22"/>
        </w:rPr>
        <w:t>If the neat PEG testing is reactive with all cells, the</w:t>
      </w:r>
      <w:r w:rsidR="00151BB6" w:rsidRPr="00151BB6">
        <w:rPr>
          <w:rFonts w:cs="Arial"/>
          <w:color w:val="000000"/>
          <w:szCs w:val="22"/>
        </w:rPr>
        <w:t xml:space="preserve"> 3% screening cells should be treated with DTT.  The DTT treated cells are tested with patient’s plasma.</w:t>
      </w:r>
    </w:p>
    <w:p w:rsidR="00151BB6" w:rsidRPr="00151BB6" w:rsidRDefault="00151BB6" w:rsidP="00151BB6">
      <w:pPr>
        <w:autoSpaceDE w:val="0"/>
        <w:autoSpaceDN w:val="0"/>
        <w:adjustRightInd w:val="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151BB6">
        <w:rPr>
          <w:rFonts w:cs="Arial"/>
          <w:color w:val="000000"/>
          <w:szCs w:val="22"/>
        </w:rPr>
        <w:t>Reactivity with the untreated and negative with the treated suggest DARA interference.</w:t>
      </w:r>
    </w:p>
    <w:p w:rsidR="00151BB6" w:rsidRPr="00151BB6" w:rsidRDefault="00151BB6" w:rsidP="00151BB6">
      <w:pPr>
        <w:spacing w:line="276" w:lineRule="auto"/>
        <w:ind w:left="720"/>
        <w:contextualSpacing/>
        <w:rPr>
          <w:rFonts w:cs="Arial"/>
          <w:color w:val="000000"/>
          <w:szCs w:val="22"/>
        </w:rPr>
      </w:pPr>
    </w:p>
    <w:p w:rsidR="00151BB6" w:rsidRPr="00D150F2"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D150F2">
        <w:rPr>
          <w:rFonts w:cs="Arial"/>
          <w:color w:val="000000"/>
          <w:szCs w:val="22"/>
        </w:rPr>
        <w:t>The eluate should be prepared if the</w:t>
      </w:r>
      <w:r w:rsidR="00D150F2" w:rsidRPr="00D150F2">
        <w:rPr>
          <w:rFonts w:cs="Arial"/>
          <w:color w:val="000000"/>
          <w:szCs w:val="22"/>
        </w:rPr>
        <w:t xml:space="preserve"> DTT treated</w:t>
      </w:r>
      <w:r w:rsidRPr="00D150F2">
        <w:rPr>
          <w:rFonts w:cs="Arial"/>
          <w:color w:val="000000"/>
          <w:szCs w:val="22"/>
        </w:rPr>
        <w:t xml:space="preserve"> DAT is positive and tested in parallel with the DTT treated and untreated screening cells.</w:t>
      </w:r>
    </w:p>
    <w:p w:rsidR="00151BB6" w:rsidRPr="00151BB6" w:rsidRDefault="00151BB6" w:rsidP="00151BB6">
      <w:pPr>
        <w:autoSpaceDE w:val="0"/>
        <w:autoSpaceDN w:val="0"/>
        <w:adjustRightInd w:val="0"/>
        <w:contextualSpacing/>
        <w:rPr>
          <w:rFonts w:cs="Arial"/>
          <w:color w:val="000000"/>
          <w:szCs w:val="22"/>
        </w:rPr>
      </w:pPr>
    </w:p>
    <w:p w:rsidR="00151BB6" w:rsidRPr="00151BB6" w:rsidRDefault="00151BB6" w:rsidP="00151BB6">
      <w:pPr>
        <w:numPr>
          <w:ilvl w:val="0"/>
          <w:numId w:val="22"/>
        </w:numPr>
        <w:autoSpaceDE w:val="0"/>
        <w:autoSpaceDN w:val="0"/>
        <w:adjustRightInd w:val="0"/>
        <w:spacing w:after="200" w:line="276" w:lineRule="auto"/>
        <w:ind w:left="1170" w:hanging="570"/>
        <w:contextualSpacing/>
        <w:rPr>
          <w:rFonts w:cs="Arial"/>
          <w:color w:val="000000"/>
          <w:szCs w:val="22"/>
        </w:rPr>
      </w:pPr>
      <w:r w:rsidRPr="00151BB6">
        <w:rPr>
          <w:rFonts w:cs="Arial"/>
          <w:color w:val="000000"/>
          <w:szCs w:val="22"/>
        </w:rPr>
        <w:t xml:space="preserve">Patients should receive Kell negative units if they are Kell negative.  Management/Medical Director will determine if phenotypically matched transfusions should occur. </w:t>
      </w:r>
    </w:p>
    <w:p w:rsidR="000858A5" w:rsidRPr="000858A5" w:rsidRDefault="000858A5" w:rsidP="000858A5">
      <w:pPr>
        <w:ind w:left="1080"/>
      </w:pPr>
    </w:p>
    <w:p w:rsidR="00E65D95" w:rsidRPr="00E65D95" w:rsidRDefault="00E65D95" w:rsidP="005378EF">
      <w:pPr>
        <w:numPr>
          <w:ilvl w:val="0"/>
          <w:numId w:val="21"/>
        </w:numPr>
        <w:ind w:left="360"/>
        <w:rPr>
          <w:b/>
        </w:rPr>
      </w:pPr>
      <w:r w:rsidRPr="00E65D95">
        <w:rPr>
          <w:b/>
        </w:rPr>
        <w:t>Anti-CD47 (Hu5F9-G4)</w:t>
      </w:r>
      <w:r w:rsidR="00A14DB2">
        <w:rPr>
          <w:b/>
        </w:rPr>
        <w:t xml:space="preserve"> Magrolimab</w:t>
      </w:r>
    </w:p>
    <w:p w:rsidR="00E65D95" w:rsidRPr="00E65D95" w:rsidRDefault="00E65D95" w:rsidP="00E65D95"/>
    <w:p w:rsidR="00E65D95" w:rsidRPr="00E65D95" w:rsidRDefault="00E65D95" w:rsidP="00E65D95">
      <w:pPr>
        <w:numPr>
          <w:ilvl w:val="0"/>
          <w:numId w:val="23"/>
        </w:numPr>
      </w:pPr>
      <w:r w:rsidRPr="00E65D95">
        <w:t>CD47 is a cell surface glycoprotein expressed on all cell types including red blood cells and platelets.</w:t>
      </w:r>
    </w:p>
    <w:p w:rsidR="00E65D95" w:rsidRPr="00E65D95" w:rsidRDefault="00E65D95" w:rsidP="00E65D95"/>
    <w:p w:rsidR="00E65D95" w:rsidRPr="00E65D95" w:rsidRDefault="00E65D95" w:rsidP="00E65D95">
      <w:pPr>
        <w:numPr>
          <w:ilvl w:val="0"/>
          <w:numId w:val="23"/>
        </w:numPr>
      </w:pPr>
      <w:r w:rsidRPr="00E65D95">
        <w:t xml:space="preserve">CD47 is expressed as a member of the Rh complex in the membrane so expression of CD47 varies according to Rh phenotype. </w:t>
      </w:r>
    </w:p>
    <w:p w:rsidR="00E65D95" w:rsidRPr="00E65D95" w:rsidRDefault="00E65D95" w:rsidP="00E65D95"/>
    <w:p w:rsidR="00E65D95" w:rsidRPr="00E65D95" w:rsidRDefault="00E65D95" w:rsidP="00E65D95">
      <w:pPr>
        <w:numPr>
          <w:ilvl w:val="0"/>
          <w:numId w:val="23"/>
        </w:numPr>
      </w:pPr>
      <w:r w:rsidRPr="00E65D95">
        <w:lastRenderedPageBreak/>
        <w:t xml:space="preserve">CD47 is involved in regulation of cell survival and cell death because it acts as a signal-regulatory protein expressed on macrophages. Blocking CD47 is thought to enhance phagocytosis and promote antitumor responses. </w:t>
      </w:r>
    </w:p>
    <w:p w:rsidR="00E65D95" w:rsidRPr="00E65D95" w:rsidRDefault="00E65D95" w:rsidP="00E65D95"/>
    <w:p w:rsidR="00E65D95" w:rsidRDefault="00E65D95" w:rsidP="00E65D95">
      <w:pPr>
        <w:numPr>
          <w:ilvl w:val="0"/>
          <w:numId w:val="23"/>
        </w:numPr>
      </w:pPr>
      <w:r w:rsidRPr="00E65D95">
        <w:t xml:space="preserve">Anti-CD47 (Hu5F9-G4) </w:t>
      </w:r>
      <w:r w:rsidR="000C10FD">
        <w:t xml:space="preserve">now known as Magrolimab, </w:t>
      </w:r>
      <w:r w:rsidRPr="00E65D95">
        <w:t>is an IgG4 monoclonal antibody in clinical trials to treat hematologic and solid organ malignancies.</w:t>
      </w:r>
    </w:p>
    <w:p w:rsidR="00A14DB2" w:rsidRDefault="00A14DB2" w:rsidP="00A14DB2">
      <w:pPr>
        <w:numPr>
          <w:ilvl w:val="1"/>
          <w:numId w:val="23"/>
        </w:numPr>
        <w:ind w:left="1800"/>
      </w:pPr>
      <w:r>
        <w:t>Multiple Myeloma patients may receive Magrolimab alone or in combination with DARA</w:t>
      </w:r>
    </w:p>
    <w:p w:rsidR="00A14DB2" w:rsidRPr="00E65D95" w:rsidRDefault="00A14DB2" w:rsidP="00A14DB2">
      <w:pPr>
        <w:numPr>
          <w:ilvl w:val="1"/>
          <w:numId w:val="23"/>
        </w:numPr>
        <w:ind w:left="1800"/>
      </w:pPr>
      <w:r>
        <w:t xml:space="preserve">AML patients enrolled in ENHANCE-3 clinical trial may receive Magrolimab. </w:t>
      </w:r>
    </w:p>
    <w:p w:rsidR="00E65D95" w:rsidRPr="00E65D95" w:rsidRDefault="00E65D95" w:rsidP="00E65D95"/>
    <w:p w:rsidR="00E65D95" w:rsidRPr="00E65D95" w:rsidRDefault="00E65D95" w:rsidP="00E65D95">
      <w:pPr>
        <w:numPr>
          <w:ilvl w:val="0"/>
          <w:numId w:val="23"/>
        </w:numPr>
      </w:pPr>
      <w:r w:rsidRPr="00E65D95">
        <w:t xml:space="preserve">Nearly all patients receiving anti-CD47 experience an initial drop in hemoglobin with thrombocytopenia occurring infrequently. </w:t>
      </w:r>
    </w:p>
    <w:p w:rsidR="00E65D95" w:rsidRPr="00E65D95" w:rsidRDefault="00E65D95" w:rsidP="00E65D95"/>
    <w:p w:rsidR="00E65D95" w:rsidRPr="00E65D95" w:rsidRDefault="00E65D95" w:rsidP="00E65D95">
      <w:pPr>
        <w:numPr>
          <w:ilvl w:val="0"/>
          <w:numId w:val="23"/>
        </w:numPr>
      </w:pPr>
      <w:r w:rsidRPr="00E65D95">
        <w:t xml:space="preserve">Plasma from patients receiving Anti-CD47 reacts in all phases with all red blood cells including immediate spin, i.e. panreactivity in all phases of pretransfusion testing including antibody screen, crossmatch and ABO reverse type. </w:t>
      </w:r>
    </w:p>
    <w:p w:rsidR="00E65D95" w:rsidRPr="00E65D95" w:rsidRDefault="00E65D95" w:rsidP="00E65D95">
      <w:pPr>
        <w:numPr>
          <w:ilvl w:val="0"/>
          <w:numId w:val="24"/>
        </w:numPr>
      </w:pPr>
      <w:r w:rsidRPr="00E65D95">
        <w:t>Plasma is reactive with DTT, trypsin, papain.</w:t>
      </w:r>
    </w:p>
    <w:p w:rsidR="00E65D95" w:rsidRPr="00E65D95" w:rsidRDefault="00E65D95" w:rsidP="005378EF">
      <w:pPr>
        <w:numPr>
          <w:ilvl w:val="0"/>
          <w:numId w:val="24"/>
        </w:numPr>
      </w:pPr>
      <w:r w:rsidRPr="00E65D95">
        <w:t xml:space="preserve">Antibody may be very high titer. </w:t>
      </w:r>
    </w:p>
    <w:p w:rsidR="00E65D95" w:rsidRPr="00E65D95" w:rsidRDefault="00E65D95" w:rsidP="00E65D95"/>
    <w:p w:rsidR="00E65D95" w:rsidRPr="00E65D95" w:rsidRDefault="00E65D95" w:rsidP="00E65D95">
      <w:pPr>
        <w:numPr>
          <w:ilvl w:val="0"/>
          <w:numId w:val="23"/>
        </w:numPr>
      </w:pPr>
      <w:r w:rsidRPr="00E65D95">
        <w:t xml:space="preserve">Patients may have weak spontaneous agglutination of their red cells causing a weak false-positive reaction in ABO forward typing and Rh typing. </w:t>
      </w:r>
    </w:p>
    <w:p w:rsidR="00E65D95" w:rsidRPr="00E65D95" w:rsidRDefault="00E65D95" w:rsidP="00E65D95"/>
    <w:p w:rsidR="00E65D95" w:rsidRPr="00E65D95" w:rsidRDefault="00E65D95" w:rsidP="00E65D95">
      <w:pPr>
        <w:numPr>
          <w:ilvl w:val="0"/>
          <w:numId w:val="23"/>
        </w:numPr>
      </w:pPr>
      <w:r w:rsidRPr="00E65D95">
        <w:t xml:space="preserve">Immucor </w:t>
      </w:r>
      <w:r w:rsidR="000C10FD">
        <w:t xml:space="preserve">gamma clone </w:t>
      </w:r>
      <w:r w:rsidRPr="00E65D95">
        <w:t>anti-IgG lacks IgG4 and reactions appear weaker.</w:t>
      </w:r>
    </w:p>
    <w:p w:rsidR="00E65D95" w:rsidRPr="00E65D95" w:rsidRDefault="00E65D95" w:rsidP="00E65D95"/>
    <w:p w:rsidR="00E65D95" w:rsidRPr="00E65D95" w:rsidRDefault="00E65D95" w:rsidP="00E65D95">
      <w:pPr>
        <w:numPr>
          <w:ilvl w:val="0"/>
          <w:numId w:val="23"/>
        </w:numPr>
      </w:pPr>
      <w:r w:rsidRPr="00E65D95">
        <w:t xml:space="preserve">Direct antiglobulin testing and auto control were negative or weak with reactive eluates.  The negative DATs are thought to be due to blocking or steric hindrance, i.e. the antibody is present but a falsely negative DAT occurs. </w:t>
      </w:r>
    </w:p>
    <w:p w:rsidR="00E65D95" w:rsidRPr="00E65D95" w:rsidRDefault="00E65D95" w:rsidP="00E65D95"/>
    <w:p w:rsidR="00E65D95" w:rsidRPr="00E65D95" w:rsidRDefault="00E65D95" w:rsidP="00E65D95">
      <w:pPr>
        <w:numPr>
          <w:ilvl w:val="0"/>
          <w:numId w:val="23"/>
        </w:numPr>
      </w:pPr>
      <w:r w:rsidRPr="00E65D95">
        <w:t>PEG a</w:t>
      </w:r>
      <w:r w:rsidR="000C10FD">
        <w:t>d</w:t>
      </w:r>
      <w:r w:rsidRPr="00E65D95">
        <w:t>sorptions are</w:t>
      </w:r>
      <w:r w:rsidR="000C10FD">
        <w:t xml:space="preserve"> often</w:t>
      </w:r>
      <w:r w:rsidRPr="00E65D95">
        <w:t xml:space="preserve"> invalid due to precipitation of antibody.</w:t>
      </w:r>
    </w:p>
    <w:p w:rsidR="00E65D95" w:rsidRPr="00E65D95" w:rsidRDefault="00E65D95" w:rsidP="00E65D95"/>
    <w:p w:rsidR="000F44A7" w:rsidRDefault="000F44A7" w:rsidP="000F44A7">
      <w:pPr>
        <w:numPr>
          <w:ilvl w:val="0"/>
          <w:numId w:val="23"/>
        </w:numPr>
      </w:pPr>
      <w:r w:rsidRPr="00E65D95">
        <w:t xml:space="preserve">Reactivity has been removed by multiple </w:t>
      </w:r>
      <w:proofErr w:type="spellStart"/>
      <w:r w:rsidRPr="00E65D95">
        <w:t>allo</w:t>
      </w:r>
      <w:proofErr w:type="spellEnd"/>
      <w:r w:rsidRPr="00E65D95">
        <w:t xml:space="preserve"> adsorptions with papain-treated cells or pooled platelets. </w:t>
      </w:r>
    </w:p>
    <w:p w:rsidR="000F44A7" w:rsidRDefault="000F44A7" w:rsidP="000F44A7">
      <w:pPr>
        <w:pStyle w:val="ListParagraph"/>
        <w:numPr>
          <w:ilvl w:val="0"/>
          <w:numId w:val="36"/>
        </w:numPr>
      </w:pPr>
      <w:r>
        <w:t xml:space="preserve">ARC currently uses pooled platelets to perform adsorptions when testing is positive. </w:t>
      </w:r>
    </w:p>
    <w:p w:rsidR="000F44A7" w:rsidRDefault="000F44A7" w:rsidP="000F44A7"/>
    <w:p w:rsidR="000F44A7" w:rsidRDefault="000F44A7" w:rsidP="00A14DB2">
      <w:pPr>
        <w:numPr>
          <w:ilvl w:val="0"/>
          <w:numId w:val="23"/>
        </w:numPr>
      </w:pPr>
      <w:r>
        <w:t>Multiple Myeloma patients receiving BOTH Dara and Magrolimab:</w:t>
      </w:r>
    </w:p>
    <w:p w:rsidR="000F44A7" w:rsidRDefault="000F44A7" w:rsidP="000F44A7">
      <w:pPr>
        <w:pStyle w:val="ListParagraph"/>
        <w:numPr>
          <w:ilvl w:val="0"/>
          <w:numId w:val="38"/>
        </w:numPr>
      </w:pPr>
      <w:r>
        <w:t>Require testing in PEG with Immucor Gamma Clone anti-IgG.</w:t>
      </w:r>
    </w:p>
    <w:p w:rsidR="000F44A7" w:rsidRDefault="007E2D4E" w:rsidP="000F44A7">
      <w:pPr>
        <w:pStyle w:val="ListParagraph"/>
        <w:numPr>
          <w:ilvl w:val="0"/>
          <w:numId w:val="38"/>
        </w:numPr>
      </w:pPr>
      <w:r>
        <w:t>May require adsorptions as stated above if Peg testing is positive</w:t>
      </w:r>
    </w:p>
    <w:p w:rsidR="007E2D4E" w:rsidRPr="007E2D4E" w:rsidRDefault="007E2D4E" w:rsidP="007E2D4E">
      <w:pPr>
        <w:pStyle w:val="ListParagraph"/>
        <w:numPr>
          <w:ilvl w:val="0"/>
          <w:numId w:val="38"/>
        </w:numPr>
      </w:pPr>
      <w:r>
        <w:t>Shall receive Kell negative units if they are Kell negative</w:t>
      </w:r>
    </w:p>
    <w:p w:rsidR="000F44A7" w:rsidRPr="000F44A7" w:rsidRDefault="000F44A7" w:rsidP="000F44A7"/>
    <w:p w:rsidR="003925E3" w:rsidRDefault="003925E3" w:rsidP="000F44A7">
      <w:pPr>
        <w:rPr>
          <w:b/>
        </w:rPr>
      </w:pPr>
    </w:p>
    <w:p w:rsidR="003925E3" w:rsidRDefault="003925E3" w:rsidP="003925E3">
      <w:r>
        <w:br w:type="page"/>
      </w:r>
    </w:p>
    <w:p w:rsidR="000F44A7" w:rsidRPr="0085751C" w:rsidRDefault="003925E3" w:rsidP="000F44A7">
      <w:pPr>
        <w:rPr>
          <w:b/>
        </w:rPr>
      </w:pPr>
      <w:r>
        <w:rPr>
          <w:b/>
        </w:rPr>
        <w:lastRenderedPageBreak/>
        <w:t xml:space="preserve">D.  </w:t>
      </w:r>
      <w:r w:rsidR="007E2D4E" w:rsidRPr="0085751C">
        <w:rPr>
          <w:b/>
        </w:rPr>
        <w:t>ENHANCE-3 Clinical Trial</w:t>
      </w:r>
    </w:p>
    <w:p w:rsidR="007E2D4E" w:rsidRDefault="007E2D4E" w:rsidP="000F44A7"/>
    <w:p w:rsidR="007E2D4E" w:rsidRPr="000F44A7" w:rsidRDefault="007E2D4E" w:rsidP="000F44A7"/>
    <w:p w:rsidR="00A14DB2" w:rsidRDefault="0085751C" w:rsidP="003925E3">
      <w:pPr>
        <w:pStyle w:val="ListParagraph"/>
        <w:numPr>
          <w:ilvl w:val="0"/>
          <w:numId w:val="42"/>
        </w:numPr>
      </w:pPr>
      <w:r>
        <w:t xml:space="preserve">ENHANCE-3 is a Phase 3, </w:t>
      </w:r>
      <w:r w:rsidR="003925E3">
        <w:t>r</w:t>
      </w:r>
      <w:r>
        <w:t xml:space="preserve">andomized, </w:t>
      </w:r>
      <w:r w:rsidR="003925E3">
        <w:t>d</w:t>
      </w:r>
      <w:r>
        <w:t>ouble-</w:t>
      </w:r>
      <w:r w:rsidR="003925E3">
        <w:t>b</w:t>
      </w:r>
      <w:r>
        <w:t xml:space="preserve">lind, </w:t>
      </w:r>
      <w:r w:rsidR="003925E3">
        <w:t>p</w:t>
      </w:r>
      <w:r>
        <w:t>lacebo-</w:t>
      </w:r>
      <w:r w:rsidR="003925E3">
        <w:t>c</w:t>
      </w:r>
      <w:r>
        <w:t xml:space="preserve">ontrolled </w:t>
      </w:r>
      <w:r w:rsidR="003925E3">
        <w:t>s</w:t>
      </w:r>
      <w:r>
        <w:t xml:space="preserve">tudy evaluating the safety and efficacy of Magrolimab versus placebo in combination with Venetoclax and Azacitidine in newly diagnosed, previously untreated patients with Acute Myeloid Leukemia (AML) who are ineligible for intensive chemotherapy. </w:t>
      </w:r>
    </w:p>
    <w:p w:rsidR="003925E3" w:rsidRDefault="003925E3" w:rsidP="003925E3"/>
    <w:p w:rsidR="008B47DE" w:rsidRDefault="008B47DE" w:rsidP="003925E3">
      <w:pPr>
        <w:pStyle w:val="ListParagraph"/>
        <w:numPr>
          <w:ilvl w:val="0"/>
          <w:numId w:val="42"/>
        </w:numPr>
      </w:pPr>
      <w:r>
        <w:t>An email to the blood bank group will be sent out alerting BB staff that a patient has been enrolled into this trial.</w:t>
      </w:r>
    </w:p>
    <w:p w:rsidR="008B47DE" w:rsidRPr="008B47DE" w:rsidRDefault="008B47DE" w:rsidP="008B47DE"/>
    <w:p w:rsidR="008B47DE" w:rsidRDefault="008B47DE" w:rsidP="008B47DE">
      <w:pPr>
        <w:pStyle w:val="ListParagraph"/>
        <w:numPr>
          <w:ilvl w:val="0"/>
          <w:numId w:val="42"/>
        </w:numPr>
      </w:pPr>
      <w:r>
        <w:t xml:space="preserve">Add special message: BCD47 (Blinded Study Patient: Anti-CD47) to Patient Caution Window when email is received.  </w:t>
      </w:r>
    </w:p>
    <w:p w:rsidR="00FB1CCD" w:rsidRPr="00FB1CCD" w:rsidRDefault="00FB1CCD" w:rsidP="00FB1CCD">
      <w:pPr>
        <w:pStyle w:val="ListParagraph"/>
        <w:numPr>
          <w:ilvl w:val="0"/>
          <w:numId w:val="48"/>
        </w:numPr>
      </w:pPr>
      <w:r>
        <w:t>All patients in this trial will require irradiated blood. Add “IRR” to PCW if necessary.</w:t>
      </w:r>
    </w:p>
    <w:p w:rsidR="008B47DE" w:rsidRDefault="008B47DE" w:rsidP="008B47DE">
      <w:pPr>
        <w:pStyle w:val="ListParagraph"/>
        <w:numPr>
          <w:ilvl w:val="0"/>
          <w:numId w:val="0"/>
        </w:numPr>
        <w:ind w:left="720"/>
      </w:pPr>
    </w:p>
    <w:p w:rsidR="0051416E" w:rsidRDefault="0051416E" w:rsidP="0051416E">
      <w:pPr>
        <w:pStyle w:val="ListParagraph"/>
        <w:numPr>
          <w:ilvl w:val="0"/>
          <w:numId w:val="42"/>
        </w:numPr>
      </w:pPr>
      <w:r>
        <w:t xml:space="preserve">Upon receipt of the email a blood product release form should be sent to the clinical team stating “Blood released on this patient in the duration of the clinical trial may be incompatible due to the presence of interfering substances.” </w:t>
      </w:r>
    </w:p>
    <w:p w:rsidR="0051416E" w:rsidRDefault="0009111F" w:rsidP="0051416E">
      <w:pPr>
        <w:pStyle w:val="ListParagraph"/>
        <w:numPr>
          <w:ilvl w:val="0"/>
          <w:numId w:val="43"/>
        </w:numPr>
      </w:pPr>
      <w:r>
        <w:t>We will get a signed BPR on every patient regardless of their randomization assignment</w:t>
      </w:r>
    </w:p>
    <w:p w:rsidR="0009111F" w:rsidRPr="0009111F" w:rsidRDefault="0009111F" w:rsidP="0009111F">
      <w:pPr>
        <w:pStyle w:val="ListParagraph"/>
        <w:numPr>
          <w:ilvl w:val="0"/>
          <w:numId w:val="43"/>
        </w:numPr>
      </w:pPr>
      <w:r>
        <w:t>Give all completed signed release forms to management</w:t>
      </w:r>
    </w:p>
    <w:p w:rsidR="0051416E" w:rsidRPr="0051416E" w:rsidRDefault="0051416E" w:rsidP="0051416E"/>
    <w:p w:rsidR="002D44C1" w:rsidRPr="002D44C1" w:rsidRDefault="003925E3" w:rsidP="002D44C1">
      <w:pPr>
        <w:pStyle w:val="ListParagraph"/>
        <w:numPr>
          <w:ilvl w:val="0"/>
          <w:numId w:val="42"/>
        </w:numPr>
      </w:pPr>
      <w:r>
        <w:t>Baseline TSX will be sent on all patients enrolled in the study. (They may be randomized to Magrolimab or placebo).</w:t>
      </w:r>
    </w:p>
    <w:p w:rsidR="0009111F" w:rsidRDefault="0009111F" w:rsidP="0009111F"/>
    <w:p w:rsidR="0009111F" w:rsidRDefault="0009111F" w:rsidP="0009111F">
      <w:pPr>
        <w:pStyle w:val="ListParagraph"/>
        <w:numPr>
          <w:ilvl w:val="0"/>
          <w:numId w:val="42"/>
        </w:numPr>
      </w:pPr>
      <w:r>
        <w:t xml:space="preserve">Subsequent antibody screen testing can be performed in gel. If patient results indicate a pan-reactive antibody with gel screen and panel, a PEG screen using Immucor Gamma Clone shall be performed. </w:t>
      </w:r>
    </w:p>
    <w:p w:rsidR="0009111F" w:rsidRDefault="0009111F" w:rsidP="0009111F">
      <w:pPr>
        <w:pStyle w:val="ListParagraph"/>
        <w:numPr>
          <w:ilvl w:val="0"/>
          <w:numId w:val="44"/>
        </w:numPr>
      </w:pPr>
      <w:r>
        <w:t>If PEG screen is negative, assume patient received Magrolimab and enter note into PCW indicating patient is receiving anti-CD47 therapy.</w:t>
      </w:r>
    </w:p>
    <w:p w:rsidR="0009111F" w:rsidRDefault="0009111F" w:rsidP="0009111F">
      <w:pPr>
        <w:pStyle w:val="ListParagraph"/>
        <w:numPr>
          <w:ilvl w:val="0"/>
          <w:numId w:val="44"/>
        </w:numPr>
      </w:pPr>
      <w:r>
        <w:t xml:space="preserve">Antibody screen tests can be resulted </w:t>
      </w:r>
      <w:r w:rsidR="002D44C1">
        <w:t>based on PEG testing</w:t>
      </w:r>
    </w:p>
    <w:p w:rsidR="002D44C1" w:rsidRDefault="002D44C1" w:rsidP="002D44C1">
      <w:pPr>
        <w:pStyle w:val="ListParagraph"/>
        <w:numPr>
          <w:ilvl w:val="0"/>
          <w:numId w:val="44"/>
        </w:numPr>
      </w:pPr>
      <w:r>
        <w:t>Antibody ID should NOT be resulted as anti-CD47 as this will unblind the patient to the clinical team</w:t>
      </w:r>
    </w:p>
    <w:p w:rsidR="002D44C1" w:rsidRDefault="002D44C1" w:rsidP="002D44C1"/>
    <w:p w:rsidR="002D44C1" w:rsidRDefault="002D44C1" w:rsidP="002D44C1">
      <w:pPr>
        <w:pStyle w:val="ListParagraph"/>
        <w:numPr>
          <w:ilvl w:val="0"/>
          <w:numId w:val="42"/>
        </w:numPr>
      </w:pPr>
      <w:r>
        <w:t xml:space="preserve">ABO/Rh testing may be pan-reactive. Patients with pan-reactive ABO/Rh tests receiving Magrolimab will have the ABO/Rh resulted as NOGR and receive group O units. </w:t>
      </w:r>
    </w:p>
    <w:p w:rsidR="002D44C1" w:rsidRDefault="002D44C1" w:rsidP="002D44C1">
      <w:pPr>
        <w:pStyle w:val="ListParagraph"/>
        <w:numPr>
          <w:ilvl w:val="0"/>
          <w:numId w:val="46"/>
        </w:numPr>
      </w:pPr>
      <w:r>
        <w:t>NOGR patients require ISXMs. ISXMs may be incompatible. Result incompatible crossmatches, signed BPR should be on file.</w:t>
      </w:r>
    </w:p>
    <w:p w:rsidR="002D44C1" w:rsidRDefault="002D44C1" w:rsidP="002D44C1"/>
    <w:p w:rsidR="002D44C1" w:rsidRDefault="00FB1CCD" w:rsidP="002D44C1">
      <w:pPr>
        <w:pStyle w:val="ListParagraph"/>
        <w:numPr>
          <w:ilvl w:val="0"/>
          <w:numId w:val="42"/>
        </w:numPr>
      </w:pPr>
      <w:r>
        <w:t>P</w:t>
      </w:r>
      <w:r w:rsidR="002D44C1">
        <w:t>atients receiving anti</w:t>
      </w:r>
      <w:r>
        <w:t xml:space="preserve">-CD47 enrolled in the ENHANCE-3 shall receive Irradiated Rh/Kell matched units. </w:t>
      </w:r>
    </w:p>
    <w:p w:rsidR="00FB1CCD" w:rsidRDefault="00FB1CCD" w:rsidP="00FB1CCD">
      <w:pPr>
        <w:pStyle w:val="ListParagraph"/>
        <w:numPr>
          <w:ilvl w:val="0"/>
          <w:numId w:val="47"/>
        </w:numPr>
      </w:pPr>
      <w:r>
        <w:t>When anti-CD47 is identified comments placed into PCW should include “Patient receiving anti-CD47” AND “match Rh/Kell”</w:t>
      </w:r>
    </w:p>
    <w:p w:rsidR="00FB1CCD" w:rsidRDefault="00FB1CCD" w:rsidP="00FB1CCD"/>
    <w:p w:rsidR="00FB1CCD" w:rsidRDefault="00FB1CCD" w:rsidP="00FB1CCD">
      <w:pPr>
        <w:pStyle w:val="ListParagraph"/>
        <w:numPr>
          <w:ilvl w:val="0"/>
          <w:numId w:val="42"/>
        </w:numPr>
      </w:pPr>
      <w:r>
        <w:t>Plasma given shall be type specific.</w:t>
      </w:r>
    </w:p>
    <w:p w:rsidR="00FB1CCD" w:rsidRDefault="00FB1CCD" w:rsidP="00FB1CCD"/>
    <w:p w:rsidR="00FB1CCD" w:rsidRPr="00FB1CCD" w:rsidRDefault="008E2433" w:rsidP="00FB1CCD">
      <w:pPr>
        <w:pStyle w:val="ListParagraph"/>
        <w:numPr>
          <w:ilvl w:val="0"/>
          <w:numId w:val="42"/>
        </w:numPr>
      </w:pPr>
      <w:r>
        <w:t xml:space="preserve">Platelets given shall be plasma compatible whenever possible. </w:t>
      </w:r>
    </w:p>
    <w:p w:rsidR="003925E3" w:rsidRDefault="003925E3" w:rsidP="003925E3"/>
    <w:p w:rsidR="000C10FD" w:rsidRDefault="000C10FD" w:rsidP="00A14DB2"/>
    <w:p w:rsidR="00A14DB2" w:rsidRDefault="00A14DB2" w:rsidP="00A14DB2"/>
    <w:p w:rsidR="00A14DB2" w:rsidRPr="00A14DB2" w:rsidRDefault="00A14DB2" w:rsidP="00A14DB2">
      <w:pPr>
        <w:pStyle w:val="ListParagraph"/>
        <w:numPr>
          <w:ilvl w:val="0"/>
          <w:numId w:val="0"/>
        </w:numPr>
        <w:ind w:left="2232"/>
      </w:pPr>
    </w:p>
    <w:p w:rsidR="007F22E9" w:rsidRDefault="00502ACD" w:rsidP="00502ACD">
      <w:pPr>
        <w:ind w:left="360"/>
        <w:rPr>
          <w:b/>
        </w:rPr>
      </w:pPr>
      <w:r>
        <w:rPr>
          <w:b/>
        </w:rPr>
        <w:t>II</w:t>
      </w:r>
      <w:proofErr w:type="gramStart"/>
      <w:r>
        <w:rPr>
          <w:b/>
        </w:rPr>
        <w:t xml:space="preserve">.  </w:t>
      </w:r>
      <w:r w:rsidR="007F22E9" w:rsidRPr="00502ACD">
        <w:rPr>
          <w:b/>
        </w:rPr>
        <w:t>Use</w:t>
      </w:r>
      <w:proofErr w:type="gramEnd"/>
      <w:r w:rsidR="007F22E9" w:rsidRPr="00502ACD">
        <w:rPr>
          <w:b/>
        </w:rPr>
        <w:t xml:space="preserve"> of DTT treated Red Cells for </w:t>
      </w:r>
      <w:r>
        <w:rPr>
          <w:b/>
        </w:rPr>
        <w:t>Patients receiving DARA</w:t>
      </w:r>
    </w:p>
    <w:p w:rsidR="008E2433" w:rsidRDefault="008E2433" w:rsidP="00502ACD">
      <w:pPr>
        <w:ind w:left="360"/>
        <w:rPr>
          <w:b/>
        </w:rPr>
      </w:pPr>
    </w:p>
    <w:p w:rsidR="008E2433" w:rsidRPr="00C54FC5" w:rsidRDefault="008E2433" w:rsidP="008E2433">
      <w:pPr>
        <w:tabs>
          <w:tab w:val="left" w:pos="3345"/>
          <w:tab w:val="right" w:pos="10800"/>
        </w:tabs>
        <w:rPr>
          <w:rFonts w:ascii="Times New Roman" w:hAnsi="Times New Roman"/>
          <w:sz w:val="20"/>
        </w:rPr>
      </w:pPr>
      <w:r w:rsidRPr="00C54FC5">
        <w:rPr>
          <w:rFonts w:ascii="Times New Roman" w:hAnsi="Times New Roman"/>
          <w:sz w:val="20"/>
        </w:rPr>
        <w:t>Chemical Risk Assessment:</w:t>
      </w:r>
      <w:r>
        <w:rPr>
          <w:rFonts w:ascii="Times New Roman" w:hAnsi="Times New Roman"/>
          <w:sz w:val="20"/>
        </w:rPr>
        <w:t xml:space="preserve"> low</w:t>
      </w:r>
    </w:p>
    <w:p w:rsidR="008E2433" w:rsidRPr="00C54FC5" w:rsidRDefault="008E2433" w:rsidP="008E2433">
      <w:pPr>
        <w:tabs>
          <w:tab w:val="left" w:pos="3345"/>
          <w:tab w:val="right" w:pos="10800"/>
        </w:tabs>
        <w:rPr>
          <w:rFonts w:ascii="Times New Roman" w:hAnsi="Times New Roman"/>
          <w:sz w:val="20"/>
        </w:rPr>
      </w:pPr>
      <w:r w:rsidRPr="00C54FC5">
        <w:rPr>
          <w:rFonts w:ascii="Times New Roman" w:hAnsi="Times New Roman"/>
          <w:sz w:val="20"/>
        </w:rPr>
        <w:t>Biological Risk Assessment:</w:t>
      </w:r>
      <w:r>
        <w:rPr>
          <w:rFonts w:ascii="Times New Roman" w:hAnsi="Times New Roman"/>
          <w:sz w:val="20"/>
        </w:rPr>
        <w:t xml:space="preserve"> low</w:t>
      </w:r>
    </w:p>
    <w:p w:rsidR="008E2433" w:rsidRPr="00C54FC5" w:rsidRDefault="008E2433" w:rsidP="008E2433">
      <w:pPr>
        <w:tabs>
          <w:tab w:val="left" w:pos="3345"/>
          <w:tab w:val="right" w:pos="10800"/>
        </w:tabs>
        <w:rPr>
          <w:rFonts w:ascii="Times New Roman" w:hAnsi="Times New Roman"/>
          <w:sz w:val="20"/>
        </w:rPr>
      </w:pPr>
      <w:r w:rsidRPr="00C54FC5">
        <w:rPr>
          <w:rFonts w:ascii="Times New Roman" w:hAnsi="Times New Roman"/>
          <w:sz w:val="20"/>
        </w:rPr>
        <w:t>Protective Equipment: Lab co</w:t>
      </w:r>
      <w:r>
        <w:rPr>
          <w:rFonts w:ascii="Times New Roman" w:hAnsi="Times New Roman"/>
          <w:sz w:val="20"/>
        </w:rPr>
        <w:t>a</w:t>
      </w:r>
      <w:r w:rsidRPr="00C54FC5">
        <w:rPr>
          <w:rFonts w:ascii="Times New Roman" w:hAnsi="Times New Roman"/>
          <w:sz w:val="20"/>
        </w:rPr>
        <w:t xml:space="preserve">t, gloves                                                                                                                                                  </w:t>
      </w:r>
    </w:p>
    <w:p w:rsidR="008E2433" w:rsidRPr="009F7D96" w:rsidRDefault="008E2433" w:rsidP="008E2433">
      <w:pPr>
        <w:autoSpaceDE w:val="0"/>
        <w:autoSpaceDN w:val="0"/>
        <w:adjustRightInd w:val="0"/>
        <w:rPr>
          <w:rFonts w:ascii="Times New Roman" w:hAnsi="Times New Roman"/>
          <w:color w:val="000000"/>
          <w:sz w:val="20"/>
        </w:rPr>
      </w:pPr>
      <w:r>
        <w:rPr>
          <w:rFonts w:ascii="Times New Roman" w:hAnsi="Times New Roman"/>
          <w:color w:val="000000"/>
          <w:sz w:val="20"/>
        </w:rPr>
        <w:t xml:space="preserve">Reagents: DTT treated RBCs, Normal Saline, PEG, Anti-IgG, </w:t>
      </w:r>
      <w:proofErr w:type="gramStart"/>
      <w:r>
        <w:rPr>
          <w:rFonts w:ascii="Times New Roman" w:hAnsi="Times New Roman"/>
          <w:color w:val="000000"/>
          <w:sz w:val="20"/>
        </w:rPr>
        <w:t>Check</w:t>
      </w:r>
      <w:proofErr w:type="gramEnd"/>
      <w:r>
        <w:rPr>
          <w:rFonts w:ascii="Times New Roman" w:hAnsi="Times New Roman"/>
          <w:color w:val="000000"/>
          <w:sz w:val="20"/>
        </w:rPr>
        <w:t xml:space="preserve"> Cells</w:t>
      </w:r>
    </w:p>
    <w:p w:rsidR="008E2433" w:rsidRPr="009F7D96" w:rsidRDefault="008E2433" w:rsidP="008E2433">
      <w:pPr>
        <w:autoSpaceDE w:val="0"/>
        <w:autoSpaceDN w:val="0"/>
        <w:adjustRightInd w:val="0"/>
        <w:rPr>
          <w:rFonts w:ascii="Times New Roman" w:hAnsi="Times New Roman"/>
          <w:color w:val="000000"/>
          <w:sz w:val="20"/>
        </w:rPr>
      </w:pPr>
      <w:r w:rsidRPr="009F7D96">
        <w:rPr>
          <w:rFonts w:ascii="Times New Roman" w:hAnsi="Times New Roman"/>
          <w:color w:val="000000"/>
          <w:sz w:val="20"/>
        </w:rPr>
        <w:t xml:space="preserve">Supplies: </w:t>
      </w:r>
      <w:r>
        <w:rPr>
          <w:rFonts w:ascii="Times New Roman" w:hAnsi="Times New Roman"/>
          <w:color w:val="000000"/>
          <w:sz w:val="20"/>
        </w:rPr>
        <w:t>pipettes, centrifuge, test tubes</w:t>
      </w:r>
    </w:p>
    <w:p w:rsidR="008E2433" w:rsidRPr="009F7D96" w:rsidRDefault="008E2433" w:rsidP="008E2433">
      <w:pPr>
        <w:autoSpaceDE w:val="0"/>
        <w:autoSpaceDN w:val="0"/>
        <w:adjustRightInd w:val="0"/>
        <w:rPr>
          <w:rFonts w:ascii="Times New Roman" w:hAnsi="Times New Roman"/>
          <w:color w:val="000000"/>
          <w:sz w:val="20"/>
        </w:rPr>
      </w:pPr>
      <w:r w:rsidRPr="009F7D96">
        <w:rPr>
          <w:rFonts w:ascii="Times New Roman" w:hAnsi="Times New Roman"/>
          <w:color w:val="000000"/>
          <w:sz w:val="20"/>
        </w:rPr>
        <w:t>Equipment: Light magnifying lamp</w:t>
      </w:r>
    </w:p>
    <w:p w:rsidR="008E2433" w:rsidRPr="009F7D96" w:rsidRDefault="008E2433" w:rsidP="008E2433">
      <w:pPr>
        <w:autoSpaceDE w:val="0"/>
        <w:autoSpaceDN w:val="0"/>
        <w:adjustRightInd w:val="0"/>
        <w:rPr>
          <w:rFonts w:ascii="Times New Roman" w:hAnsi="Times New Roman"/>
          <w:color w:val="000000"/>
          <w:sz w:val="20"/>
        </w:rPr>
      </w:pPr>
      <w:proofErr w:type="spellStart"/>
      <w:r>
        <w:rPr>
          <w:rFonts w:ascii="Times New Roman" w:hAnsi="Times New Roman"/>
          <w:color w:val="000000"/>
          <w:sz w:val="20"/>
        </w:rPr>
        <w:t>S</w:t>
      </w:r>
      <w:r w:rsidRPr="009F7D96">
        <w:rPr>
          <w:rFonts w:ascii="Times New Roman" w:hAnsi="Times New Roman"/>
          <w:color w:val="000000"/>
          <w:sz w:val="20"/>
        </w:rPr>
        <w:t>erofuge</w:t>
      </w:r>
      <w:proofErr w:type="spellEnd"/>
      <w:r w:rsidRPr="009F7D96">
        <w:rPr>
          <w:rFonts w:ascii="Times New Roman" w:hAnsi="Times New Roman"/>
          <w:color w:val="000000"/>
          <w:sz w:val="20"/>
        </w:rPr>
        <w:t xml:space="preserve"> or CW</w:t>
      </w:r>
      <w:r>
        <w:rPr>
          <w:rFonts w:ascii="Times New Roman" w:hAnsi="Times New Roman"/>
          <w:color w:val="000000"/>
          <w:sz w:val="20"/>
        </w:rPr>
        <w:t>3</w:t>
      </w:r>
      <w:r w:rsidRPr="009F7D96">
        <w:rPr>
          <w:rFonts w:ascii="Times New Roman" w:hAnsi="Times New Roman"/>
          <w:color w:val="000000"/>
          <w:sz w:val="20"/>
        </w:rPr>
        <w:t xml:space="preserve"> centrifuge</w:t>
      </w:r>
    </w:p>
    <w:p w:rsidR="008E2433" w:rsidRPr="009F7D96" w:rsidRDefault="008E2433" w:rsidP="008E2433">
      <w:pPr>
        <w:autoSpaceDE w:val="0"/>
        <w:autoSpaceDN w:val="0"/>
        <w:adjustRightInd w:val="0"/>
        <w:rPr>
          <w:rFonts w:ascii="Times New Roman" w:hAnsi="Times New Roman"/>
          <w:color w:val="000000"/>
          <w:sz w:val="20"/>
        </w:rPr>
      </w:pPr>
      <w:r w:rsidRPr="009F7D96">
        <w:rPr>
          <w:rFonts w:ascii="Times New Roman" w:hAnsi="Times New Roman"/>
          <w:color w:val="000000"/>
          <w:sz w:val="20"/>
        </w:rPr>
        <w:t xml:space="preserve">Specimen Requirements: </w:t>
      </w:r>
      <w:r w:rsidR="00A21A6D">
        <w:rPr>
          <w:rFonts w:ascii="Times New Roman" w:hAnsi="Times New Roman"/>
          <w:color w:val="000000"/>
          <w:sz w:val="20"/>
        </w:rPr>
        <w:t>Patient Plasma</w:t>
      </w:r>
    </w:p>
    <w:p w:rsidR="007F22E9" w:rsidRPr="007F22E9" w:rsidRDefault="007F22E9" w:rsidP="007F22E9"/>
    <w:tbl>
      <w:tblPr>
        <w:tblStyle w:val="TableGrid"/>
        <w:tblW w:w="10165" w:type="dxa"/>
        <w:tblLayout w:type="fixed"/>
        <w:tblLook w:val="04A0" w:firstRow="1" w:lastRow="0" w:firstColumn="1" w:lastColumn="0" w:noHBand="0" w:noVBand="1"/>
      </w:tblPr>
      <w:tblGrid>
        <w:gridCol w:w="918"/>
        <w:gridCol w:w="7987"/>
        <w:gridCol w:w="1260"/>
      </w:tblGrid>
      <w:tr w:rsidR="0032377D" w:rsidRPr="0032377D" w:rsidTr="0032377D">
        <w:trPr>
          <w:tblHeader/>
        </w:trPr>
        <w:tc>
          <w:tcPr>
            <w:tcW w:w="918" w:type="dxa"/>
            <w:shd w:val="clear" w:color="auto" w:fill="BFBFBF" w:themeFill="background1" w:themeFillShade="BF"/>
          </w:tcPr>
          <w:p w:rsidR="0032377D" w:rsidRPr="0032377D" w:rsidRDefault="0032377D" w:rsidP="0032377D">
            <w:pPr>
              <w:rPr>
                <w:b/>
              </w:rPr>
            </w:pPr>
            <w:r w:rsidRPr="0032377D">
              <w:rPr>
                <w:b/>
                <w:sz w:val="20"/>
              </w:rPr>
              <w:t>STEPS</w:t>
            </w:r>
          </w:p>
        </w:tc>
        <w:tc>
          <w:tcPr>
            <w:tcW w:w="7987" w:type="dxa"/>
            <w:shd w:val="clear" w:color="auto" w:fill="BFBFBF" w:themeFill="background1" w:themeFillShade="BF"/>
          </w:tcPr>
          <w:p w:rsidR="0032377D" w:rsidRPr="0032377D" w:rsidRDefault="0032377D" w:rsidP="0032377D">
            <w:pPr>
              <w:rPr>
                <w:b/>
              </w:rPr>
            </w:pPr>
            <w:r w:rsidRPr="0032377D">
              <w:rPr>
                <w:b/>
              </w:rPr>
              <w:t>INSTRUCTIONS</w:t>
            </w:r>
          </w:p>
        </w:tc>
        <w:tc>
          <w:tcPr>
            <w:tcW w:w="1260" w:type="dxa"/>
            <w:shd w:val="clear" w:color="auto" w:fill="BFBFBF" w:themeFill="background1" w:themeFillShade="BF"/>
          </w:tcPr>
          <w:p w:rsidR="0032377D" w:rsidRPr="0032377D" w:rsidRDefault="0032377D" w:rsidP="0032377D">
            <w:pPr>
              <w:rPr>
                <w:b/>
                <w:sz w:val="18"/>
              </w:rPr>
            </w:pPr>
            <w:r w:rsidRPr="0032377D">
              <w:rPr>
                <w:b/>
                <w:sz w:val="18"/>
              </w:rPr>
              <w:t xml:space="preserve">CHANGE / </w:t>
            </w:r>
          </w:p>
          <w:p w:rsidR="0032377D" w:rsidRPr="0032377D" w:rsidRDefault="0032377D" w:rsidP="0032377D">
            <w:pPr>
              <w:rPr>
                <w:b/>
              </w:rPr>
            </w:pPr>
            <w:r w:rsidRPr="0032377D">
              <w:rPr>
                <w:b/>
                <w:sz w:val="18"/>
              </w:rPr>
              <w:t>APPROVAL</w:t>
            </w:r>
          </w:p>
        </w:tc>
      </w:tr>
      <w:tr w:rsidR="0032377D" w:rsidRPr="0032377D" w:rsidTr="0032377D">
        <w:tc>
          <w:tcPr>
            <w:tcW w:w="918" w:type="dxa"/>
          </w:tcPr>
          <w:p w:rsidR="0032377D" w:rsidRPr="0032377D" w:rsidRDefault="0032377D" w:rsidP="0032377D">
            <w:pPr>
              <w:rPr>
                <w:b/>
              </w:rPr>
            </w:pPr>
            <w:r w:rsidRPr="0032377D">
              <w:rPr>
                <w:b/>
              </w:rPr>
              <w:t>1.0</w:t>
            </w:r>
          </w:p>
        </w:tc>
        <w:tc>
          <w:tcPr>
            <w:tcW w:w="7987" w:type="dxa"/>
          </w:tcPr>
          <w:p w:rsidR="0032377D" w:rsidRPr="0032377D" w:rsidRDefault="0032377D" w:rsidP="0032377D">
            <w:pPr>
              <w:rPr>
                <w:b/>
              </w:rPr>
            </w:pPr>
            <w:r w:rsidRPr="0032377D">
              <w:rPr>
                <w:b/>
              </w:rPr>
              <w:t>Test on each day of use the 1ml aliquots:</w:t>
            </w:r>
          </w:p>
          <w:p w:rsidR="0032377D" w:rsidRPr="0032377D" w:rsidRDefault="0032377D" w:rsidP="0032377D">
            <w:pPr>
              <w:rPr>
                <w:b/>
              </w:rPr>
            </w:pPr>
          </w:p>
          <w:p w:rsidR="004553E8" w:rsidRDefault="0032377D" w:rsidP="004553E8">
            <w:pPr>
              <w:pStyle w:val="ListParagraph"/>
              <w:numPr>
                <w:ilvl w:val="1"/>
                <w:numId w:val="31"/>
              </w:numPr>
            </w:pPr>
            <w:r w:rsidRPr="0032377D">
              <w:t>Test the controls (</w:t>
            </w:r>
            <w:r w:rsidR="004553E8">
              <w:t>Anti-</w:t>
            </w:r>
            <w:r w:rsidRPr="0032377D">
              <w:t xml:space="preserve">K+DTT treated </w:t>
            </w:r>
            <w:r w:rsidR="004553E8">
              <w:t>cells positive for K antigen and anti-</w:t>
            </w:r>
            <w:r w:rsidRPr="0032377D">
              <w:t xml:space="preserve"> </w:t>
            </w:r>
          </w:p>
          <w:p w:rsidR="0032377D" w:rsidRDefault="0032377D" w:rsidP="004553E8">
            <w:pPr>
              <w:pStyle w:val="ListParagraph"/>
              <w:numPr>
                <w:ilvl w:val="0"/>
                <w:numId w:val="0"/>
              </w:numPr>
              <w:ind w:left="360"/>
            </w:pPr>
            <w:r w:rsidRPr="0032377D">
              <w:t>E+DTT treated cell</w:t>
            </w:r>
            <w:r w:rsidR="004553E8">
              <w:t xml:space="preserve"> positive for E antigen</w:t>
            </w:r>
            <w:r w:rsidRPr="0032377D">
              <w:t>).</w:t>
            </w:r>
          </w:p>
          <w:p w:rsidR="00BA18E0" w:rsidRPr="00BA18E0" w:rsidRDefault="00BA18E0" w:rsidP="00BA18E0"/>
          <w:p w:rsidR="0032377D" w:rsidRDefault="0032377D" w:rsidP="00BA18E0">
            <w:pPr>
              <w:pStyle w:val="ListParagraph"/>
              <w:numPr>
                <w:ilvl w:val="1"/>
                <w:numId w:val="31"/>
              </w:numPr>
            </w:pPr>
            <w:r w:rsidRPr="0032377D">
              <w:t>Refer to Steps 8-9 in Section I</w:t>
            </w:r>
            <w:r w:rsidR="00A21A6D">
              <w:t xml:space="preserve"> of BB-SOP-0115</w:t>
            </w:r>
            <w:r w:rsidRPr="0032377D">
              <w:t>.</w:t>
            </w:r>
          </w:p>
          <w:p w:rsidR="00BA18E0" w:rsidRPr="0032377D" w:rsidRDefault="00BA18E0" w:rsidP="00BA18E0">
            <w:pPr>
              <w:pStyle w:val="ListParagraph"/>
              <w:numPr>
                <w:ilvl w:val="0"/>
                <w:numId w:val="0"/>
              </w:numPr>
              <w:ind w:left="360"/>
            </w:pPr>
          </w:p>
          <w:p w:rsidR="004553E8" w:rsidRDefault="0032377D" w:rsidP="0032377D">
            <w:pPr>
              <w:rPr>
                <w:color w:val="FF0000"/>
              </w:rPr>
            </w:pPr>
            <w:r w:rsidRPr="0032377D">
              <w:rPr>
                <w:color w:val="FF0000"/>
              </w:rPr>
              <w:t xml:space="preserve">1.3 Place 2 drops of the DTT treated cells in a properly labeled test tube and </w:t>
            </w:r>
          </w:p>
          <w:p w:rsidR="0032377D" w:rsidRDefault="004553E8" w:rsidP="0032377D">
            <w:pPr>
              <w:rPr>
                <w:color w:val="FF0000"/>
              </w:rPr>
            </w:pPr>
            <w:r>
              <w:rPr>
                <w:color w:val="FF0000"/>
              </w:rPr>
              <w:t xml:space="preserve">      </w:t>
            </w:r>
            <w:proofErr w:type="gramStart"/>
            <w:r w:rsidR="0032377D" w:rsidRPr="0032377D">
              <w:rPr>
                <w:color w:val="FF0000"/>
              </w:rPr>
              <w:t>wash</w:t>
            </w:r>
            <w:proofErr w:type="gramEnd"/>
            <w:r w:rsidR="0032377D" w:rsidRPr="0032377D">
              <w:rPr>
                <w:color w:val="FF0000"/>
              </w:rPr>
              <w:t xml:space="preserve"> one (1) time prior to adding patient specimen or control sera.</w:t>
            </w:r>
          </w:p>
          <w:p w:rsidR="00BA18E0" w:rsidRPr="0032377D" w:rsidRDefault="00BA18E0" w:rsidP="0032377D">
            <w:pPr>
              <w:rPr>
                <w:color w:val="FF0000"/>
              </w:rPr>
            </w:pPr>
          </w:p>
          <w:p w:rsidR="004553E8" w:rsidRDefault="0032377D" w:rsidP="004553E8">
            <w:pPr>
              <w:pStyle w:val="ListParagraph"/>
              <w:numPr>
                <w:ilvl w:val="1"/>
                <w:numId w:val="27"/>
              </w:numPr>
            </w:pPr>
            <w:r w:rsidRPr="0032377D">
              <w:t xml:space="preserve">Note: To save time and if adequate patient sample, patient specimen </w:t>
            </w:r>
          </w:p>
          <w:p w:rsidR="0032377D" w:rsidRPr="0032377D" w:rsidRDefault="0032377D" w:rsidP="004553E8">
            <w:pPr>
              <w:pStyle w:val="ListParagraph"/>
              <w:numPr>
                <w:ilvl w:val="0"/>
                <w:numId w:val="0"/>
              </w:numPr>
              <w:ind w:left="360"/>
            </w:pPr>
            <w:proofErr w:type="gramStart"/>
            <w:r w:rsidRPr="0032377D">
              <w:t>testing</w:t>
            </w:r>
            <w:proofErr w:type="gramEnd"/>
            <w:r w:rsidRPr="0032377D">
              <w:t xml:space="preserve"> may be set up while controls are being tested.</w:t>
            </w:r>
          </w:p>
          <w:p w:rsidR="0032377D" w:rsidRPr="0032377D" w:rsidRDefault="0032377D" w:rsidP="0032377D">
            <w:pPr>
              <w:rPr>
                <w:b/>
              </w:rPr>
            </w:pPr>
          </w:p>
        </w:tc>
        <w:tc>
          <w:tcPr>
            <w:tcW w:w="1260" w:type="dxa"/>
          </w:tcPr>
          <w:p w:rsidR="0032377D" w:rsidRPr="0032377D" w:rsidRDefault="0032377D" w:rsidP="0032377D">
            <w:pPr>
              <w:rPr>
                <w:b/>
              </w:rPr>
            </w:pPr>
          </w:p>
        </w:tc>
      </w:tr>
      <w:tr w:rsidR="0032377D" w:rsidRPr="0032377D" w:rsidTr="0032377D">
        <w:tc>
          <w:tcPr>
            <w:tcW w:w="918" w:type="dxa"/>
          </w:tcPr>
          <w:p w:rsidR="0032377D" w:rsidRPr="0032377D" w:rsidRDefault="0032377D" w:rsidP="0032377D">
            <w:pPr>
              <w:rPr>
                <w:b/>
              </w:rPr>
            </w:pPr>
            <w:r w:rsidRPr="0032377D">
              <w:rPr>
                <w:b/>
              </w:rPr>
              <w:t>2.0</w:t>
            </w:r>
          </w:p>
        </w:tc>
        <w:tc>
          <w:tcPr>
            <w:tcW w:w="7987" w:type="dxa"/>
          </w:tcPr>
          <w:p w:rsidR="0032377D" w:rsidRPr="0032377D" w:rsidRDefault="0032377D" w:rsidP="0032377D">
            <w:pPr>
              <w:rPr>
                <w:b/>
              </w:rPr>
            </w:pPr>
            <w:r w:rsidRPr="0032377D">
              <w:rPr>
                <w:b/>
              </w:rPr>
              <w:t>Proceed to testing of patient specimen.</w:t>
            </w:r>
          </w:p>
          <w:p w:rsidR="0032377D" w:rsidRDefault="0032377D" w:rsidP="0032377D">
            <w:pPr>
              <w:rPr>
                <w:b/>
              </w:rPr>
            </w:pPr>
          </w:p>
          <w:p w:rsidR="004553E8" w:rsidRPr="0032377D" w:rsidRDefault="004553E8" w:rsidP="004553E8">
            <w:pPr>
              <w:ind w:left="406" w:hanging="406"/>
            </w:pPr>
            <w:r>
              <w:t xml:space="preserve">2.1 </w:t>
            </w:r>
            <w:r w:rsidR="00281797">
              <w:t>Perform ABO/RH and antibody screen</w:t>
            </w:r>
            <w:r w:rsidR="00BA18E0">
              <w:t xml:space="preserve">. Obtain Genotype if not already done. </w:t>
            </w:r>
          </w:p>
          <w:p w:rsidR="00A21A6D" w:rsidRPr="00BA18E0" w:rsidRDefault="004553E8" w:rsidP="004553E8">
            <w:pPr>
              <w:rPr>
                <w:i/>
                <w:color w:val="00B0F0"/>
              </w:rPr>
            </w:pPr>
            <w:r>
              <w:t xml:space="preserve">      </w:t>
            </w:r>
            <w:r w:rsidRPr="00BA18E0">
              <w:rPr>
                <w:i/>
                <w:color w:val="00B0F0"/>
              </w:rPr>
              <w:t xml:space="preserve">Refer to </w:t>
            </w:r>
            <w:r w:rsidR="00A21A6D">
              <w:rPr>
                <w:i/>
                <w:color w:val="00B0F0"/>
              </w:rPr>
              <w:t>BB-SOP-0003, BB-SOP-0004, BB-SOP-0006, BB-SOP-0105</w:t>
            </w:r>
          </w:p>
          <w:p w:rsidR="004553E8" w:rsidRDefault="004553E8" w:rsidP="004553E8">
            <w:pPr>
              <w:ind w:left="360" w:hanging="360"/>
            </w:pPr>
          </w:p>
          <w:p w:rsidR="004553E8" w:rsidRDefault="004553E8" w:rsidP="00BA18E0">
            <w:pPr>
              <w:pStyle w:val="ListParagraph"/>
              <w:numPr>
                <w:ilvl w:val="1"/>
                <w:numId w:val="32"/>
              </w:numPr>
              <w:ind w:left="720"/>
            </w:pPr>
            <w:r w:rsidRPr="0077370D">
              <w:t>If PEG screen</w:t>
            </w:r>
            <w:r>
              <w:t xml:space="preserve"> is negative, STOP</w:t>
            </w:r>
            <w:r w:rsidRPr="0077370D">
              <w:t>.</w:t>
            </w:r>
          </w:p>
          <w:p w:rsidR="004553E8" w:rsidRPr="0077370D" w:rsidRDefault="004553E8" w:rsidP="00BA18E0"/>
          <w:p w:rsidR="004553E8" w:rsidRDefault="004553E8" w:rsidP="00BA18E0">
            <w:pPr>
              <w:pStyle w:val="ListParagraph"/>
              <w:numPr>
                <w:ilvl w:val="1"/>
                <w:numId w:val="32"/>
              </w:numPr>
              <w:ind w:left="720"/>
            </w:pPr>
            <w:r>
              <w:t xml:space="preserve">If PEG screen is positive and showing specificity perform a panel to identify antibody and DAT profile. </w:t>
            </w:r>
          </w:p>
          <w:p w:rsidR="004553E8" w:rsidRPr="00BA18E0" w:rsidRDefault="004553E8" w:rsidP="00BA18E0">
            <w:pPr>
              <w:ind w:left="586" w:hanging="1306"/>
              <w:rPr>
                <w:i/>
                <w:color w:val="00B0F0"/>
              </w:rPr>
            </w:pPr>
            <w:r>
              <w:t xml:space="preserve">                     </w:t>
            </w:r>
            <w:r w:rsidR="00BA18E0">
              <w:t xml:space="preserve">   </w:t>
            </w:r>
            <w:r w:rsidRPr="00BA18E0">
              <w:rPr>
                <w:i/>
                <w:color w:val="00B0F0"/>
              </w:rPr>
              <w:t xml:space="preserve">Refer to </w:t>
            </w:r>
            <w:r w:rsidR="00735D1F">
              <w:rPr>
                <w:i/>
                <w:color w:val="00B0F0"/>
              </w:rPr>
              <w:t>BB-SOP-0067</w:t>
            </w:r>
          </w:p>
          <w:p w:rsidR="004553E8" w:rsidRPr="00BA18E0" w:rsidRDefault="004553E8" w:rsidP="00BA18E0">
            <w:pPr>
              <w:rPr>
                <w:i/>
                <w:color w:val="00B0F0"/>
              </w:rPr>
            </w:pPr>
            <w:r w:rsidRPr="00BA18E0">
              <w:rPr>
                <w:i/>
                <w:color w:val="00B0F0"/>
              </w:rPr>
              <w:t xml:space="preserve"> </w:t>
            </w:r>
            <w:r w:rsidR="00BA18E0" w:rsidRPr="00BA18E0">
              <w:rPr>
                <w:i/>
                <w:color w:val="00B0F0"/>
              </w:rPr>
              <w:t xml:space="preserve">           </w:t>
            </w:r>
            <w:r w:rsidRPr="00BA18E0">
              <w:rPr>
                <w:i/>
                <w:color w:val="00B0F0"/>
              </w:rPr>
              <w:t xml:space="preserve">Refer to </w:t>
            </w:r>
            <w:r w:rsidR="00735D1F">
              <w:rPr>
                <w:i/>
                <w:color w:val="00B0F0"/>
              </w:rPr>
              <w:t>BB-SOP-0064</w:t>
            </w:r>
          </w:p>
          <w:p w:rsidR="004553E8" w:rsidRDefault="004553E8" w:rsidP="00BA18E0">
            <w:pPr>
              <w:pStyle w:val="ListParagraph"/>
              <w:numPr>
                <w:ilvl w:val="0"/>
                <w:numId w:val="0"/>
              </w:numPr>
              <w:ind w:left="316"/>
            </w:pPr>
          </w:p>
          <w:p w:rsidR="004553E8" w:rsidRDefault="004553E8" w:rsidP="00BA18E0">
            <w:pPr>
              <w:pStyle w:val="ListParagraph"/>
              <w:numPr>
                <w:ilvl w:val="1"/>
                <w:numId w:val="32"/>
              </w:numPr>
              <w:ind w:left="720"/>
            </w:pPr>
            <w:r>
              <w:t xml:space="preserve">If PEG screen is positive with all cells repeat PEG screen with DTT treated screening cells and perform a Gel DAT. </w:t>
            </w:r>
          </w:p>
          <w:p w:rsidR="00BA18E0" w:rsidRPr="00BA18E0" w:rsidRDefault="00BA18E0" w:rsidP="00BA18E0"/>
          <w:p w:rsidR="00BA18E0" w:rsidRPr="00BA18E0" w:rsidRDefault="004553E8" w:rsidP="008E2433">
            <w:pPr>
              <w:pStyle w:val="ListParagraph"/>
              <w:numPr>
                <w:ilvl w:val="1"/>
                <w:numId w:val="32"/>
              </w:numPr>
            </w:pPr>
            <w:r>
              <w:t xml:space="preserve">If DTT treated screening cells are negative and Gel DAT is negative perform AHG crossmatch with untreated red blood cells. </w:t>
            </w:r>
          </w:p>
          <w:p w:rsidR="004553E8" w:rsidRDefault="004553E8" w:rsidP="00BA18E0">
            <w:pPr>
              <w:pStyle w:val="ListParagraph"/>
              <w:numPr>
                <w:ilvl w:val="1"/>
                <w:numId w:val="32"/>
              </w:numPr>
            </w:pPr>
            <w:r>
              <w:t>If DTT treated screening cells are positive Refer to step 3.0</w:t>
            </w:r>
          </w:p>
          <w:p w:rsidR="007B50C8" w:rsidRDefault="004553E8" w:rsidP="00BA18E0">
            <w:pPr>
              <w:pStyle w:val="ListParagraph"/>
              <w:numPr>
                <w:ilvl w:val="1"/>
                <w:numId w:val="32"/>
              </w:numPr>
            </w:pPr>
            <w:r>
              <w:t>If DAT is positive Refer to step 4.0</w:t>
            </w:r>
          </w:p>
          <w:p w:rsidR="00AD119C" w:rsidRPr="00AD119C" w:rsidRDefault="00AD119C" w:rsidP="00AD119C"/>
          <w:p w:rsidR="00AD119C" w:rsidRPr="00AD119C" w:rsidRDefault="00AD119C" w:rsidP="00AD119C">
            <w:pPr>
              <w:pStyle w:val="ListParagraph"/>
              <w:numPr>
                <w:ilvl w:val="0"/>
                <w:numId w:val="32"/>
              </w:numPr>
              <w:rPr>
                <w:b/>
                <w:color w:val="FF0000"/>
              </w:rPr>
            </w:pPr>
            <w:r w:rsidRPr="00AD119C">
              <w:rPr>
                <w:b/>
                <w:color w:val="FF0000"/>
              </w:rPr>
              <w:t xml:space="preserve">Antibody Identification may be resulted as DARA if reactivity </w:t>
            </w:r>
          </w:p>
          <w:p w:rsidR="00AD119C" w:rsidRDefault="00AD119C" w:rsidP="00AD119C">
            <w:pPr>
              <w:pStyle w:val="ListParagraph"/>
              <w:numPr>
                <w:ilvl w:val="0"/>
                <w:numId w:val="0"/>
              </w:numPr>
              <w:ind w:left="720"/>
              <w:rPr>
                <w:b/>
                <w:color w:val="FF0000"/>
              </w:rPr>
            </w:pPr>
            <w:r w:rsidRPr="00AD119C">
              <w:rPr>
                <w:b/>
                <w:color w:val="FF0000"/>
              </w:rPr>
              <w:t xml:space="preserve">disappears when tested with DTT treated cells. </w:t>
            </w:r>
          </w:p>
          <w:p w:rsidR="00BA18E0" w:rsidRPr="00BA18E0" w:rsidRDefault="00BA18E0" w:rsidP="00BA18E0"/>
          <w:p w:rsidR="00AD119C" w:rsidRPr="0032377D" w:rsidRDefault="00AD119C" w:rsidP="00AD119C">
            <w:pPr>
              <w:pStyle w:val="ListParagraph"/>
              <w:numPr>
                <w:ilvl w:val="0"/>
                <w:numId w:val="32"/>
              </w:numPr>
              <w:rPr>
                <w:b/>
                <w:color w:val="FF0000"/>
              </w:rPr>
            </w:pPr>
            <w:r w:rsidRPr="0032377D">
              <w:rPr>
                <w:b/>
                <w:color w:val="FF0000"/>
              </w:rPr>
              <w:t xml:space="preserve">Select K negative units if patient is Kell negative and requires red cell </w:t>
            </w:r>
            <w:r>
              <w:rPr>
                <w:b/>
                <w:color w:val="FF0000"/>
              </w:rPr>
              <w:t>t</w:t>
            </w:r>
            <w:r w:rsidRPr="0032377D">
              <w:rPr>
                <w:b/>
                <w:color w:val="FF0000"/>
              </w:rPr>
              <w:t xml:space="preserve">ransfusions since DTT destroys Kell antigens. </w:t>
            </w:r>
          </w:p>
          <w:p w:rsidR="00AD119C" w:rsidRPr="00AD119C" w:rsidRDefault="00AD119C" w:rsidP="00AD119C">
            <w:pPr>
              <w:pStyle w:val="ListParagraph"/>
              <w:numPr>
                <w:ilvl w:val="0"/>
                <w:numId w:val="0"/>
              </w:numPr>
              <w:ind w:left="720"/>
            </w:pPr>
          </w:p>
          <w:p w:rsidR="00AD119C" w:rsidRPr="00AD119C" w:rsidRDefault="00AD119C" w:rsidP="00AD119C">
            <w:pPr>
              <w:ind w:left="360" w:hanging="360"/>
            </w:pPr>
          </w:p>
          <w:p w:rsidR="0032377D" w:rsidRDefault="0032377D" w:rsidP="0032377D">
            <w:r w:rsidRPr="0032377D">
              <w:t>NOTE: Refer to step 1.3 above.  DTT treated cells should be washed once prior to addition</w:t>
            </w:r>
            <w:r>
              <w:t xml:space="preserve"> </w:t>
            </w:r>
            <w:r w:rsidRPr="0032377D">
              <w:t>of specimen.</w:t>
            </w:r>
          </w:p>
          <w:p w:rsidR="00E837AC" w:rsidRPr="0032377D" w:rsidRDefault="00E837AC" w:rsidP="0032377D"/>
          <w:p w:rsidR="0032377D" w:rsidRPr="0032377D" w:rsidRDefault="0032377D" w:rsidP="0032377D">
            <w:pPr>
              <w:rPr>
                <w:b/>
              </w:rPr>
            </w:pPr>
          </w:p>
        </w:tc>
        <w:tc>
          <w:tcPr>
            <w:tcW w:w="1260" w:type="dxa"/>
          </w:tcPr>
          <w:p w:rsidR="0032377D" w:rsidRPr="0032377D" w:rsidRDefault="0032377D" w:rsidP="0032377D">
            <w:pPr>
              <w:rPr>
                <w:b/>
              </w:rPr>
            </w:pPr>
          </w:p>
        </w:tc>
      </w:tr>
      <w:tr w:rsidR="0032377D" w:rsidRPr="0032377D" w:rsidTr="0032377D">
        <w:tc>
          <w:tcPr>
            <w:tcW w:w="918" w:type="dxa"/>
          </w:tcPr>
          <w:p w:rsidR="0032377D" w:rsidRPr="0032377D" w:rsidRDefault="0032377D" w:rsidP="0032377D">
            <w:pPr>
              <w:rPr>
                <w:b/>
              </w:rPr>
            </w:pPr>
            <w:r w:rsidRPr="0032377D">
              <w:rPr>
                <w:b/>
              </w:rPr>
              <w:t>3.0</w:t>
            </w:r>
          </w:p>
        </w:tc>
        <w:tc>
          <w:tcPr>
            <w:tcW w:w="7987" w:type="dxa"/>
          </w:tcPr>
          <w:p w:rsidR="007B50C8" w:rsidRPr="00513C6C" w:rsidRDefault="007B50C8" w:rsidP="007B50C8">
            <w:pPr>
              <w:rPr>
                <w:b/>
              </w:rPr>
            </w:pPr>
            <w:r w:rsidRPr="00513C6C">
              <w:rPr>
                <w:b/>
              </w:rPr>
              <w:t xml:space="preserve">DTT treat panel </w:t>
            </w:r>
            <w:r>
              <w:rPr>
                <w:b/>
              </w:rPr>
              <w:t>cells and test plasma</w:t>
            </w:r>
            <w:r w:rsidRPr="00513C6C">
              <w:rPr>
                <w:b/>
              </w:rPr>
              <w:t xml:space="preserve"> in parallel with treated and </w:t>
            </w:r>
            <w:r>
              <w:rPr>
                <w:b/>
              </w:rPr>
              <w:t>u</w:t>
            </w:r>
            <w:r w:rsidRPr="00513C6C">
              <w:rPr>
                <w:b/>
              </w:rPr>
              <w:t>ntreated panel.</w:t>
            </w:r>
          </w:p>
          <w:p w:rsidR="007B50C8" w:rsidRDefault="007B50C8" w:rsidP="007B50C8"/>
          <w:p w:rsidR="007B50C8" w:rsidRDefault="007B50C8" w:rsidP="007B50C8">
            <w:pPr>
              <w:pStyle w:val="ListParagraph"/>
              <w:numPr>
                <w:ilvl w:val="1"/>
                <w:numId w:val="18"/>
              </w:numPr>
              <w:ind w:left="766"/>
            </w:pPr>
            <w:r>
              <w:t>If PEG panel is positive and showing specificity identify the antibody and provide antigen negative units if indicated. (Give Kell negative RBCs if patient is Kell negative).</w:t>
            </w:r>
          </w:p>
          <w:p w:rsidR="007E7732" w:rsidRPr="007E7732" w:rsidRDefault="007E7732" w:rsidP="007E7732"/>
          <w:p w:rsidR="007B50C8" w:rsidRDefault="007B50C8" w:rsidP="007B50C8">
            <w:pPr>
              <w:pStyle w:val="ListParagraph"/>
              <w:numPr>
                <w:ilvl w:val="0"/>
                <w:numId w:val="34"/>
              </w:numPr>
            </w:pPr>
            <w:r>
              <w:t>AHG crossmatch with untreated red blood cells.</w:t>
            </w:r>
          </w:p>
          <w:p w:rsidR="007B50C8" w:rsidRPr="00D0119E" w:rsidRDefault="007B50C8" w:rsidP="007B50C8"/>
          <w:p w:rsidR="007B50C8" w:rsidRDefault="007B50C8" w:rsidP="007B50C8">
            <w:pPr>
              <w:pStyle w:val="ListParagraph"/>
              <w:numPr>
                <w:ilvl w:val="1"/>
                <w:numId w:val="18"/>
              </w:numPr>
              <w:ind w:left="720"/>
            </w:pPr>
            <w:r>
              <w:t>If PEG panel is positive with all cells this could indicate a possible autoantibody.</w:t>
            </w:r>
          </w:p>
          <w:p w:rsidR="007E7732" w:rsidRPr="007E7732" w:rsidRDefault="007E7732" w:rsidP="007E7732"/>
          <w:p w:rsidR="007B50C8" w:rsidRDefault="007B50C8" w:rsidP="007B50C8">
            <w:pPr>
              <w:pStyle w:val="ListParagraph"/>
              <w:numPr>
                <w:ilvl w:val="1"/>
                <w:numId w:val="22"/>
              </w:numPr>
            </w:pPr>
            <w:r>
              <w:t>Phenotype patient cells and adsorb plasma and test with DTT treated cells.</w:t>
            </w:r>
          </w:p>
          <w:p w:rsidR="007E7732" w:rsidRPr="007E7732" w:rsidRDefault="007E7732" w:rsidP="007E7732"/>
          <w:p w:rsidR="007B50C8" w:rsidRDefault="007B50C8" w:rsidP="007B50C8">
            <w:pPr>
              <w:pStyle w:val="ListParagraph"/>
              <w:numPr>
                <w:ilvl w:val="1"/>
                <w:numId w:val="22"/>
              </w:numPr>
            </w:pPr>
            <w:r>
              <w:t>AHG crossmatch with untreated and DTT treated donor unit red blood cells.</w:t>
            </w:r>
          </w:p>
          <w:p w:rsidR="007E7732" w:rsidRPr="007E7732" w:rsidRDefault="007E7732" w:rsidP="007E7732"/>
          <w:p w:rsidR="0032377D" w:rsidRDefault="007B50C8" w:rsidP="00AD119C">
            <w:pPr>
              <w:pStyle w:val="ListParagraph"/>
              <w:numPr>
                <w:ilvl w:val="0"/>
                <w:numId w:val="35"/>
              </w:numPr>
            </w:pPr>
            <w:r>
              <w:t>Report untreated donor unit results and issue with Emergency Release.</w:t>
            </w:r>
          </w:p>
          <w:p w:rsidR="007E7732" w:rsidRPr="007E7732" w:rsidRDefault="007E7732" w:rsidP="007E7732"/>
        </w:tc>
        <w:tc>
          <w:tcPr>
            <w:tcW w:w="1260" w:type="dxa"/>
          </w:tcPr>
          <w:p w:rsidR="0032377D" w:rsidRPr="0032377D" w:rsidRDefault="0032377D" w:rsidP="0032377D">
            <w:pPr>
              <w:rPr>
                <w:b/>
              </w:rPr>
            </w:pPr>
          </w:p>
        </w:tc>
      </w:tr>
      <w:tr w:rsidR="0032377D" w:rsidRPr="0032377D" w:rsidTr="0032377D">
        <w:tc>
          <w:tcPr>
            <w:tcW w:w="918" w:type="dxa"/>
          </w:tcPr>
          <w:p w:rsidR="0032377D" w:rsidRPr="0032377D" w:rsidRDefault="0032377D" w:rsidP="0032377D">
            <w:pPr>
              <w:rPr>
                <w:b/>
              </w:rPr>
            </w:pPr>
            <w:r w:rsidRPr="0032377D">
              <w:rPr>
                <w:b/>
              </w:rPr>
              <w:t>4.0</w:t>
            </w:r>
          </w:p>
        </w:tc>
        <w:tc>
          <w:tcPr>
            <w:tcW w:w="7987" w:type="dxa"/>
          </w:tcPr>
          <w:p w:rsidR="00AD119C" w:rsidRDefault="00AD119C" w:rsidP="00AD119C">
            <w:pPr>
              <w:rPr>
                <w:b/>
              </w:rPr>
            </w:pPr>
            <w:r>
              <w:rPr>
                <w:b/>
              </w:rPr>
              <w:t>DTT treat patient cells and repeat gel DAT.</w:t>
            </w:r>
          </w:p>
          <w:p w:rsidR="00AD119C" w:rsidRPr="00735D1F" w:rsidRDefault="00735D1F" w:rsidP="00AD119C">
            <w:pPr>
              <w:rPr>
                <w:i/>
                <w:color w:val="00B0F0"/>
              </w:rPr>
            </w:pPr>
            <w:r w:rsidRPr="00735D1F">
              <w:rPr>
                <w:i/>
                <w:color w:val="00B0F0"/>
              </w:rPr>
              <w:t>Refer to BB-SOP-0064</w:t>
            </w:r>
          </w:p>
          <w:p w:rsidR="00AD119C" w:rsidRDefault="00AD119C" w:rsidP="00AD119C"/>
          <w:p w:rsidR="00AD119C" w:rsidRDefault="00AD119C" w:rsidP="00AD119C">
            <w:r>
              <w:t>4.1 If DTT treated patient DAT is negative, Stop.</w:t>
            </w:r>
          </w:p>
          <w:p w:rsidR="00AD119C" w:rsidRDefault="00AD119C" w:rsidP="00AD119C">
            <w:pPr>
              <w:pStyle w:val="ListParagraph"/>
              <w:numPr>
                <w:ilvl w:val="0"/>
                <w:numId w:val="0"/>
              </w:numPr>
              <w:ind w:left="960"/>
            </w:pPr>
          </w:p>
          <w:p w:rsidR="00AD119C" w:rsidRDefault="00AD119C" w:rsidP="00AD119C">
            <w:pPr>
              <w:ind w:left="406" w:hanging="406"/>
            </w:pPr>
            <w:r>
              <w:t xml:space="preserve">4.2 If DTT treated patient DAT is positive perform an elution and test eluate in parallel with DTT treated and untreated screening cells. </w:t>
            </w:r>
          </w:p>
          <w:p w:rsidR="007E7732" w:rsidRDefault="007E7732" w:rsidP="00AD119C">
            <w:pPr>
              <w:ind w:left="406" w:hanging="406"/>
            </w:pPr>
          </w:p>
          <w:p w:rsidR="00AD119C" w:rsidRDefault="00AD119C" w:rsidP="00AD119C">
            <w:pPr>
              <w:ind w:left="1666" w:hanging="270"/>
            </w:pPr>
            <w:r>
              <w:t>a. If both DTT treated and untreated screening cells are negative, STOP.</w:t>
            </w:r>
          </w:p>
          <w:p w:rsidR="007E7732" w:rsidRDefault="007E7732" w:rsidP="00AD119C">
            <w:pPr>
              <w:ind w:left="1666" w:hanging="270"/>
            </w:pPr>
          </w:p>
          <w:p w:rsidR="00AD119C" w:rsidRDefault="00AD119C" w:rsidP="00AD119C">
            <w:pPr>
              <w:ind w:left="1666" w:hanging="270"/>
            </w:pPr>
            <w:r>
              <w:t xml:space="preserve">b. If all DTT treated cells are negative and all untreated cells are positive, STOP. </w:t>
            </w:r>
          </w:p>
          <w:p w:rsidR="007E7732" w:rsidRDefault="007E7732" w:rsidP="00AD119C">
            <w:pPr>
              <w:ind w:left="1666" w:hanging="270"/>
            </w:pPr>
          </w:p>
          <w:p w:rsidR="00AD119C" w:rsidRDefault="00AD119C" w:rsidP="00AD119C">
            <w:pPr>
              <w:ind w:left="1666" w:hanging="270"/>
            </w:pPr>
            <w:r>
              <w:t xml:space="preserve">c. If DTT treated and/ or untreated cells are showing specificity identify the antibody and provide antigen negative units if indicated. </w:t>
            </w:r>
          </w:p>
          <w:p w:rsidR="007E7732" w:rsidRDefault="007E7732" w:rsidP="00AD119C">
            <w:pPr>
              <w:ind w:left="1666" w:hanging="270"/>
            </w:pPr>
          </w:p>
          <w:p w:rsidR="00AD119C" w:rsidRDefault="00AD119C" w:rsidP="00AD119C">
            <w:pPr>
              <w:ind w:left="1666" w:hanging="270"/>
            </w:pPr>
            <w:r>
              <w:t xml:space="preserve">d. If all DTT treated cells and all untreated cells are positive, phenotype the patient cells and adsorb the eluate and test with DTT treated cells. </w:t>
            </w:r>
          </w:p>
          <w:p w:rsidR="007E7732" w:rsidRDefault="007E7732" w:rsidP="00AD119C">
            <w:pPr>
              <w:ind w:left="1666" w:hanging="270"/>
            </w:pPr>
          </w:p>
          <w:p w:rsidR="00AD119C" w:rsidRDefault="00AD119C" w:rsidP="00AD119C">
            <w:pPr>
              <w:pStyle w:val="ListParagraph"/>
              <w:numPr>
                <w:ilvl w:val="0"/>
                <w:numId w:val="35"/>
              </w:numPr>
            </w:pPr>
            <w:r>
              <w:t>AHG crossmatch with untreated and DTT treated donor unit red blood cells.</w:t>
            </w:r>
          </w:p>
          <w:p w:rsidR="007E7732" w:rsidRPr="007E7732" w:rsidRDefault="007E7732" w:rsidP="007E7732"/>
          <w:p w:rsidR="007E7732" w:rsidRPr="007E7732" w:rsidRDefault="00AD119C" w:rsidP="008E2433">
            <w:pPr>
              <w:pStyle w:val="ListParagraph"/>
              <w:numPr>
                <w:ilvl w:val="0"/>
                <w:numId w:val="35"/>
              </w:numPr>
              <w:rPr>
                <w:b/>
              </w:rPr>
            </w:pPr>
            <w:r>
              <w:t>Report untreated donor unit results and issue with Emergency Release.</w:t>
            </w:r>
          </w:p>
          <w:p w:rsidR="007E7732" w:rsidRPr="0032377D" w:rsidRDefault="007E7732" w:rsidP="0032377D">
            <w:pPr>
              <w:rPr>
                <w:b/>
              </w:rPr>
            </w:pPr>
          </w:p>
        </w:tc>
        <w:tc>
          <w:tcPr>
            <w:tcW w:w="1260" w:type="dxa"/>
          </w:tcPr>
          <w:p w:rsidR="0032377D" w:rsidRPr="0032377D" w:rsidRDefault="0032377D" w:rsidP="0032377D">
            <w:pPr>
              <w:rPr>
                <w:b/>
              </w:rPr>
            </w:pPr>
          </w:p>
        </w:tc>
      </w:tr>
      <w:tr w:rsidR="00763486" w:rsidRPr="0032377D" w:rsidTr="008E2433">
        <w:tc>
          <w:tcPr>
            <w:tcW w:w="918" w:type="dxa"/>
          </w:tcPr>
          <w:p w:rsidR="00763486" w:rsidRPr="0032377D" w:rsidRDefault="00763486" w:rsidP="008E2433">
            <w:pPr>
              <w:rPr>
                <w:b/>
              </w:rPr>
            </w:pPr>
            <w:r>
              <w:rPr>
                <w:b/>
              </w:rPr>
              <w:t>5.0</w:t>
            </w:r>
          </w:p>
        </w:tc>
        <w:tc>
          <w:tcPr>
            <w:tcW w:w="7987" w:type="dxa"/>
          </w:tcPr>
          <w:p w:rsidR="00763486" w:rsidRPr="00D263AC" w:rsidRDefault="00763486" w:rsidP="008E2433">
            <w:pPr>
              <w:rPr>
                <w:b/>
              </w:rPr>
            </w:pPr>
            <w:r w:rsidRPr="00D263AC">
              <w:rPr>
                <w:b/>
              </w:rPr>
              <w:t>R</w:t>
            </w:r>
            <w:r>
              <w:rPr>
                <w:b/>
              </w:rPr>
              <w:t>esult and charge for workup.</w:t>
            </w:r>
          </w:p>
          <w:p w:rsidR="00763486" w:rsidRDefault="00763486" w:rsidP="008E2433"/>
          <w:p w:rsidR="00763486" w:rsidRDefault="00763486" w:rsidP="008E2433">
            <w:r>
              <w:t>5.1 Neat results should be reported.</w:t>
            </w:r>
          </w:p>
          <w:p w:rsidR="00763486" w:rsidRDefault="00763486" w:rsidP="008E2433">
            <w:pPr>
              <w:ind w:left="1666" w:hanging="270"/>
            </w:pPr>
            <w:r>
              <w:t xml:space="preserve">a. </w:t>
            </w:r>
            <w:r w:rsidRPr="00D263AC">
              <w:t>Consult with management/medical director on what to result/report in computer if unclear.</w:t>
            </w:r>
          </w:p>
          <w:p w:rsidR="00763486" w:rsidRDefault="00763486" w:rsidP="008E2433"/>
          <w:p w:rsidR="00763486" w:rsidRDefault="00763486" w:rsidP="008E2433">
            <w:pPr>
              <w:ind w:left="406" w:hanging="406"/>
            </w:pPr>
            <w:r>
              <w:t>5.3 Antibody Identification may be resulted as DARA if reactivity disappears when tested with DTT treated cells.</w:t>
            </w:r>
          </w:p>
          <w:p w:rsidR="00BA18E0" w:rsidRDefault="00BA18E0" w:rsidP="008E2433">
            <w:pPr>
              <w:ind w:left="406" w:hanging="406"/>
            </w:pPr>
          </w:p>
          <w:p w:rsidR="00BA18E0" w:rsidRDefault="00BA18E0" w:rsidP="008E2433">
            <w:pPr>
              <w:ind w:left="406" w:hanging="406"/>
            </w:pPr>
          </w:p>
          <w:p w:rsidR="00763486" w:rsidRDefault="00763486" w:rsidP="008E2433">
            <w:pPr>
              <w:ind w:left="406" w:hanging="406"/>
            </w:pPr>
            <w:r>
              <w:t xml:space="preserve">5.4 </w:t>
            </w:r>
            <w:r w:rsidRPr="00402DAD">
              <w:t xml:space="preserve">Charge for each cell treated with an SCC action “BCHEM” and charge for the actual test performed (e.g. </w:t>
            </w:r>
            <w:r>
              <w:t>DARA screen “RSCRN”</w:t>
            </w:r>
            <w:r w:rsidRPr="00402DAD">
              <w:t>, panel</w:t>
            </w:r>
            <w:r>
              <w:t xml:space="preserve"> “BPANL”</w:t>
            </w:r>
            <w:r w:rsidRPr="00402DAD">
              <w:t>, DAT, crossmatch</w:t>
            </w:r>
            <w:r>
              <w:t xml:space="preserve"> “RXM”</w:t>
            </w:r>
            <w:r w:rsidRPr="00402DAD">
              <w:t>).</w:t>
            </w:r>
          </w:p>
          <w:p w:rsidR="00763486" w:rsidRPr="00D263AC" w:rsidRDefault="00763486" w:rsidP="008E2433">
            <w:pPr>
              <w:ind w:left="406" w:hanging="406"/>
            </w:pPr>
          </w:p>
        </w:tc>
        <w:tc>
          <w:tcPr>
            <w:tcW w:w="1260" w:type="dxa"/>
          </w:tcPr>
          <w:p w:rsidR="00763486" w:rsidRPr="0032377D" w:rsidRDefault="00763486" w:rsidP="008E2433">
            <w:pPr>
              <w:rPr>
                <w:b/>
              </w:rPr>
            </w:pPr>
          </w:p>
        </w:tc>
      </w:tr>
    </w:tbl>
    <w:p w:rsidR="0032377D" w:rsidRDefault="0032377D" w:rsidP="007F22E9"/>
    <w:p w:rsidR="0032377D" w:rsidRDefault="0032377D" w:rsidP="0032377D">
      <w:r>
        <w:br w:type="page"/>
      </w:r>
    </w:p>
    <w:p w:rsidR="007F22E9" w:rsidRPr="00502ACD" w:rsidRDefault="00502ACD" w:rsidP="00502ACD">
      <w:pPr>
        <w:ind w:left="360"/>
        <w:rPr>
          <w:b/>
        </w:rPr>
      </w:pPr>
      <w:r>
        <w:rPr>
          <w:b/>
        </w:rPr>
        <w:t>III</w:t>
      </w:r>
      <w:proofErr w:type="gramStart"/>
      <w:r>
        <w:rPr>
          <w:b/>
        </w:rPr>
        <w:t xml:space="preserve">.  </w:t>
      </w:r>
      <w:r w:rsidR="0032377D" w:rsidRPr="00502ACD">
        <w:rPr>
          <w:b/>
        </w:rPr>
        <w:t>Patients</w:t>
      </w:r>
      <w:proofErr w:type="gramEnd"/>
      <w:r w:rsidR="0032377D" w:rsidRPr="00502ACD">
        <w:rPr>
          <w:b/>
        </w:rPr>
        <w:t xml:space="preserve"> Receiving anti-CD-47 (Hu5F9-G4)</w:t>
      </w:r>
      <w:r w:rsidR="00A47ECA" w:rsidRPr="00502ACD">
        <w:rPr>
          <w:b/>
        </w:rPr>
        <w:t xml:space="preserve"> Magrolimab</w:t>
      </w:r>
    </w:p>
    <w:p w:rsidR="0032377D" w:rsidRPr="0032377D" w:rsidRDefault="0032377D" w:rsidP="0032377D"/>
    <w:p w:rsidR="0032377D" w:rsidRPr="00C54FC5" w:rsidRDefault="0032377D" w:rsidP="0032377D">
      <w:pPr>
        <w:tabs>
          <w:tab w:val="left" w:pos="3345"/>
          <w:tab w:val="right" w:pos="10800"/>
        </w:tabs>
        <w:rPr>
          <w:rFonts w:ascii="Times New Roman" w:hAnsi="Times New Roman"/>
          <w:sz w:val="20"/>
        </w:rPr>
      </w:pPr>
      <w:r w:rsidRPr="00C54FC5">
        <w:rPr>
          <w:rFonts w:ascii="Times New Roman" w:hAnsi="Times New Roman"/>
          <w:sz w:val="20"/>
        </w:rPr>
        <w:t>Chemical Risk Assessment:</w:t>
      </w:r>
      <w:r>
        <w:rPr>
          <w:rFonts w:ascii="Times New Roman" w:hAnsi="Times New Roman"/>
          <w:sz w:val="20"/>
        </w:rPr>
        <w:t xml:space="preserve"> low</w:t>
      </w:r>
    </w:p>
    <w:p w:rsidR="0032377D" w:rsidRPr="00C54FC5" w:rsidRDefault="0032377D" w:rsidP="0032377D">
      <w:pPr>
        <w:tabs>
          <w:tab w:val="left" w:pos="3345"/>
          <w:tab w:val="right" w:pos="10800"/>
        </w:tabs>
        <w:rPr>
          <w:rFonts w:ascii="Times New Roman" w:hAnsi="Times New Roman"/>
          <w:sz w:val="20"/>
        </w:rPr>
      </w:pPr>
      <w:r w:rsidRPr="00C54FC5">
        <w:rPr>
          <w:rFonts w:ascii="Times New Roman" w:hAnsi="Times New Roman"/>
          <w:sz w:val="20"/>
        </w:rPr>
        <w:t>Biological Risk Assessment:</w:t>
      </w:r>
      <w:r>
        <w:rPr>
          <w:rFonts w:ascii="Times New Roman" w:hAnsi="Times New Roman"/>
          <w:sz w:val="20"/>
        </w:rPr>
        <w:t xml:space="preserve"> low</w:t>
      </w:r>
    </w:p>
    <w:p w:rsidR="0032377D" w:rsidRPr="00C54FC5" w:rsidRDefault="0032377D" w:rsidP="0032377D">
      <w:pPr>
        <w:tabs>
          <w:tab w:val="left" w:pos="3345"/>
          <w:tab w:val="right" w:pos="10800"/>
        </w:tabs>
        <w:rPr>
          <w:rFonts w:ascii="Times New Roman" w:hAnsi="Times New Roman"/>
          <w:sz w:val="20"/>
        </w:rPr>
      </w:pPr>
      <w:r w:rsidRPr="00C54FC5">
        <w:rPr>
          <w:rFonts w:ascii="Times New Roman" w:hAnsi="Times New Roman"/>
          <w:sz w:val="20"/>
        </w:rPr>
        <w:t>Protective Equipment: Lab co</w:t>
      </w:r>
      <w:r>
        <w:rPr>
          <w:rFonts w:ascii="Times New Roman" w:hAnsi="Times New Roman"/>
          <w:sz w:val="20"/>
        </w:rPr>
        <w:t>a</w:t>
      </w:r>
      <w:r w:rsidRPr="00C54FC5">
        <w:rPr>
          <w:rFonts w:ascii="Times New Roman" w:hAnsi="Times New Roman"/>
          <w:sz w:val="20"/>
        </w:rPr>
        <w:t xml:space="preserve">t, gloves                                                                                                                                                  </w:t>
      </w:r>
    </w:p>
    <w:p w:rsidR="0032377D" w:rsidRPr="009F7D96" w:rsidRDefault="0032377D" w:rsidP="0032377D">
      <w:pPr>
        <w:autoSpaceDE w:val="0"/>
        <w:autoSpaceDN w:val="0"/>
        <w:adjustRightInd w:val="0"/>
        <w:rPr>
          <w:rFonts w:ascii="Times New Roman" w:hAnsi="Times New Roman"/>
          <w:color w:val="000000"/>
          <w:sz w:val="20"/>
        </w:rPr>
      </w:pPr>
      <w:r>
        <w:rPr>
          <w:rFonts w:ascii="Times New Roman" w:hAnsi="Times New Roman"/>
          <w:color w:val="000000"/>
          <w:sz w:val="20"/>
        </w:rPr>
        <w:t xml:space="preserve">Reagents: </w:t>
      </w:r>
      <w:r w:rsidR="00735D1F">
        <w:rPr>
          <w:rFonts w:ascii="Times New Roman" w:hAnsi="Times New Roman"/>
          <w:color w:val="000000"/>
          <w:sz w:val="20"/>
        </w:rPr>
        <w:t>Immucor Gamma Clone anti-IgG, PEG, reagent red cells, DTT reagent red cells</w:t>
      </w:r>
    </w:p>
    <w:p w:rsidR="0032377D" w:rsidRPr="009F7D96" w:rsidRDefault="0032377D" w:rsidP="0032377D">
      <w:pPr>
        <w:autoSpaceDE w:val="0"/>
        <w:autoSpaceDN w:val="0"/>
        <w:adjustRightInd w:val="0"/>
        <w:rPr>
          <w:rFonts w:ascii="Times New Roman" w:hAnsi="Times New Roman"/>
          <w:color w:val="000000"/>
          <w:sz w:val="20"/>
        </w:rPr>
      </w:pPr>
      <w:r w:rsidRPr="009F7D96">
        <w:rPr>
          <w:rFonts w:ascii="Times New Roman" w:hAnsi="Times New Roman"/>
          <w:color w:val="000000"/>
          <w:sz w:val="20"/>
        </w:rPr>
        <w:t xml:space="preserve">Supplies: </w:t>
      </w:r>
      <w:r w:rsidR="00735D1F">
        <w:rPr>
          <w:rFonts w:ascii="Times New Roman" w:hAnsi="Times New Roman"/>
          <w:color w:val="000000"/>
          <w:sz w:val="20"/>
        </w:rPr>
        <w:t>test tubes, pipettes</w:t>
      </w:r>
    </w:p>
    <w:p w:rsidR="0032377D" w:rsidRPr="009F7D96" w:rsidRDefault="0032377D" w:rsidP="0032377D">
      <w:pPr>
        <w:autoSpaceDE w:val="0"/>
        <w:autoSpaceDN w:val="0"/>
        <w:adjustRightInd w:val="0"/>
        <w:rPr>
          <w:rFonts w:ascii="Times New Roman" w:hAnsi="Times New Roman"/>
          <w:color w:val="000000"/>
          <w:sz w:val="20"/>
        </w:rPr>
      </w:pPr>
      <w:r w:rsidRPr="009F7D96">
        <w:rPr>
          <w:rFonts w:ascii="Times New Roman" w:hAnsi="Times New Roman"/>
          <w:color w:val="000000"/>
          <w:sz w:val="20"/>
        </w:rPr>
        <w:t>Equipment: Light magnifying lamp</w:t>
      </w:r>
    </w:p>
    <w:p w:rsidR="0032377D" w:rsidRPr="009F7D96" w:rsidRDefault="0032377D" w:rsidP="0032377D">
      <w:pPr>
        <w:autoSpaceDE w:val="0"/>
        <w:autoSpaceDN w:val="0"/>
        <w:adjustRightInd w:val="0"/>
        <w:rPr>
          <w:rFonts w:ascii="Times New Roman" w:hAnsi="Times New Roman"/>
          <w:color w:val="000000"/>
          <w:sz w:val="20"/>
        </w:rPr>
      </w:pPr>
      <w:proofErr w:type="spellStart"/>
      <w:r>
        <w:rPr>
          <w:rFonts w:ascii="Times New Roman" w:hAnsi="Times New Roman"/>
          <w:color w:val="000000"/>
          <w:sz w:val="20"/>
        </w:rPr>
        <w:t>S</w:t>
      </w:r>
      <w:r w:rsidRPr="009F7D96">
        <w:rPr>
          <w:rFonts w:ascii="Times New Roman" w:hAnsi="Times New Roman"/>
          <w:color w:val="000000"/>
          <w:sz w:val="20"/>
        </w:rPr>
        <w:t>erofuge</w:t>
      </w:r>
      <w:proofErr w:type="spellEnd"/>
      <w:r w:rsidRPr="009F7D96">
        <w:rPr>
          <w:rFonts w:ascii="Times New Roman" w:hAnsi="Times New Roman"/>
          <w:color w:val="000000"/>
          <w:sz w:val="20"/>
        </w:rPr>
        <w:t xml:space="preserve"> or CW</w:t>
      </w:r>
      <w:r>
        <w:rPr>
          <w:rFonts w:ascii="Times New Roman" w:hAnsi="Times New Roman"/>
          <w:color w:val="000000"/>
          <w:sz w:val="20"/>
        </w:rPr>
        <w:t>3</w:t>
      </w:r>
      <w:r w:rsidRPr="009F7D96">
        <w:rPr>
          <w:rFonts w:ascii="Times New Roman" w:hAnsi="Times New Roman"/>
          <w:color w:val="000000"/>
          <w:sz w:val="20"/>
        </w:rPr>
        <w:t xml:space="preserve"> centrifuge</w:t>
      </w:r>
    </w:p>
    <w:p w:rsidR="0032377D" w:rsidRPr="009F7D96" w:rsidRDefault="0032377D" w:rsidP="0032377D">
      <w:pPr>
        <w:autoSpaceDE w:val="0"/>
        <w:autoSpaceDN w:val="0"/>
        <w:adjustRightInd w:val="0"/>
        <w:rPr>
          <w:rFonts w:ascii="Times New Roman" w:hAnsi="Times New Roman"/>
          <w:color w:val="000000"/>
          <w:sz w:val="20"/>
        </w:rPr>
      </w:pPr>
      <w:r w:rsidRPr="009F7D96">
        <w:rPr>
          <w:rFonts w:ascii="Times New Roman" w:hAnsi="Times New Roman"/>
          <w:color w:val="000000"/>
          <w:sz w:val="20"/>
        </w:rPr>
        <w:t>Specimen Requirements: Red cells</w:t>
      </w:r>
      <w:r>
        <w:rPr>
          <w:rFonts w:ascii="Times New Roman" w:hAnsi="Times New Roman"/>
          <w:color w:val="000000"/>
          <w:sz w:val="20"/>
        </w:rPr>
        <w:t>/plasma</w:t>
      </w:r>
      <w:r w:rsidRPr="009F7D96">
        <w:rPr>
          <w:rFonts w:ascii="Times New Roman" w:hAnsi="Times New Roman"/>
          <w:color w:val="000000"/>
          <w:sz w:val="20"/>
        </w:rPr>
        <w:t xml:space="preserve"> to be tested </w:t>
      </w:r>
    </w:p>
    <w:p w:rsidR="0032377D" w:rsidRDefault="0032377D" w:rsidP="0032377D"/>
    <w:tbl>
      <w:tblPr>
        <w:tblStyle w:val="TableGrid1"/>
        <w:tblW w:w="9085" w:type="dxa"/>
        <w:tblLayout w:type="fixed"/>
        <w:tblLook w:val="04A0" w:firstRow="1" w:lastRow="0" w:firstColumn="1" w:lastColumn="0" w:noHBand="0" w:noVBand="1"/>
      </w:tblPr>
      <w:tblGrid>
        <w:gridCol w:w="918"/>
        <w:gridCol w:w="6727"/>
        <w:gridCol w:w="1440"/>
      </w:tblGrid>
      <w:tr w:rsidR="005B3FF1" w:rsidRPr="005B3FF1" w:rsidTr="005B3FF1">
        <w:trPr>
          <w:tblHeader/>
        </w:trPr>
        <w:tc>
          <w:tcPr>
            <w:tcW w:w="918" w:type="dxa"/>
            <w:shd w:val="clear" w:color="auto" w:fill="BFBFBF"/>
          </w:tcPr>
          <w:p w:rsidR="005B3FF1" w:rsidRPr="005B3FF1" w:rsidRDefault="005B3FF1" w:rsidP="005B3FF1">
            <w:pPr>
              <w:jc w:val="center"/>
              <w:rPr>
                <w:rFonts w:ascii="Calibri" w:hAnsi="Calibri"/>
                <w:b/>
              </w:rPr>
            </w:pPr>
            <w:r w:rsidRPr="005B3FF1">
              <w:rPr>
                <w:rFonts w:ascii="Calibri" w:hAnsi="Calibri"/>
                <w:b/>
              </w:rPr>
              <w:t>STEPS</w:t>
            </w:r>
          </w:p>
        </w:tc>
        <w:tc>
          <w:tcPr>
            <w:tcW w:w="6727" w:type="dxa"/>
            <w:shd w:val="clear" w:color="auto" w:fill="BFBFBF"/>
          </w:tcPr>
          <w:p w:rsidR="005B3FF1" w:rsidRPr="005B3FF1" w:rsidRDefault="005B3FF1" w:rsidP="005B3FF1">
            <w:pPr>
              <w:jc w:val="center"/>
              <w:rPr>
                <w:rFonts w:ascii="Calibri" w:hAnsi="Calibri"/>
                <w:b/>
              </w:rPr>
            </w:pPr>
            <w:r w:rsidRPr="005B3FF1">
              <w:rPr>
                <w:rFonts w:ascii="Calibri" w:hAnsi="Calibri"/>
                <w:b/>
              </w:rPr>
              <w:t>INSTRUCTIONS</w:t>
            </w:r>
          </w:p>
        </w:tc>
        <w:tc>
          <w:tcPr>
            <w:tcW w:w="1440" w:type="dxa"/>
            <w:shd w:val="clear" w:color="auto" w:fill="BFBFBF"/>
          </w:tcPr>
          <w:p w:rsidR="005B3FF1" w:rsidRPr="005B3FF1" w:rsidRDefault="005B3FF1" w:rsidP="005B3FF1">
            <w:pPr>
              <w:jc w:val="center"/>
              <w:rPr>
                <w:rFonts w:ascii="Calibri" w:hAnsi="Calibri"/>
                <w:b/>
              </w:rPr>
            </w:pPr>
            <w:r w:rsidRPr="005B3FF1">
              <w:rPr>
                <w:rFonts w:ascii="Calibri" w:hAnsi="Calibri"/>
                <w:b/>
              </w:rPr>
              <w:t xml:space="preserve">CHANGE / </w:t>
            </w:r>
          </w:p>
          <w:p w:rsidR="005B3FF1" w:rsidRPr="005B3FF1" w:rsidRDefault="005B3FF1" w:rsidP="005B3FF1">
            <w:pPr>
              <w:jc w:val="center"/>
              <w:rPr>
                <w:rFonts w:ascii="Calibri" w:hAnsi="Calibri"/>
                <w:b/>
              </w:rPr>
            </w:pPr>
            <w:r w:rsidRPr="005B3FF1">
              <w:rPr>
                <w:rFonts w:ascii="Calibri" w:hAnsi="Calibri"/>
                <w:b/>
              </w:rPr>
              <w:t>APPROVAL</w:t>
            </w:r>
          </w:p>
        </w:tc>
      </w:tr>
      <w:tr w:rsidR="005B3FF1" w:rsidRPr="005B3FF1" w:rsidTr="005B3FF1">
        <w:tc>
          <w:tcPr>
            <w:tcW w:w="918" w:type="dxa"/>
          </w:tcPr>
          <w:p w:rsidR="005B3FF1" w:rsidRPr="005B3FF1" w:rsidRDefault="005B3FF1" w:rsidP="005B3FF1">
            <w:pPr>
              <w:jc w:val="center"/>
              <w:rPr>
                <w:rFonts w:ascii="Calibri" w:hAnsi="Calibri"/>
                <w:b/>
              </w:rPr>
            </w:pPr>
            <w:r w:rsidRPr="005B3FF1">
              <w:rPr>
                <w:rFonts w:ascii="Calibri" w:hAnsi="Calibri"/>
                <w:b/>
              </w:rPr>
              <w:t>1.0</w:t>
            </w:r>
          </w:p>
        </w:tc>
        <w:tc>
          <w:tcPr>
            <w:tcW w:w="6727" w:type="dxa"/>
          </w:tcPr>
          <w:p w:rsidR="005B3FF1" w:rsidRPr="005B3FF1" w:rsidRDefault="005B3FF1" w:rsidP="005B3FF1">
            <w:pPr>
              <w:ind w:left="360"/>
              <w:contextualSpacing/>
              <w:rPr>
                <w:rFonts w:ascii="Calibri" w:hAnsi="Calibri"/>
                <w:sz w:val="24"/>
                <w:szCs w:val="24"/>
              </w:rPr>
            </w:pPr>
            <w:r w:rsidRPr="005B3FF1">
              <w:rPr>
                <w:rFonts w:ascii="Calibri" w:hAnsi="Calibri"/>
                <w:sz w:val="24"/>
                <w:szCs w:val="24"/>
              </w:rPr>
              <w:t>Perform testing ordered.</w:t>
            </w:r>
          </w:p>
          <w:p w:rsidR="005B3FF1" w:rsidRPr="005B3FF1" w:rsidRDefault="005B3FF1" w:rsidP="005B3FF1">
            <w:pPr>
              <w:ind w:left="360"/>
              <w:contextualSpacing/>
              <w:rPr>
                <w:rFonts w:ascii="Calibri" w:hAnsi="Calibri"/>
                <w:sz w:val="24"/>
                <w:szCs w:val="24"/>
              </w:rPr>
            </w:pPr>
          </w:p>
          <w:p w:rsidR="00A47ECA" w:rsidRDefault="00A47ECA" w:rsidP="005B3FF1">
            <w:pPr>
              <w:numPr>
                <w:ilvl w:val="1"/>
                <w:numId w:val="30"/>
              </w:numPr>
              <w:contextualSpacing/>
              <w:rPr>
                <w:rFonts w:ascii="Calibri" w:hAnsi="Calibri"/>
                <w:sz w:val="24"/>
                <w:szCs w:val="24"/>
              </w:rPr>
            </w:pPr>
            <w:r>
              <w:rPr>
                <w:rFonts w:ascii="Calibri" w:hAnsi="Calibri"/>
                <w:sz w:val="24"/>
                <w:szCs w:val="24"/>
              </w:rPr>
              <w:t xml:space="preserve">Antibody screen should be testing in tube using PEG and Immucor Gamma Clone IgG. </w:t>
            </w:r>
          </w:p>
          <w:p w:rsidR="005B3FF1" w:rsidRPr="005B3FF1" w:rsidRDefault="005B3FF1" w:rsidP="005B3FF1">
            <w:pPr>
              <w:numPr>
                <w:ilvl w:val="1"/>
                <w:numId w:val="30"/>
              </w:numPr>
              <w:contextualSpacing/>
              <w:rPr>
                <w:rFonts w:ascii="Calibri" w:hAnsi="Calibri"/>
                <w:sz w:val="24"/>
                <w:szCs w:val="24"/>
              </w:rPr>
            </w:pPr>
            <w:r w:rsidRPr="005B3FF1">
              <w:rPr>
                <w:rFonts w:ascii="Calibri" w:hAnsi="Calibri"/>
                <w:sz w:val="24"/>
                <w:szCs w:val="24"/>
              </w:rPr>
              <w:t>Report results if antibody screen is negative and no discrepancies in ABO/Rh.</w:t>
            </w:r>
          </w:p>
          <w:p w:rsidR="005B3FF1" w:rsidRPr="005B3FF1" w:rsidRDefault="005B3FF1" w:rsidP="005B3FF1">
            <w:pPr>
              <w:numPr>
                <w:ilvl w:val="1"/>
                <w:numId w:val="30"/>
              </w:numPr>
              <w:contextualSpacing/>
              <w:rPr>
                <w:rFonts w:ascii="Calibri" w:hAnsi="Calibri"/>
                <w:i/>
                <w:color w:val="00B0F0"/>
                <w:sz w:val="24"/>
                <w:szCs w:val="24"/>
              </w:rPr>
            </w:pPr>
            <w:r w:rsidRPr="005B3FF1">
              <w:rPr>
                <w:rFonts w:ascii="Calibri" w:hAnsi="Calibri"/>
                <w:sz w:val="24"/>
                <w:szCs w:val="24"/>
              </w:rPr>
              <w:t xml:space="preserve">If antibody screen is positive with all cells and/or ABO/Rh discrepancy, </w:t>
            </w:r>
          </w:p>
          <w:p w:rsidR="005B3FF1" w:rsidRDefault="005B3FF1" w:rsidP="005B3FF1">
            <w:pPr>
              <w:ind w:left="720"/>
              <w:contextualSpacing/>
              <w:rPr>
                <w:rFonts w:ascii="Calibri" w:hAnsi="Calibri"/>
                <w:i/>
                <w:color w:val="00B0F0"/>
                <w:sz w:val="24"/>
                <w:szCs w:val="24"/>
              </w:rPr>
            </w:pPr>
            <w:r>
              <w:rPr>
                <w:rFonts w:ascii="Calibri" w:hAnsi="Calibri"/>
                <w:i/>
                <w:color w:val="00B0F0"/>
                <w:sz w:val="24"/>
                <w:szCs w:val="24"/>
              </w:rPr>
              <w:t>R</w:t>
            </w:r>
            <w:r w:rsidRPr="005B3FF1">
              <w:rPr>
                <w:rFonts w:ascii="Calibri" w:hAnsi="Calibri"/>
                <w:i/>
                <w:color w:val="00B0F0"/>
                <w:sz w:val="24"/>
                <w:szCs w:val="24"/>
              </w:rPr>
              <w:t>efer to Attachment 2:  Flow Chart for Anti-CD47 (Hu5F9-G4) Patients DAT and Screen.</w:t>
            </w:r>
          </w:p>
          <w:p w:rsidR="0026353B" w:rsidRPr="005B3FF1" w:rsidRDefault="0026353B" w:rsidP="005B3FF1">
            <w:pPr>
              <w:ind w:left="720"/>
              <w:contextualSpacing/>
              <w:rPr>
                <w:rFonts w:ascii="Calibri" w:hAnsi="Calibri"/>
                <w:i/>
                <w:color w:val="00B0F0"/>
                <w:sz w:val="24"/>
                <w:szCs w:val="24"/>
              </w:rPr>
            </w:pPr>
            <w:r>
              <w:rPr>
                <w:rFonts w:ascii="Calibri" w:hAnsi="Calibri"/>
                <w:i/>
                <w:color w:val="00B0F0"/>
                <w:sz w:val="24"/>
                <w:szCs w:val="24"/>
              </w:rPr>
              <w:t>Refer to Attachment 3: Flow Chart for ENHANCE-3 clinical trial patients</w:t>
            </w:r>
          </w:p>
          <w:p w:rsidR="005B3FF1" w:rsidRPr="005B3FF1" w:rsidRDefault="005B3FF1" w:rsidP="005B3FF1">
            <w:pPr>
              <w:ind w:left="360"/>
              <w:contextualSpacing/>
              <w:rPr>
                <w:rFonts w:ascii="Calibri" w:hAnsi="Calibri"/>
                <w:sz w:val="24"/>
                <w:szCs w:val="24"/>
              </w:rPr>
            </w:pPr>
          </w:p>
        </w:tc>
        <w:tc>
          <w:tcPr>
            <w:tcW w:w="1440" w:type="dxa"/>
          </w:tcPr>
          <w:p w:rsidR="005B3FF1" w:rsidRPr="005B3FF1" w:rsidRDefault="005B3FF1" w:rsidP="005B3FF1">
            <w:pPr>
              <w:rPr>
                <w:rFonts w:ascii="Calibri" w:hAnsi="Calibri"/>
                <w:b/>
              </w:rPr>
            </w:pPr>
          </w:p>
        </w:tc>
      </w:tr>
    </w:tbl>
    <w:p w:rsidR="005B3FF1" w:rsidRPr="0032377D" w:rsidRDefault="005B3FF1" w:rsidP="0032377D"/>
    <w:p w:rsidR="00AE4A64" w:rsidRDefault="00AE4A64" w:rsidP="00887AE0">
      <w:pPr>
        <w:pStyle w:val="Heading1"/>
        <w:rPr>
          <w:sz w:val="24"/>
          <w:szCs w:val="24"/>
        </w:rPr>
      </w:pPr>
      <w:r w:rsidRPr="005642DC">
        <w:rPr>
          <w:sz w:val="24"/>
          <w:szCs w:val="24"/>
        </w:rPr>
        <w:t>Results Reporting</w:t>
      </w:r>
      <w:r>
        <w:rPr>
          <w:sz w:val="24"/>
          <w:szCs w:val="24"/>
        </w:rPr>
        <w:t xml:space="preserve"> </w:t>
      </w:r>
    </w:p>
    <w:p w:rsidR="00AE4A64" w:rsidRDefault="00AE4A64" w:rsidP="00887AE0">
      <w:pPr>
        <w:pStyle w:val="Heading1"/>
        <w:rPr>
          <w:sz w:val="24"/>
          <w:szCs w:val="24"/>
        </w:rPr>
      </w:pPr>
    </w:p>
    <w:p w:rsidR="00AE4A64" w:rsidRDefault="00AE4A64" w:rsidP="00AE4A64">
      <w:r>
        <w:t>See Section I, 5.0.</w:t>
      </w:r>
    </w:p>
    <w:p w:rsidR="00AE4A64" w:rsidRPr="00AE4A64" w:rsidRDefault="00AE4A64" w:rsidP="00AE4A64">
      <w:pPr>
        <w:rPr>
          <w:i/>
          <w:color w:val="00B0F0"/>
        </w:rPr>
      </w:pPr>
      <w:r w:rsidRPr="00AE4A64">
        <w:rPr>
          <w:i/>
          <w:color w:val="00B0F0"/>
        </w:rPr>
        <w:t>Refer to Attachments 2 and 3: Flow Charts for Anti-CD47</w:t>
      </w:r>
    </w:p>
    <w:p w:rsidR="00AE4A64" w:rsidRDefault="00AE4A64" w:rsidP="00AE4A64"/>
    <w:p w:rsidR="00AE4A64" w:rsidRDefault="00AE4A64" w:rsidP="00AE4A64">
      <w:pPr>
        <w:pStyle w:val="Heading1"/>
      </w:pPr>
      <w:r w:rsidRPr="00AD3070">
        <w:t>Interfering Substances/Test Method Limitations</w:t>
      </w:r>
    </w:p>
    <w:p w:rsidR="00AE4A64" w:rsidRDefault="00AE4A64" w:rsidP="00AE4A64"/>
    <w:p w:rsidR="00AE4A64" w:rsidRDefault="00AE4A64" w:rsidP="00AE4A64">
      <w:pPr>
        <w:rPr>
          <w:lang w:val="en-GB"/>
        </w:rPr>
      </w:pPr>
      <w:r w:rsidRPr="00AE4A64">
        <w:rPr>
          <w:lang w:val="en-GB"/>
        </w:rPr>
        <w:t>Hu5F9-G4 (</w:t>
      </w:r>
      <w:proofErr w:type="spellStart"/>
      <w:r w:rsidRPr="00AE4A64">
        <w:rPr>
          <w:lang w:val="en-GB"/>
        </w:rPr>
        <w:t>magrolimab</w:t>
      </w:r>
      <w:proofErr w:type="spellEnd"/>
      <w:r w:rsidRPr="00AE4A64">
        <w:rPr>
          <w:lang w:val="en-GB"/>
        </w:rPr>
        <w:t xml:space="preserve">) </w:t>
      </w:r>
      <w:r w:rsidR="008644B1">
        <w:rPr>
          <w:lang w:val="en-GB"/>
        </w:rPr>
        <w:t xml:space="preserve">and </w:t>
      </w:r>
      <w:proofErr w:type="spellStart"/>
      <w:r w:rsidR="008644B1">
        <w:rPr>
          <w:lang w:val="en-GB"/>
        </w:rPr>
        <w:t>Daratumumab</w:t>
      </w:r>
      <w:proofErr w:type="spellEnd"/>
      <w:r w:rsidR="008644B1">
        <w:rPr>
          <w:lang w:val="en-GB"/>
        </w:rPr>
        <w:t xml:space="preserve"> bind</w:t>
      </w:r>
      <w:r w:rsidRPr="00AE4A64">
        <w:rPr>
          <w:lang w:val="en-GB"/>
        </w:rPr>
        <w:t xml:space="preserve"> to red blood cells (RBCs) and may lead to </w:t>
      </w:r>
      <w:proofErr w:type="spellStart"/>
      <w:r w:rsidRPr="00AE4A64">
        <w:rPr>
          <w:lang w:val="en-GB"/>
        </w:rPr>
        <w:t>erythrophagocytosis</w:t>
      </w:r>
      <w:proofErr w:type="spellEnd"/>
      <w:r w:rsidRPr="00AE4A64">
        <w:rPr>
          <w:lang w:val="en-GB"/>
        </w:rPr>
        <w:t xml:space="preserve"> and autoimmune haemolytic </w:t>
      </w:r>
      <w:proofErr w:type="spellStart"/>
      <w:r w:rsidRPr="00AE4A64">
        <w:rPr>
          <w:lang w:val="en-GB"/>
        </w:rPr>
        <w:t>anemia</w:t>
      </w:r>
      <w:proofErr w:type="spellEnd"/>
      <w:r w:rsidRPr="00AE4A64">
        <w:rPr>
          <w:lang w:val="en-GB"/>
        </w:rPr>
        <w:t xml:space="preserve">. Blood typing and antibody screens may be problematic; treatment with </w:t>
      </w:r>
      <w:r w:rsidR="008644B1">
        <w:rPr>
          <w:lang w:val="en-GB"/>
        </w:rPr>
        <w:t>monoclonal antibodies</w:t>
      </w:r>
      <w:r w:rsidRPr="00AE4A64">
        <w:rPr>
          <w:lang w:val="en-GB"/>
        </w:rPr>
        <w:t xml:space="preserve"> may interfere with ABO typing and/or the detection of underlying RBC alloantibodies.</w:t>
      </w:r>
      <w:r w:rsidR="008644B1">
        <w:rPr>
          <w:lang w:val="en-GB"/>
        </w:rPr>
        <w:t xml:space="preserve"> </w:t>
      </w:r>
    </w:p>
    <w:p w:rsidR="008644B1" w:rsidRDefault="008644B1" w:rsidP="00AE4A64">
      <w:pPr>
        <w:rPr>
          <w:lang w:val="en-GB"/>
        </w:rPr>
      </w:pPr>
      <w:r>
        <w:rPr>
          <w:lang w:val="en-GB"/>
        </w:rPr>
        <w:t xml:space="preserve">DTT destroys </w:t>
      </w:r>
      <w:proofErr w:type="spellStart"/>
      <w:r>
        <w:rPr>
          <w:lang w:val="en-GB"/>
        </w:rPr>
        <w:t>Kell</w:t>
      </w:r>
      <w:proofErr w:type="spellEnd"/>
      <w:r>
        <w:rPr>
          <w:lang w:val="en-GB"/>
        </w:rPr>
        <w:t xml:space="preserve"> blood group antigens making detection of antibodies to this blood group system unreliable.</w:t>
      </w:r>
    </w:p>
    <w:p w:rsidR="008644B1" w:rsidRDefault="008644B1" w:rsidP="00AE4A64">
      <w:pPr>
        <w:rPr>
          <w:lang w:val="en-GB"/>
        </w:rPr>
      </w:pPr>
      <w:proofErr w:type="spellStart"/>
      <w:r>
        <w:rPr>
          <w:lang w:val="en-GB"/>
        </w:rPr>
        <w:t>Immucor</w:t>
      </w:r>
      <w:proofErr w:type="spellEnd"/>
      <w:r>
        <w:rPr>
          <w:lang w:val="en-GB"/>
        </w:rPr>
        <w:t xml:space="preserve"> Gamma Clone anti-IgG does not detect pure IgG4 antibodies. </w:t>
      </w:r>
    </w:p>
    <w:p w:rsidR="0026748C" w:rsidRDefault="0026748C" w:rsidP="00AE4A64">
      <w:pPr>
        <w:rPr>
          <w:lang w:val="en-GB"/>
        </w:rPr>
      </w:pPr>
    </w:p>
    <w:p w:rsidR="0026748C" w:rsidRDefault="0026748C" w:rsidP="0026748C">
      <w:pPr>
        <w:pStyle w:val="Heading1"/>
      </w:pPr>
      <w:r w:rsidRPr="005642DC">
        <w:t>Downtime</w:t>
      </w:r>
    </w:p>
    <w:p w:rsidR="00AE4A64" w:rsidRDefault="00AE4A64" w:rsidP="00AE4A64"/>
    <w:p w:rsidR="0026748C" w:rsidRDefault="0026748C" w:rsidP="00AE4A64">
      <w:r>
        <w:t xml:space="preserve">DARA patients: </w:t>
      </w:r>
      <w:r w:rsidR="002C2E10">
        <w:t xml:space="preserve">Revert to gel and LISS testing. </w:t>
      </w:r>
    </w:p>
    <w:p w:rsidR="002C2E10" w:rsidRDefault="002C2E10" w:rsidP="00AE4A64">
      <w:r>
        <w:t xml:space="preserve">CD47 patients: Revert to gel testing, consult with management about need for send out testing. </w:t>
      </w:r>
    </w:p>
    <w:p w:rsidR="002C2E10" w:rsidRDefault="002C2E10" w:rsidP="00AE4A64"/>
    <w:p w:rsidR="002C2E10" w:rsidRDefault="002C2E10" w:rsidP="00AE4A64"/>
    <w:p w:rsidR="002C2E10" w:rsidRPr="00AE4A64" w:rsidRDefault="002C2E10" w:rsidP="00AE4A64"/>
    <w:p w:rsidR="00B048D9" w:rsidRDefault="00B048D9" w:rsidP="00887AE0">
      <w:pPr>
        <w:pStyle w:val="Heading1"/>
      </w:pPr>
      <w:r>
        <w:t>References</w:t>
      </w:r>
    </w:p>
    <w:p w:rsidR="00B2628E" w:rsidRPr="00B2628E" w:rsidRDefault="00B2628E" w:rsidP="00B2628E"/>
    <w:p w:rsidR="005B3FF1" w:rsidRPr="005B3FF1" w:rsidRDefault="005B3FF1" w:rsidP="005B3FF1">
      <w:r w:rsidRPr="005B3FF1">
        <w:t xml:space="preserve">Roback, John D. et al.  </w:t>
      </w:r>
      <w:r w:rsidRPr="005B3FF1">
        <w:rPr>
          <w:b/>
          <w:i/>
          <w:iCs/>
          <w:u w:val="single"/>
        </w:rPr>
        <w:t>TECHNICAL MANUAL</w:t>
      </w:r>
      <w:r w:rsidRPr="005B3FF1">
        <w:t>.  Bethesda, MD:  American Association of Blood Banks, updated periodically.</w:t>
      </w:r>
    </w:p>
    <w:p w:rsidR="005B3FF1" w:rsidRPr="005B3FF1" w:rsidRDefault="005B3FF1" w:rsidP="005B3FF1">
      <w:pPr>
        <w:rPr>
          <w:bCs/>
          <w:i/>
        </w:rPr>
      </w:pPr>
      <w:r w:rsidRPr="005B3FF1">
        <w:rPr>
          <w:bCs/>
          <w:i/>
        </w:rPr>
        <w:t xml:space="preserve">‘Monoclonal anti-CD47 interference in red cell and platelet testing.’ </w:t>
      </w:r>
      <w:r w:rsidRPr="005B3FF1">
        <w:rPr>
          <w:bCs/>
        </w:rPr>
        <w:t>AABB Transfusion 2018;9999, 1-8</w:t>
      </w:r>
    </w:p>
    <w:p w:rsidR="005B3FF1" w:rsidRPr="005B3FF1" w:rsidRDefault="005B3FF1" w:rsidP="005B3FF1">
      <w:pPr>
        <w:rPr>
          <w:bCs/>
        </w:rPr>
      </w:pPr>
      <w:r w:rsidRPr="005B3FF1">
        <w:rPr>
          <w:bCs/>
          <w:i/>
        </w:rPr>
        <w:t xml:space="preserve">‘HU5F9-G4 monoclonal Anti-CD47 therapy; A First Experience with Interference in Antibody Identification. </w:t>
      </w:r>
      <w:r w:rsidRPr="005B3FF1">
        <w:rPr>
          <w:bCs/>
        </w:rPr>
        <w:t>Illinois Association of blood Banks</w:t>
      </w:r>
    </w:p>
    <w:p w:rsidR="000858A5" w:rsidRPr="00BF5F7B" w:rsidRDefault="000858A5" w:rsidP="00BF5F7B"/>
    <w:p w:rsidR="00AB191A" w:rsidRDefault="002C2E10" w:rsidP="00AB191A">
      <w:pPr>
        <w:pStyle w:val="Heading1"/>
      </w:pPr>
      <w:r w:rsidRPr="005642DC">
        <w:rPr>
          <w:sz w:val="24"/>
          <w:szCs w:val="24"/>
        </w:rPr>
        <w:t xml:space="preserve">Related procedures/policies in </w:t>
      </w:r>
      <w:proofErr w:type="spellStart"/>
      <w:r w:rsidRPr="005642DC">
        <w:rPr>
          <w:sz w:val="24"/>
          <w:szCs w:val="24"/>
        </w:rPr>
        <w:t>Navex</w:t>
      </w:r>
      <w:proofErr w:type="spellEnd"/>
      <w:r>
        <w:rPr>
          <w:sz w:val="24"/>
          <w:szCs w:val="24"/>
        </w:rPr>
        <w:t>/Policy Tech</w:t>
      </w:r>
      <w:r w:rsidRPr="005642DC">
        <w:rPr>
          <w:sz w:val="24"/>
          <w:szCs w:val="24"/>
        </w:rPr>
        <w:t>:</w:t>
      </w:r>
      <w:r w:rsidRPr="00CF2761">
        <w:rPr>
          <w:color w:val="FF0000"/>
          <w:sz w:val="24"/>
          <w:szCs w:val="24"/>
        </w:rPr>
        <w:t xml:space="preserve"> </w:t>
      </w:r>
    </w:p>
    <w:p w:rsidR="000858A5" w:rsidRDefault="000858A5" w:rsidP="000858A5"/>
    <w:p w:rsidR="000858A5" w:rsidRPr="00BF5F7B" w:rsidRDefault="000858A5" w:rsidP="00BF5F7B"/>
    <w:p w:rsidR="00B048D9" w:rsidRDefault="00B048D9" w:rsidP="00887AE0">
      <w:pPr>
        <w:pStyle w:val="Heading1"/>
      </w:pPr>
      <w:r>
        <w:t>Attachments</w:t>
      </w:r>
      <w:r w:rsidR="00AB191A">
        <w:t>/Linked documents (title 21)</w:t>
      </w:r>
    </w:p>
    <w:p w:rsidR="005B3FF1" w:rsidRPr="005B3FF1" w:rsidRDefault="005B3FF1" w:rsidP="005B3FF1"/>
    <w:p w:rsidR="005B3FF1" w:rsidRDefault="005B3FF1" w:rsidP="005B3FF1">
      <w:pPr>
        <w:rPr>
          <w:bCs/>
        </w:rPr>
      </w:pPr>
      <w:r w:rsidRPr="005B3FF1">
        <w:rPr>
          <w:bCs/>
        </w:rPr>
        <w:t>Attachment 1: Flow Chart for DARA Patients DAT and Screen</w:t>
      </w:r>
      <w:r>
        <w:rPr>
          <w:bCs/>
        </w:rPr>
        <w:br/>
      </w:r>
      <w:r w:rsidRPr="005B3FF1">
        <w:rPr>
          <w:bCs/>
        </w:rPr>
        <w:t>Attachment 2: Flow Chart for Anti-CD47 (Hu5F9-G4) Patients DAT and Screen</w:t>
      </w:r>
    </w:p>
    <w:p w:rsidR="008E4F89" w:rsidRDefault="008E4F89" w:rsidP="005B3FF1">
      <w:pPr>
        <w:rPr>
          <w:bCs/>
        </w:rPr>
      </w:pPr>
      <w:r>
        <w:rPr>
          <w:bCs/>
        </w:rPr>
        <w:t>Attachment 3: Flow Chart for Anti-CD47 ENCHANCE-3 Patients</w:t>
      </w:r>
    </w:p>
    <w:p w:rsidR="002C2E10" w:rsidRDefault="002C2E10" w:rsidP="002C2E10">
      <w:pPr>
        <w:rPr>
          <w:bCs/>
        </w:rPr>
      </w:pPr>
      <w:r>
        <w:rPr>
          <w:bCs/>
        </w:rPr>
        <w:t>BB-SOP-0003</w:t>
      </w:r>
    </w:p>
    <w:p w:rsidR="002C2E10" w:rsidRDefault="002C2E10" w:rsidP="002C2E10">
      <w:pPr>
        <w:rPr>
          <w:bCs/>
        </w:rPr>
      </w:pPr>
      <w:r>
        <w:rPr>
          <w:bCs/>
        </w:rPr>
        <w:t>BB-SOP-0004</w:t>
      </w:r>
    </w:p>
    <w:p w:rsidR="002C2E10" w:rsidRDefault="002C2E10" w:rsidP="002C2E10">
      <w:pPr>
        <w:rPr>
          <w:bCs/>
        </w:rPr>
      </w:pPr>
      <w:r>
        <w:rPr>
          <w:bCs/>
        </w:rPr>
        <w:t>BB-SOP-0006</w:t>
      </w:r>
    </w:p>
    <w:p w:rsidR="002C2E10" w:rsidRDefault="002C2E10" w:rsidP="002C2E10">
      <w:pPr>
        <w:rPr>
          <w:bCs/>
        </w:rPr>
      </w:pPr>
      <w:r>
        <w:rPr>
          <w:bCs/>
        </w:rPr>
        <w:t>BB-SOP-0105</w:t>
      </w:r>
    </w:p>
    <w:p w:rsidR="002C2E10" w:rsidRDefault="002C2E10" w:rsidP="002C2E10">
      <w:pPr>
        <w:rPr>
          <w:bCs/>
        </w:rPr>
      </w:pPr>
      <w:r>
        <w:rPr>
          <w:bCs/>
        </w:rPr>
        <w:t>BB-SOP-0064</w:t>
      </w:r>
    </w:p>
    <w:p w:rsidR="002C2E10" w:rsidRPr="005B3FF1" w:rsidRDefault="002C2E10" w:rsidP="002C2E10">
      <w:pPr>
        <w:rPr>
          <w:bCs/>
        </w:rPr>
      </w:pPr>
      <w:r>
        <w:rPr>
          <w:bCs/>
        </w:rPr>
        <w:t>BB-SOP-0067</w:t>
      </w:r>
    </w:p>
    <w:p w:rsidR="000858A5" w:rsidRPr="000858A5" w:rsidRDefault="000858A5" w:rsidP="000858A5"/>
    <w:p w:rsidR="002C2E10" w:rsidRDefault="00A7748A" w:rsidP="000858A5">
      <w:pPr>
        <w:pStyle w:val="Heading1"/>
      </w:pPr>
      <w:r>
        <w:t>Revision Dates</w:t>
      </w:r>
      <w:r w:rsidR="001F0047">
        <w:t>: Review Change Summary as represented in Title 21.</w:t>
      </w:r>
    </w:p>
    <w:p w:rsidR="002C2E10" w:rsidRPr="002C2E10" w:rsidRDefault="002C2E10" w:rsidP="002C2E10"/>
    <w:p w:rsidR="002C2E10" w:rsidRPr="002C2E10" w:rsidRDefault="002C2E10" w:rsidP="002C2E10"/>
    <w:p w:rsidR="002C2E10" w:rsidRPr="002C2E10" w:rsidRDefault="002C2E10" w:rsidP="002C2E10"/>
    <w:p w:rsidR="002C2E10" w:rsidRPr="002C2E10" w:rsidRDefault="002C2E10" w:rsidP="002C2E10"/>
    <w:p w:rsidR="002C2E10" w:rsidRPr="002C2E10" w:rsidRDefault="002C2E10" w:rsidP="002C2E10"/>
    <w:p w:rsidR="002C2E10" w:rsidRPr="002C2E10" w:rsidRDefault="002C2E10" w:rsidP="002C2E10"/>
    <w:p w:rsidR="002C2E10" w:rsidRPr="002C2E10" w:rsidRDefault="002C2E10" w:rsidP="002C2E10"/>
    <w:p w:rsidR="002C2E10" w:rsidRPr="002C2E10" w:rsidRDefault="002C2E10" w:rsidP="002C2E10"/>
    <w:p w:rsidR="002C2E10" w:rsidRPr="002C2E10" w:rsidRDefault="002C2E10" w:rsidP="002C2E10"/>
    <w:p w:rsidR="002C2E10" w:rsidRDefault="002C2E10" w:rsidP="002C2E10"/>
    <w:p w:rsidR="002C2E10" w:rsidRDefault="002C2E10" w:rsidP="002C2E10"/>
    <w:p w:rsidR="00BF5F7B" w:rsidRPr="002C2E10" w:rsidRDefault="00BF5F7B" w:rsidP="002C2E10">
      <w:pPr>
        <w:jc w:val="center"/>
      </w:pPr>
    </w:p>
    <w:sectPr w:rsidR="00BF5F7B" w:rsidRPr="002C2E10"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33" w:rsidRDefault="008E2433" w:rsidP="009A3908">
      <w:r>
        <w:separator/>
      </w:r>
    </w:p>
  </w:endnote>
  <w:endnote w:type="continuationSeparator" w:id="0">
    <w:p w:rsidR="008E2433" w:rsidRDefault="008E2433"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B3" w:rsidRDefault="0084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33" w:rsidRDefault="008E2433"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8E2433" w:rsidRPr="00A2219E" w:rsidRDefault="008E2433"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840EB3">
              <w:rPr>
                <w:rFonts w:ascii="Franklin Gothic Book" w:hAnsi="Franklin Gothic Book" w:cs="Calibri"/>
                <w:i/>
                <w:iCs/>
                <w:noProof/>
                <w:sz w:val="18"/>
                <w:szCs w:val="18"/>
              </w:rPr>
              <w:t>10</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840EB3">
              <w:rPr>
                <w:rFonts w:ascii="Franklin Gothic Book" w:hAnsi="Franklin Gothic Book" w:cs="Calibri"/>
                <w:i/>
                <w:iCs/>
                <w:noProof/>
                <w:sz w:val="18"/>
                <w:szCs w:val="18"/>
              </w:rPr>
              <w:t>10</w:t>
            </w:r>
            <w:r w:rsidRPr="00A2219E">
              <w:rPr>
                <w:rFonts w:ascii="Franklin Gothic Book" w:hAnsi="Franklin Gothic Book" w:cs="Calibri"/>
                <w:i/>
                <w:i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33" w:rsidRDefault="008E2433" w:rsidP="00A153FF">
    <w:pPr>
      <w:jc w:val="center"/>
      <w:rPr>
        <w:rFonts w:asciiTheme="minorHAnsi" w:hAnsiTheme="minorHAnsi" w:cstheme="minorHAnsi"/>
        <w:bCs/>
        <w:szCs w:val="22"/>
      </w:rPr>
    </w:pPr>
  </w:p>
  <w:p w:rsidR="008E2433" w:rsidRDefault="008E2433"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8E2433" w:rsidRPr="00A2219E" w:rsidRDefault="008E2433"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840EB3">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840EB3">
              <w:rPr>
                <w:rFonts w:ascii="Franklin Gothic Book" w:hAnsi="Franklin Gothic Book" w:cs="Calibri"/>
                <w:i/>
                <w:iCs/>
                <w:noProof/>
                <w:sz w:val="18"/>
                <w:szCs w:val="18"/>
              </w:rPr>
              <w:t>10</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33" w:rsidRDefault="008E2433" w:rsidP="009A3908">
      <w:r>
        <w:separator/>
      </w:r>
    </w:p>
  </w:footnote>
  <w:footnote w:type="continuationSeparator" w:id="0">
    <w:p w:rsidR="008E2433" w:rsidRDefault="008E2433"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B3" w:rsidRDefault="00840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33" w:rsidRPr="00A2219E" w:rsidRDefault="008E2433"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33" w:rsidRPr="002406B9" w:rsidRDefault="008E2433" w:rsidP="00A153FF">
    <w:pPr>
      <w:shd w:val="clear" w:color="auto" w:fill="A6A6A6" w:themeFill="background1" w:themeFillShade="A6"/>
      <w:spacing w:line="360" w:lineRule="auto"/>
      <w:ind w:right="90"/>
      <w:jc w:val="center"/>
      <w:rPr>
        <w:rFonts w:ascii="Franklin Gothic Demi" w:hAnsi="Franklin Gothic Demi"/>
        <w:b/>
        <w:szCs w:val="32"/>
      </w:rPr>
    </w:pPr>
    <w:r>
      <w:t>Patient Testing in the Presence of Monoclonal Antibody Drugs (Anti-CD38 and Anti-CD47)</w:t>
    </w:r>
  </w:p>
  <w:p w:rsidR="008E2433" w:rsidRDefault="008E2433"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5"/>
      <w:gridCol w:w="3099"/>
    </w:tblGrid>
    <w:tr w:rsidR="008E2433" w:rsidRPr="00F85C8D" w:rsidTr="00A2219E">
      <w:tc>
        <w:tcPr>
          <w:tcW w:w="3145" w:type="dxa"/>
          <w:tcBorders>
            <w:left w:val="single" w:sz="4" w:space="0" w:color="auto"/>
            <w:bottom w:val="single" w:sz="4" w:space="0" w:color="auto"/>
          </w:tcBorders>
          <w:shd w:val="clear" w:color="auto" w:fill="auto"/>
        </w:tcPr>
        <w:p w:rsidR="008E2433" w:rsidRPr="00F85C8D" w:rsidRDefault="008E2433" w:rsidP="00A153FF">
          <w:pPr>
            <w:rPr>
              <w:rFonts w:ascii="Franklin Gothic Book" w:hAnsi="Franklin Gothic Book"/>
              <w:b/>
              <w:szCs w:val="22"/>
            </w:rPr>
          </w:pPr>
          <w:r>
            <w:rPr>
              <w:noProof/>
            </w:rPr>
            <w:drawing>
              <wp:inline distT="0" distB="0" distL="0" distR="0" wp14:anchorId="65F2D7AD" wp14:editId="3048E4C3">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rsidR="008E2433" w:rsidRPr="00335902" w:rsidRDefault="008E2433" w:rsidP="001F0047">
          <w:pPr>
            <w:rPr>
              <w:rFonts w:ascii="Franklin Gothic Demi" w:hAnsi="Franklin Gothic Demi"/>
              <w:smallCaps/>
              <w:szCs w:val="22"/>
            </w:rPr>
          </w:pPr>
          <w:r>
            <w:rPr>
              <w:rFonts w:ascii="Franklin Gothic Demi" w:hAnsi="Franklin Gothic Demi"/>
              <w:smallCaps/>
              <w:szCs w:val="22"/>
            </w:rPr>
            <w:t>Document Type:</w:t>
          </w:r>
        </w:p>
        <w:p w:rsidR="008E2433" w:rsidRDefault="00840EB3" w:rsidP="001F0047">
          <w:pPr>
            <w:rPr>
              <w:rFonts w:cs="Arial"/>
            </w:rPr>
          </w:pPr>
          <w:sdt>
            <w:sdtPr>
              <w:id w:val="772366028"/>
              <w14:checkbox>
                <w14:checked w14:val="1"/>
                <w14:checkedState w14:val="2612" w14:font="MS Gothic"/>
                <w14:uncheckedState w14:val="2610" w14:font="MS Gothic"/>
              </w14:checkbox>
            </w:sdtPr>
            <w:sdtEndPr/>
            <w:sdtContent>
              <w:r w:rsidR="008E2433">
                <w:rPr>
                  <w:rFonts w:ascii="MS Gothic" w:eastAsia="MS Gothic" w:hAnsi="MS Gothic" w:hint="eastAsia"/>
                </w:rPr>
                <w:t>☒</w:t>
              </w:r>
            </w:sdtContent>
          </w:sdt>
          <w:r w:rsidR="008E2433" w:rsidRPr="0056313C">
            <w:t xml:space="preserve"> </w:t>
          </w:r>
          <w:r w:rsidR="008E2433">
            <w:rPr>
              <w:rFonts w:cs="Arial"/>
            </w:rPr>
            <w:t>Procedure</w:t>
          </w:r>
        </w:p>
        <w:p w:rsidR="008E2433" w:rsidRPr="005448BC" w:rsidRDefault="008E2433" w:rsidP="00A153FF">
          <w:pPr>
            <w:rPr>
              <w:rFonts w:ascii="Franklin Gothic Demi" w:hAnsi="Franklin Gothic Demi"/>
              <w:smallCaps/>
              <w:szCs w:val="22"/>
            </w:rPr>
          </w:pPr>
        </w:p>
      </w:tc>
      <w:tc>
        <w:tcPr>
          <w:tcW w:w="3145" w:type="dxa"/>
          <w:tcBorders>
            <w:left w:val="single" w:sz="4" w:space="0" w:color="000000"/>
          </w:tcBorders>
          <w:shd w:val="clear" w:color="auto" w:fill="auto"/>
        </w:tcPr>
        <w:p w:rsidR="008E2433" w:rsidRPr="00F85C8D" w:rsidRDefault="008E2433"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8E2433" w:rsidRPr="00A2219E" w:rsidRDefault="008E2433"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8E2433" w:rsidRDefault="00840EB3" w:rsidP="00A153FF">
          <w:pPr>
            <w:rPr>
              <w:rFonts w:ascii="Franklin Gothic Book" w:hAnsi="Franklin Gothic Book"/>
              <w:b/>
              <w:sz w:val="28"/>
              <w:szCs w:val="28"/>
            </w:rPr>
          </w:pPr>
          <w:r>
            <w:rPr>
              <w:rFonts w:ascii="Franklin Gothic Book" w:hAnsi="Franklin Gothic Book"/>
              <w:b/>
              <w:sz w:val="28"/>
              <w:szCs w:val="28"/>
            </w:rPr>
            <w:t>12/28/2020</w:t>
          </w:r>
        </w:p>
        <w:p w:rsidR="00840EB3" w:rsidRPr="00EF4D17" w:rsidRDefault="00840EB3" w:rsidP="00A153FF">
          <w:pPr>
            <w:rPr>
              <w:rFonts w:ascii="Franklin Gothic Book" w:hAnsi="Franklin Gothic Book"/>
              <w:b/>
              <w:sz w:val="28"/>
              <w:szCs w:val="28"/>
            </w:rPr>
          </w:pPr>
          <w:bookmarkStart w:id="0" w:name="_GoBack"/>
          <w:bookmarkEnd w:id="0"/>
        </w:p>
      </w:tc>
    </w:tr>
    <w:tr w:rsidR="008E2433" w:rsidRPr="00F85C8D" w:rsidTr="00A2219E">
      <w:trPr>
        <w:trHeight w:val="1090"/>
      </w:trPr>
      <w:tc>
        <w:tcPr>
          <w:tcW w:w="3145" w:type="dxa"/>
          <w:tcBorders>
            <w:left w:val="single" w:sz="4" w:space="0" w:color="auto"/>
            <w:bottom w:val="single" w:sz="4" w:space="0" w:color="000000"/>
          </w:tcBorders>
          <w:shd w:val="clear" w:color="auto" w:fill="auto"/>
        </w:tcPr>
        <w:p w:rsidR="008E2433" w:rsidRDefault="008E2433" w:rsidP="001F0047">
          <w:pPr>
            <w:rPr>
              <w:rFonts w:ascii="Franklin Gothic Book" w:hAnsi="Franklin Gothic Book"/>
              <w:b/>
              <w:szCs w:val="22"/>
            </w:rPr>
          </w:pPr>
          <w:r>
            <w:rPr>
              <w:rFonts w:ascii="Franklin Gothic Book" w:hAnsi="Franklin Gothic Book"/>
              <w:b/>
              <w:szCs w:val="22"/>
            </w:rPr>
            <w:t>CLIA Lab Director:</w:t>
          </w:r>
        </w:p>
        <w:p w:rsidR="008E2433" w:rsidRDefault="008E2433" w:rsidP="001F0047">
          <w:pPr>
            <w:rPr>
              <w:rFonts w:ascii="Franklin Gothic Book" w:hAnsi="Franklin Gothic Book"/>
              <w:szCs w:val="22"/>
            </w:rPr>
          </w:pPr>
        </w:p>
        <w:p w:rsidR="008E2433" w:rsidRPr="00F85C8D" w:rsidRDefault="008E2433"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8E2433" w:rsidRDefault="008E2433"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8E2433" w:rsidRDefault="008E2433" w:rsidP="001F0047">
          <w:pPr>
            <w:rPr>
              <w:rFonts w:ascii="Franklin Gothic Book" w:hAnsi="Franklin Gothic Book" w:cs="Calibri"/>
              <w:szCs w:val="22"/>
            </w:rPr>
          </w:pPr>
        </w:p>
        <w:p w:rsidR="008E2433" w:rsidRPr="00FF0138" w:rsidRDefault="008E2433" w:rsidP="00FF0138">
          <w:r w:rsidRPr="00FF0138">
            <w:t>Blood Bank</w:t>
          </w:r>
        </w:p>
      </w:tc>
      <w:tc>
        <w:tcPr>
          <w:tcW w:w="3145" w:type="dxa"/>
          <w:tcBorders>
            <w:bottom w:val="single" w:sz="4" w:space="0" w:color="000000"/>
          </w:tcBorders>
          <w:shd w:val="clear" w:color="auto" w:fill="auto"/>
        </w:tcPr>
        <w:p w:rsidR="008E2433" w:rsidRDefault="008E2433" w:rsidP="001F0047">
          <w:pPr>
            <w:rPr>
              <w:rFonts w:ascii="Franklin Gothic Demi" w:hAnsi="Franklin Gothic Demi"/>
              <w:smallCaps/>
              <w:szCs w:val="22"/>
            </w:rPr>
          </w:pPr>
          <w:r w:rsidRPr="00A21028">
            <w:rPr>
              <w:rFonts w:ascii="Franklin Gothic Demi" w:hAnsi="Franklin Gothic Demi"/>
              <w:smallCaps/>
              <w:szCs w:val="22"/>
            </w:rPr>
            <w:t>Contact:</w:t>
          </w:r>
        </w:p>
        <w:p w:rsidR="008E2433" w:rsidRPr="00A2219E" w:rsidRDefault="008E2433"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8E2433" w:rsidRPr="00636B43" w:rsidRDefault="008E2433" w:rsidP="00A153FF">
          <w:pPr>
            <w:rPr>
              <w:rFonts w:ascii="Franklin Gothic Book" w:hAnsi="Franklin Gothic Book"/>
              <w:szCs w:val="22"/>
            </w:rPr>
          </w:pPr>
          <w:r>
            <w:rPr>
              <w:rFonts w:ascii="Franklin Gothic Book" w:hAnsi="Franklin Gothic Book"/>
              <w:szCs w:val="22"/>
            </w:rPr>
            <w:t>Blood Bank Management</w:t>
          </w:r>
        </w:p>
      </w:tc>
    </w:tr>
  </w:tbl>
  <w:p w:rsidR="008E2433" w:rsidRPr="00B96DAD" w:rsidRDefault="008E2433"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453"/>
    <w:multiLevelType w:val="multilevel"/>
    <w:tmpl w:val="ACA6C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0215C9"/>
    <w:multiLevelType w:val="hybridMultilevel"/>
    <w:tmpl w:val="DC682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71FB"/>
    <w:multiLevelType w:val="hybridMultilevel"/>
    <w:tmpl w:val="D2F6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606AE"/>
    <w:multiLevelType w:val="hybridMultilevel"/>
    <w:tmpl w:val="FA0416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216513"/>
    <w:multiLevelType w:val="hybridMultilevel"/>
    <w:tmpl w:val="7EF01C5E"/>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21E16705"/>
    <w:multiLevelType w:val="hybridMultilevel"/>
    <w:tmpl w:val="E5B029C4"/>
    <w:lvl w:ilvl="0" w:tplc="FFDC56A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996438"/>
    <w:multiLevelType w:val="hybridMultilevel"/>
    <w:tmpl w:val="D7D479AA"/>
    <w:lvl w:ilvl="0" w:tplc="4A2AB2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B425E"/>
    <w:multiLevelType w:val="hybridMultilevel"/>
    <w:tmpl w:val="24AA0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21E6D"/>
    <w:multiLevelType w:val="hybridMultilevel"/>
    <w:tmpl w:val="61D80B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D445473"/>
    <w:multiLevelType w:val="multilevel"/>
    <w:tmpl w:val="CB9E2278"/>
    <w:lvl w:ilvl="0">
      <w:start w:val="1"/>
      <w:numFmt w:val="decimal"/>
      <w:lvlText w:val="%1."/>
      <w:lvlJc w:val="left"/>
      <w:pPr>
        <w:ind w:left="9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8160" w:hanging="1800"/>
      </w:pPr>
      <w:rPr>
        <w:rFonts w:hint="default"/>
      </w:rPr>
    </w:lvl>
  </w:abstractNum>
  <w:abstractNum w:abstractNumId="12" w15:restartNumberingAfterBreak="0">
    <w:nsid w:val="2DF13FF6"/>
    <w:multiLevelType w:val="hybridMultilevel"/>
    <w:tmpl w:val="2BB8A8D0"/>
    <w:lvl w:ilvl="0" w:tplc="B2DA0A9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0380639"/>
    <w:multiLevelType w:val="multilevel"/>
    <w:tmpl w:val="DC263F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787488"/>
    <w:multiLevelType w:val="hybridMultilevel"/>
    <w:tmpl w:val="9EB2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E6EE7"/>
    <w:multiLevelType w:val="hybridMultilevel"/>
    <w:tmpl w:val="198ED9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F7F12"/>
    <w:multiLevelType w:val="hybridMultilevel"/>
    <w:tmpl w:val="797E3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E2D00"/>
    <w:multiLevelType w:val="multilevel"/>
    <w:tmpl w:val="26364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36300417"/>
    <w:multiLevelType w:val="hybridMultilevel"/>
    <w:tmpl w:val="9EB2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C42153"/>
    <w:multiLevelType w:val="hybridMultilevel"/>
    <w:tmpl w:val="25FECC94"/>
    <w:lvl w:ilvl="0" w:tplc="CEECA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840C37"/>
    <w:multiLevelType w:val="hybridMultilevel"/>
    <w:tmpl w:val="E5801E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919C0"/>
    <w:multiLevelType w:val="hybridMultilevel"/>
    <w:tmpl w:val="2BD61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0857"/>
    <w:multiLevelType w:val="hybridMultilevel"/>
    <w:tmpl w:val="6B040A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90E"/>
    <w:multiLevelType w:val="hybridMultilevel"/>
    <w:tmpl w:val="349CD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24B71"/>
    <w:multiLevelType w:val="hybridMultilevel"/>
    <w:tmpl w:val="AE64AE94"/>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7" w15:restartNumberingAfterBreak="0">
    <w:nsid w:val="545C203B"/>
    <w:multiLevelType w:val="hybridMultilevel"/>
    <w:tmpl w:val="F9DAB3F4"/>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8" w15:restartNumberingAfterBreak="0">
    <w:nsid w:val="585337A4"/>
    <w:multiLevelType w:val="multilevel"/>
    <w:tmpl w:val="05E46586"/>
    <w:lvl w:ilvl="0">
      <w:start w:val="1"/>
      <w:numFmt w:val="decimal"/>
      <w:lvlText w:val="%1."/>
      <w:lvlJc w:val="left"/>
      <w:pPr>
        <w:ind w:left="990" w:hanging="360"/>
      </w:pPr>
      <w:rPr>
        <w:rFonts w:hint="default"/>
      </w:rPr>
    </w:lvl>
    <w:lvl w:ilvl="1">
      <w:start w:val="1"/>
      <w:numFmt w:val="lowerLetter"/>
      <w:lvlText w:val="%2."/>
      <w:lvlJc w:val="left"/>
      <w:pPr>
        <w:ind w:left="171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8160" w:hanging="1800"/>
      </w:pPr>
      <w:rPr>
        <w:rFonts w:hint="default"/>
      </w:rPr>
    </w:lvl>
  </w:abstractNum>
  <w:abstractNum w:abstractNumId="29" w15:restartNumberingAfterBreak="0">
    <w:nsid w:val="5B163375"/>
    <w:multiLevelType w:val="hybridMultilevel"/>
    <w:tmpl w:val="CA2EC3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4A5229"/>
    <w:multiLevelType w:val="hybridMultilevel"/>
    <w:tmpl w:val="CF9E6A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A834DE"/>
    <w:multiLevelType w:val="hybridMultilevel"/>
    <w:tmpl w:val="34146E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F4CCB"/>
    <w:multiLevelType w:val="multilevel"/>
    <w:tmpl w:val="BBB49AB6"/>
    <w:lvl w:ilvl="0">
      <w:start w:val="1"/>
      <w:numFmt w:val="decimal"/>
      <w:lvlText w:val="%1."/>
      <w:lvlJc w:val="left"/>
      <w:pPr>
        <w:ind w:left="117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AD5C02"/>
    <w:multiLevelType w:val="hybridMultilevel"/>
    <w:tmpl w:val="0BCE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E504B"/>
    <w:multiLevelType w:val="hybridMultilevel"/>
    <w:tmpl w:val="5F548E68"/>
    <w:lvl w:ilvl="0" w:tplc="FB102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9" w15:restartNumberingAfterBreak="0">
    <w:nsid w:val="7C384A0B"/>
    <w:multiLevelType w:val="hybridMultilevel"/>
    <w:tmpl w:val="CF9E6A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C623E7"/>
    <w:multiLevelType w:val="hybridMultilevel"/>
    <w:tmpl w:val="8CC4D47E"/>
    <w:lvl w:ilvl="0" w:tplc="50CCF48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FDF67A3"/>
    <w:multiLevelType w:val="multilevel"/>
    <w:tmpl w:val="05E46586"/>
    <w:lvl w:ilvl="0">
      <w:start w:val="1"/>
      <w:numFmt w:val="decimal"/>
      <w:lvlText w:val="%1."/>
      <w:lvlJc w:val="left"/>
      <w:pPr>
        <w:ind w:left="990" w:hanging="360"/>
      </w:pPr>
      <w:rPr>
        <w:rFonts w:hint="default"/>
      </w:rPr>
    </w:lvl>
    <w:lvl w:ilvl="1">
      <w:start w:val="1"/>
      <w:numFmt w:val="lowerLetter"/>
      <w:lvlText w:val="%2."/>
      <w:lvlJc w:val="left"/>
      <w:pPr>
        <w:ind w:left="171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8160" w:hanging="1800"/>
      </w:pPr>
      <w:rPr>
        <w:rFonts w:hint="default"/>
      </w:rPr>
    </w:lvl>
  </w:abstractNum>
  <w:num w:numId="1">
    <w:abstractNumId w:val="19"/>
  </w:num>
  <w:num w:numId="2">
    <w:abstractNumId w:val="22"/>
  </w:num>
  <w:num w:numId="3">
    <w:abstractNumId w:val="34"/>
  </w:num>
  <w:num w:numId="4">
    <w:abstractNumId w:val="3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32"/>
  </w:num>
  <w:num w:numId="11">
    <w:abstractNumId w:val="35"/>
  </w:num>
  <w:num w:numId="12">
    <w:abstractNumId w:val="35"/>
  </w:num>
  <w:num w:numId="13">
    <w:abstractNumId w:val="35"/>
  </w:num>
  <w:num w:numId="14">
    <w:abstractNumId w:val="35"/>
    <w:lvlOverride w:ilvl="0">
      <w:startOverride w:val="1"/>
    </w:lvlOverride>
  </w:num>
  <w:num w:numId="15">
    <w:abstractNumId w:val="20"/>
  </w:num>
  <w:num w:numId="16">
    <w:abstractNumId w:val="40"/>
  </w:num>
  <w:num w:numId="17">
    <w:abstractNumId w:val="16"/>
  </w:num>
  <w:num w:numId="18">
    <w:abstractNumId w:val="8"/>
  </w:num>
  <w:num w:numId="19">
    <w:abstractNumId w:val="11"/>
  </w:num>
  <w:num w:numId="20">
    <w:abstractNumId w:val="6"/>
  </w:num>
  <w:num w:numId="21">
    <w:abstractNumId w:val="12"/>
  </w:num>
  <w:num w:numId="22">
    <w:abstractNumId w:val="41"/>
  </w:num>
  <w:num w:numId="23">
    <w:abstractNumId w:val="33"/>
  </w:num>
  <w:num w:numId="24">
    <w:abstractNumId w:val="7"/>
  </w:num>
  <w:num w:numId="25">
    <w:abstractNumId w:val="37"/>
  </w:num>
  <w:num w:numId="26">
    <w:abstractNumId w:val="18"/>
  </w:num>
  <w:num w:numId="27">
    <w:abstractNumId w:val="17"/>
  </w:num>
  <w:num w:numId="28">
    <w:abstractNumId w:val="2"/>
  </w:num>
  <w:num w:numId="29">
    <w:abstractNumId w:val="14"/>
  </w:num>
  <w:num w:numId="30">
    <w:abstractNumId w:val="13"/>
  </w:num>
  <w:num w:numId="31">
    <w:abstractNumId w:val="0"/>
  </w:num>
  <w:num w:numId="32">
    <w:abstractNumId w:val="9"/>
  </w:num>
  <w:num w:numId="33">
    <w:abstractNumId w:val="28"/>
  </w:num>
  <w:num w:numId="34">
    <w:abstractNumId w:val="29"/>
  </w:num>
  <w:num w:numId="35">
    <w:abstractNumId w:val="10"/>
  </w:num>
  <w:num w:numId="36">
    <w:abstractNumId w:val="26"/>
  </w:num>
  <w:num w:numId="37">
    <w:abstractNumId w:val="36"/>
  </w:num>
  <w:num w:numId="38">
    <w:abstractNumId w:val="27"/>
  </w:num>
  <w:num w:numId="39">
    <w:abstractNumId w:val="21"/>
  </w:num>
  <w:num w:numId="40">
    <w:abstractNumId w:val="15"/>
  </w:num>
  <w:num w:numId="41">
    <w:abstractNumId w:val="23"/>
  </w:num>
  <w:num w:numId="42">
    <w:abstractNumId w:val="25"/>
  </w:num>
  <w:num w:numId="43">
    <w:abstractNumId w:val="24"/>
  </w:num>
  <w:num w:numId="44">
    <w:abstractNumId w:val="31"/>
  </w:num>
  <w:num w:numId="45">
    <w:abstractNumId w:val="1"/>
  </w:num>
  <w:num w:numId="46">
    <w:abstractNumId w:val="39"/>
  </w:num>
  <w:num w:numId="47">
    <w:abstractNumId w:val="30"/>
  </w:num>
  <w:num w:numId="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858A5"/>
    <w:rsid w:val="0009111F"/>
    <w:rsid w:val="00092447"/>
    <w:rsid w:val="00097591"/>
    <w:rsid w:val="000A1EA4"/>
    <w:rsid w:val="000A43F4"/>
    <w:rsid w:val="000A51C0"/>
    <w:rsid w:val="000A728C"/>
    <w:rsid w:val="000B033C"/>
    <w:rsid w:val="000B04ED"/>
    <w:rsid w:val="000C05F2"/>
    <w:rsid w:val="000C10FD"/>
    <w:rsid w:val="000C2A6A"/>
    <w:rsid w:val="000C6891"/>
    <w:rsid w:val="000D2C90"/>
    <w:rsid w:val="000D2EF1"/>
    <w:rsid w:val="000E3CE2"/>
    <w:rsid w:val="000E5B8B"/>
    <w:rsid w:val="000E65E3"/>
    <w:rsid w:val="000E6907"/>
    <w:rsid w:val="000E758D"/>
    <w:rsid w:val="000F44A7"/>
    <w:rsid w:val="000F5CD6"/>
    <w:rsid w:val="001002EE"/>
    <w:rsid w:val="001028EE"/>
    <w:rsid w:val="0010697A"/>
    <w:rsid w:val="001073A9"/>
    <w:rsid w:val="00110234"/>
    <w:rsid w:val="001136AE"/>
    <w:rsid w:val="001307B1"/>
    <w:rsid w:val="00133E25"/>
    <w:rsid w:val="00147218"/>
    <w:rsid w:val="00151BB6"/>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2DA"/>
    <w:rsid w:val="002347C1"/>
    <w:rsid w:val="002406B9"/>
    <w:rsid w:val="002413E5"/>
    <w:rsid w:val="002425FA"/>
    <w:rsid w:val="002451BA"/>
    <w:rsid w:val="00251171"/>
    <w:rsid w:val="00253095"/>
    <w:rsid w:val="002544FF"/>
    <w:rsid w:val="002554A6"/>
    <w:rsid w:val="0025632F"/>
    <w:rsid w:val="00256BD9"/>
    <w:rsid w:val="0026202E"/>
    <w:rsid w:val="002629AC"/>
    <w:rsid w:val="0026353B"/>
    <w:rsid w:val="0026748C"/>
    <w:rsid w:val="00281797"/>
    <w:rsid w:val="002973A2"/>
    <w:rsid w:val="002A3E3C"/>
    <w:rsid w:val="002B7EAC"/>
    <w:rsid w:val="002C2E10"/>
    <w:rsid w:val="002D44C1"/>
    <w:rsid w:val="002E06AD"/>
    <w:rsid w:val="002E2BA6"/>
    <w:rsid w:val="002E7E39"/>
    <w:rsid w:val="002F64B9"/>
    <w:rsid w:val="00301570"/>
    <w:rsid w:val="003041C6"/>
    <w:rsid w:val="0032377D"/>
    <w:rsid w:val="00327C4D"/>
    <w:rsid w:val="00335902"/>
    <w:rsid w:val="00341E64"/>
    <w:rsid w:val="003432C0"/>
    <w:rsid w:val="0034679A"/>
    <w:rsid w:val="003509F9"/>
    <w:rsid w:val="00353C0F"/>
    <w:rsid w:val="003551FD"/>
    <w:rsid w:val="00366A9A"/>
    <w:rsid w:val="0038097D"/>
    <w:rsid w:val="00380DF7"/>
    <w:rsid w:val="003821CE"/>
    <w:rsid w:val="00391558"/>
    <w:rsid w:val="003925E3"/>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5AA3"/>
    <w:rsid w:val="0041764C"/>
    <w:rsid w:val="004235C5"/>
    <w:rsid w:val="0044388D"/>
    <w:rsid w:val="004511F3"/>
    <w:rsid w:val="00451770"/>
    <w:rsid w:val="004553E8"/>
    <w:rsid w:val="00461364"/>
    <w:rsid w:val="004619BF"/>
    <w:rsid w:val="00463AAA"/>
    <w:rsid w:val="0046616B"/>
    <w:rsid w:val="00474EBA"/>
    <w:rsid w:val="00491E5A"/>
    <w:rsid w:val="004A683B"/>
    <w:rsid w:val="004C5749"/>
    <w:rsid w:val="004D3F73"/>
    <w:rsid w:val="004D58AA"/>
    <w:rsid w:val="004E766F"/>
    <w:rsid w:val="004F3FAB"/>
    <w:rsid w:val="00502ACD"/>
    <w:rsid w:val="0051416E"/>
    <w:rsid w:val="0052064A"/>
    <w:rsid w:val="0052326B"/>
    <w:rsid w:val="00523474"/>
    <w:rsid w:val="005235EA"/>
    <w:rsid w:val="00524D92"/>
    <w:rsid w:val="00526E21"/>
    <w:rsid w:val="005378EF"/>
    <w:rsid w:val="005448BC"/>
    <w:rsid w:val="00551715"/>
    <w:rsid w:val="00561CB9"/>
    <w:rsid w:val="0056313C"/>
    <w:rsid w:val="00582B82"/>
    <w:rsid w:val="005870D2"/>
    <w:rsid w:val="00593284"/>
    <w:rsid w:val="005A4E3F"/>
    <w:rsid w:val="005B3FF1"/>
    <w:rsid w:val="005C144C"/>
    <w:rsid w:val="005C581A"/>
    <w:rsid w:val="005C690D"/>
    <w:rsid w:val="005D0115"/>
    <w:rsid w:val="005D6FB4"/>
    <w:rsid w:val="005E5CF7"/>
    <w:rsid w:val="005E7993"/>
    <w:rsid w:val="005E7DAC"/>
    <w:rsid w:val="005F2765"/>
    <w:rsid w:val="005F4110"/>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32B"/>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35D1F"/>
    <w:rsid w:val="00763486"/>
    <w:rsid w:val="00771B60"/>
    <w:rsid w:val="00772448"/>
    <w:rsid w:val="00785422"/>
    <w:rsid w:val="007A767B"/>
    <w:rsid w:val="007B2DD3"/>
    <w:rsid w:val="007B3C9E"/>
    <w:rsid w:val="007B50C8"/>
    <w:rsid w:val="007B7E37"/>
    <w:rsid w:val="007C60EA"/>
    <w:rsid w:val="007E2D4E"/>
    <w:rsid w:val="007E7732"/>
    <w:rsid w:val="007F22E9"/>
    <w:rsid w:val="007F6B7A"/>
    <w:rsid w:val="00813717"/>
    <w:rsid w:val="00816E35"/>
    <w:rsid w:val="00820F2D"/>
    <w:rsid w:val="00822A08"/>
    <w:rsid w:val="00824D03"/>
    <w:rsid w:val="0084076A"/>
    <w:rsid w:val="00840EB3"/>
    <w:rsid w:val="0085751C"/>
    <w:rsid w:val="00862AEF"/>
    <w:rsid w:val="008644B1"/>
    <w:rsid w:val="00866359"/>
    <w:rsid w:val="00870B1C"/>
    <w:rsid w:val="00870E14"/>
    <w:rsid w:val="00872044"/>
    <w:rsid w:val="0088105A"/>
    <w:rsid w:val="008852EE"/>
    <w:rsid w:val="00887AE0"/>
    <w:rsid w:val="00890053"/>
    <w:rsid w:val="00893C16"/>
    <w:rsid w:val="008A29BB"/>
    <w:rsid w:val="008A36A1"/>
    <w:rsid w:val="008A7FE8"/>
    <w:rsid w:val="008B47DE"/>
    <w:rsid w:val="008B61CC"/>
    <w:rsid w:val="008C413A"/>
    <w:rsid w:val="008E16B1"/>
    <w:rsid w:val="008E2433"/>
    <w:rsid w:val="008E261F"/>
    <w:rsid w:val="008E4F89"/>
    <w:rsid w:val="008E4FB8"/>
    <w:rsid w:val="008F3AB7"/>
    <w:rsid w:val="00902501"/>
    <w:rsid w:val="00904FFE"/>
    <w:rsid w:val="00920578"/>
    <w:rsid w:val="00926971"/>
    <w:rsid w:val="0094557E"/>
    <w:rsid w:val="00945AF0"/>
    <w:rsid w:val="00952900"/>
    <w:rsid w:val="00952ADC"/>
    <w:rsid w:val="009623C8"/>
    <w:rsid w:val="00962F89"/>
    <w:rsid w:val="00974CB9"/>
    <w:rsid w:val="00982D37"/>
    <w:rsid w:val="00990BEA"/>
    <w:rsid w:val="009A3908"/>
    <w:rsid w:val="009A77D2"/>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4DB2"/>
    <w:rsid w:val="00A153FF"/>
    <w:rsid w:val="00A1776F"/>
    <w:rsid w:val="00A21A6D"/>
    <w:rsid w:val="00A2219E"/>
    <w:rsid w:val="00A46999"/>
    <w:rsid w:val="00A47ECA"/>
    <w:rsid w:val="00A65865"/>
    <w:rsid w:val="00A7748A"/>
    <w:rsid w:val="00A93F53"/>
    <w:rsid w:val="00AB191A"/>
    <w:rsid w:val="00AB6757"/>
    <w:rsid w:val="00AD119C"/>
    <w:rsid w:val="00AD3ED3"/>
    <w:rsid w:val="00AD6EAA"/>
    <w:rsid w:val="00AE1BC2"/>
    <w:rsid w:val="00AE4A64"/>
    <w:rsid w:val="00B033F7"/>
    <w:rsid w:val="00B04543"/>
    <w:rsid w:val="00B048D9"/>
    <w:rsid w:val="00B159E2"/>
    <w:rsid w:val="00B1796D"/>
    <w:rsid w:val="00B2628E"/>
    <w:rsid w:val="00B344BC"/>
    <w:rsid w:val="00B3456B"/>
    <w:rsid w:val="00B36034"/>
    <w:rsid w:val="00B3765F"/>
    <w:rsid w:val="00B40B6E"/>
    <w:rsid w:val="00B40CD8"/>
    <w:rsid w:val="00B43DB9"/>
    <w:rsid w:val="00B459D0"/>
    <w:rsid w:val="00B476A4"/>
    <w:rsid w:val="00B56F84"/>
    <w:rsid w:val="00B6337D"/>
    <w:rsid w:val="00B73F85"/>
    <w:rsid w:val="00B80A9E"/>
    <w:rsid w:val="00B84425"/>
    <w:rsid w:val="00B87470"/>
    <w:rsid w:val="00B9216F"/>
    <w:rsid w:val="00B96DAD"/>
    <w:rsid w:val="00BA18E0"/>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1225"/>
    <w:rsid w:val="00C434B8"/>
    <w:rsid w:val="00C4787D"/>
    <w:rsid w:val="00C5052A"/>
    <w:rsid w:val="00C50630"/>
    <w:rsid w:val="00C62B47"/>
    <w:rsid w:val="00C66A25"/>
    <w:rsid w:val="00C67BC1"/>
    <w:rsid w:val="00C71292"/>
    <w:rsid w:val="00C750CD"/>
    <w:rsid w:val="00C86665"/>
    <w:rsid w:val="00C9041A"/>
    <w:rsid w:val="00C95B9D"/>
    <w:rsid w:val="00CA7E82"/>
    <w:rsid w:val="00CB7D2E"/>
    <w:rsid w:val="00CC6583"/>
    <w:rsid w:val="00CE56A2"/>
    <w:rsid w:val="00CF4DC6"/>
    <w:rsid w:val="00D02414"/>
    <w:rsid w:val="00D150F2"/>
    <w:rsid w:val="00D20EC1"/>
    <w:rsid w:val="00D33F1F"/>
    <w:rsid w:val="00D3656D"/>
    <w:rsid w:val="00D54417"/>
    <w:rsid w:val="00D61618"/>
    <w:rsid w:val="00D62698"/>
    <w:rsid w:val="00D7219A"/>
    <w:rsid w:val="00D77EDD"/>
    <w:rsid w:val="00D837ED"/>
    <w:rsid w:val="00D84A3E"/>
    <w:rsid w:val="00D86043"/>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65D95"/>
    <w:rsid w:val="00E731F2"/>
    <w:rsid w:val="00E73EFC"/>
    <w:rsid w:val="00E76715"/>
    <w:rsid w:val="00E837AC"/>
    <w:rsid w:val="00E85228"/>
    <w:rsid w:val="00E85CEC"/>
    <w:rsid w:val="00E91657"/>
    <w:rsid w:val="00E91BFD"/>
    <w:rsid w:val="00E94131"/>
    <w:rsid w:val="00E96A8E"/>
    <w:rsid w:val="00EA5BC7"/>
    <w:rsid w:val="00EC7EF2"/>
    <w:rsid w:val="00ED771E"/>
    <w:rsid w:val="00EF4D17"/>
    <w:rsid w:val="00EF6FF9"/>
    <w:rsid w:val="00F164AF"/>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B1CCD"/>
    <w:rsid w:val="00FD60C5"/>
    <w:rsid w:val="00FD687D"/>
    <w:rsid w:val="00FD6887"/>
    <w:rsid w:val="00FF0138"/>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DD6FDDC"/>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5B3F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1C71607-DFC1-4F8C-90FA-4CAE9654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1439</TotalTime>
  <Pages>10</Pages>
  <Words>2358</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10</cp:revision>
  <cp:lastPrinted>2011-02-16T21:14:00Z</cp:lastPrinted>
  <dcterms:created xsi:type="dcterms:W3CDTF">2022-07-12T20:01:00Z</dcterms:created>
  <dcterms:modified xsi:type="dcterms:W3CDTF">2022-07-13T20:32:00Z</dcterms:modified>
</cp:coreProperties>
</file>