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4951" w14:textId="77777777" w:rsidR="00201230" w:rsidRDefault="00201230" w:rsidP="00201230"/>
    <w:p w14:paraId="3259A8DC" w14:textId="78DD7DD7" w:rsidR="00201230" w:rsidRPr="006C06BD" w:rsidRDefault="00201230" w:rsidP="00201230">
      <w:pPr>
        <w:rPr>
          <w:b/>
          <w:bCs/>
          <w:color w:val="4472C4" w:themeColor="accent1"/>
        </w:rPr>
      </w:pPr>
      <w:r w:rsidRPr="006C06BD">
        <w:rPr>
          <w:b/>
          <w:bCs/>
          <w:color w:val="4472C4" w:themeColor="accent1"/>
        </w:rPr>
        <w:t>Subject:</w:t>
      </w:r>
    </w:p>
    <w:p w14:paraId="5528AEB7" w14:textId="26740548" w:rsidR="00201230" w:rsidRPr="006C06BD" w:rsidRDefault="00201230" w:rsidP="00002779">
      <w:pPr>
        <w:ind w:firstLine="720"/>
        <w:rPr>
          <w:color w:val="4472C4" w:themeColor="accent1"/>
        </w:rPr>
      </w:pPr>
      <w:r w:rsidRPr="006C06BD">
        <w:rPr>
          <w:b/>
          <w:bCs/>
          <w:i/>
          <w:iCs/>
          <w:color w:val="4472C4" w:themeColor="accent1"/>
        </w:rPr>
        <w:t>Proficiency Testing (PT) Policy (QUAL-POL-0012</w:t>
      </w:r>
      <w:proofErr w:type="gramStart"/>
      <w:r w:rsidRPr="006C06BD">
        <w:rPr>
          <w:b/>
          <w:bCs/>
          <w:i/>
          <w:iCs/>
          <w:color w:val="4472C4" w:themeColor="accent1"/>
        </w:rPr>
        <w:t xml:space="preserve">) </w:t>
      </w:r>
      <w:r w:rsidRPr="006C06BD">
        <w:rPr>
          <w:color w:val="4472C4" w:themeColor="accent1"/>
        </w:rPr>
        <w:t> is</w:t>
      </w:r>
      <w:proofErr w:type="gramEnd"/>
      <w:r w:rsidRPr="006C06BD">
        <w:rPr>
          <w:color w:val="4472C4" w:themeColor="accent1"/>
        </w:rPr>
        <w:t xml:space="preserve"> now an effective document in Title21.  Attached to the PT policy is the PowerPoint presentation </w:t>
      </w:r>
      <w:r w:rsidRPr="006C06BD">
        <w:rPr>
          <w:b/>
          <w:bCs/>
          <w:i/>
          <w:iCs/>
          <w:color w:val="4472C4" w:themeColor="accent1"/>
        </w:rPr>
        <w:t>Proficiency Testing Education Module</w:t>
      </w:r>
      <w:r w:rsidRPr="006C06BD">
        <w:rPr>
          <w:color w:val="4472C4" w:themeColor="accent1"/>
        </w:rPr>
        <w:t xml:space="preserve">. </w:t>
      </w:r>
    </w:p>
    <w:p w14:paraId="14C383E4" w14:textId="39C63582" w:rsidR="00201230" w:rsidRPr="006C06BD" w:rsidRDefault="00201230" w:rsidP="00201230">
      <w:pPr>
        <w:rPr>
          <w:b/>
          <w:bCs/>
          <w:color w:val="4472C4" w:themeColor="accent1"/>
        </w:rPr>
      </w:pPr>
      <w:r w:rsidRPr="006C06BD">
        <w:rPr>
          <w:b/>
          <w:bCs/>
          <w:color w:val="4472C4" w:themeColor="accent1"/>
        </w:rPr>
        <w:t>Background:</w:t>
      </w:r>
    </w:p>
    <w:p w14:paraId="2BA77A67" w14:textId="77777777" w:rsidR="00201230" w:rsidRPr="006C06BD" w:rsidRDefault="00201230" w:rsidP="00201230">
      <w:pPr>
        <w:ind w:firstLine="720"/>
        <w:rPr>
          <w:color w:val="4472C4" w:themeColor="accent1"/>
        </w:rPr>
      </w:pPr>
      <w:r w:rsidRPr="006C06BD">
        <w:rPr>
          <w:color w:val="4472C4" w:themeColor="accent1"/>
        </w:rPr>
        <w:t xml:space="preserve">The </w:t>
      </w:r>
      <w:r w:rsidRPr="006C06BD">
        <w:rPr>
          <w:b/>
          <w:bCs/>
          <w:i/>
          <w:iCs/>
          <w:color w:val="4472C4" w:themeColor="accent1"/>
        </w:rPr>
        <w:t>Proficiency Testing (PT) Policy</w:t>
      </w:r>
      <w:r w:rsidRPr="006C06BD">
        <w:rPr>
          <w:color w:val="4472C4" w:themeColor="accent1"/>
        </w:rPr>
        <w:t xml:space="preserve"> has been revised to:</w:t>
      </w:r>
    </w:p>
    <w:p w14:paraId="530F7A36" w14:textId="77777777" w:rsidR="00201230" w:rsidRPr="006C06BD" w:rsidRDefault="00201230" w:rsidP="00201230">
      <w:pPr>
        <w:pStyle w:val="ListParagraph"/>
        <w:numPr>
          <w:ilvl w:val="0"/>
          <w:numId w:val="1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t>better define the proper and improper handling of PT samples</w:t>
      </w:r>
    </w:p>
    <w:p w14:paraId="13D05DAF" w14:textId="77777777" w:rsidR="00201230" w:rsidRPr="006C06BD" w:rsidRDefault="00201230" w:rsidP="00201230">
      <w:pPr>
        <w:pStyle w:val="ListParagraph"/>
        <w:numPr>
          <w:ilvl w:val="0"/>
          <w:numId w:val="1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t>add guidance on how to identify potential PT sample referred to the lab</w:t>
      </w:r>
    </w:p>
    <w:p w14:paraId="3BA6C3EA" w14:textId="77777777" w:rsidR="00201230" w:rsidRPr="006C06BD" w:rsidRDefault="00201230" w:rsidP="00201230">
      <w:pPr>
        <w:pStyle w:val="ListParagraph"/>
        <w:numPr>
          <w:ilvl w:val="0"/>
          <w:numId w:val="1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t xml:space="preserve">clarify the notification and escalation process for suspected PT sample referred to the lab </w:t>
      </w:r>
    </w:p>
    <w:p w14:paraId="05B69BDC" w14:textId="1582A5B8" w:rsidR="00201230" w:rsidRPr="006C06BD" w:rsidRDefault="00201230" w:rsidP="00002779">
      <w:pPr>
        <w:pStyle w:val="ListParagraph"/>
        <w:numPr>
          <w:ilvl w:val="0"/>
          <w:numId w:val="1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t xml:space="preserve">the addition of the PowerPoint presentation - </w:t>
      </w:r>
      <w:r w:rsidRPr="006C06BD">
        <w:rPr>
          <w:rFonts w:eastAsia="Times New Roman"/>
          <w:i/>
          <w:iCs/>
          <w:color w:val="4472C4" w:themeColor="accent1"/>
        </w:rPr>
        <w:t>Proficiency Testing Education Module</w:t>
      </w:r>
      <w:r w:rsidRPr="006C06BD">
        <w:rPr>
          <w:rFonts w:eastAsia="Times New Roman"/>
          <w:color w:val="4472C4" w:themeColor="accent1"/>
        </w:rPr>
        <w:t xml:space="preserve">. The module has been uploaded to Medical Training Solution (MTS) system and a test has been developed for the module.  </w:t>
      </w:r>
    </w:p>
    <w:p w14:paraId="4985E75E" w14:textId="77777777" w:rsidR="00201230" w:rsidRPr="006C06BD" w:rsidRDefault="00201230" w:rsidP="00201230">
      <w:pPr>
        <w:rPr>
          <w:b/>
          <w:bCs/>
          <w:color w:val="4472C4" w:themeColor="accent1"/>
        </w:rPr>
      </w:pPr>
      <w:r w:rsidRPr="006C06BD">
        <w:rPr>
          <w:b/>
          <w:bCs/>
          <w:color w:val="4472C4" w:themeColor="accent1"/>
        </w:rPr>
        <w:t>Assessment:</w:t>
      </w:r>
    </w:p>
    <w:p w14:paraId="3109CD94" w14:textId="1F52B983" w:rsidR="00201230" w:rsidRPr="006C06BD" w:rsidRDefault="00201230" w:rsidP="00201230">
      <w:pPr>
        <w:pStyle w:val="ListParagraph"/>
        <w:numPr>
          <w:ilvl w:val="1"/>
          <w:numId w:val="2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t xml:space="preserve">The CLIA rules regarding the Referral of PT sample, the running of Referred PT </w:t>
      </w:r>
      <w:proofErr w:type="gramStart"/>
      <w:r w:rsidRPr="006C06BD">
        <w:rPr>
          <w:rFonts w:eastAsia="Times New Roman"/>
          <w:color w:val="4472C4" w:themeColor="accent1"/>
        </w:rPr>
        <w:t>sample  and</w:t>
      </w:r>
      <w:proofErr w:type="gramEnd"/>
      <w:r w:rsidRPr="006C06BD">
        <w:rPr>
          <w:rFonts w:eastAsia="Times New Roman"/>
          <w:color w:val="4472C4" w:themeColor="accent1"/>
        </w:rPr>
        <w:t xml:space="preserve"> the Interlaboratory Communication of PT results before the PT event cut-off date carries heavy penalties for the laboratories involved. Penalties for not following the CLIA rules </w:t>
      </w:r>
      <w:proofErr w:type="gramStart"/>
      <w:r w:rsidRPr="006C06BD">
        <w:rPr>
          <w:rFonts w:eastAsia="Times New Roman"/>
          <w:color w:val="4472C4" w:themeColor="accent1"/>
        </w:rPr>
        <w:t>range  from</w:t>
      </w:r>
      <w:proofErr w:type="gramEnd"/>
      <w:r w:rsidRPr="006C06BD">
        <w:rPr>
          <w:rFonts w:eastAsia="Times New Roman"/>
          <w:color w:val="4472C4" w:themeColor="accent1"/>
        </w:rPr>
        <w:t xml:space="preserve"> civil monetary penalty,  suspension and up to revocation of CLIA Certificate for at least 1 year.</w:t>
      </w:r>
    </w:p>
    <w:p w14:paraId="602064BB" w14:textId="53A0FDE9" w:rsidR="00201230" w:rsidRPr="006C06BD" w:rsidRDefault="00201230" w:rsidP="00201230">
      <w:pPr>
        <w:pStyle w:val="ListParagraph"/>
        <w:numPr>
          <w:ilvl w:val="1"/>
          <w:numId w:val="2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t xml:space="preserve">All teammates should be aware of the PT rules (handling, referral and interlaboratory communication) and the consequences for not following the rules. </w:t>
      </w:r>
    </w:p>
    <w:p w14:paraId="55C53C17" w14:textId="6CAB373C" w:rsidR="00201230" w:rsidRPr="006C06BD" w:rsidRDefault="00201230" w:rsidP="00201230">
      <w:pPr>
        <w:pStyle w:val="ListParagraph"/>
        <w:numPr>
          <w:ilvl w:val="1"/>
          <w:numId w:val="2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t xml:space="preserve">All teammates should be aware of the revised PT Policy. </w:t>
      </w:r>
    </w:p>
    <w:p w14:paraId="14254B34" w14:textId="00C44BFF" w:rsidR="00201230" w:rsidRPr="006C06BD" w:rsidRDefault="00201230" w:rsidP="00201230">
      <w:pPr>
        <w:pStyle w:val="ListParagraph"/>
        <w:numPr>
          <w:ilvl w:val="1"/>
          <w:numId w:val="2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t>Managers should follow recommendations below to ensure dissemination of information to all teammates.</w:t>
      </w:r>
    </w:p>
    <w:p w14:paraId="75C2B4F9" w14:textId="0100F804" w:rsidR="00201230" w:rsidRPr="006C06BD" w:rsidRDefault="00201230" w:rsidP="00201230">
      <w:pPr>
        <w:rPr>
          <w:b/>
          <w:bCs/>
          <w:color w:val="4472C4" w:themeColor="accent1"/>
        </w:rPr>
      </w:pPr>
      <w:r w:rsidRPr="006C06BD">
        <w:rPr>
          <w:b/>
          <w:bCs/>
          <w:color w:val="4472C4" w:themeColor="accent1"/>
        </w:rPr>
        <w:t>Recommendation:</w:t>
      </w:r>
    </w:p>
    <w:p w14:paraId="49A59F4E" w14:textId="72095151" w:rsidR="00201230" w:rsidRPr="006C06BD" w:rsidRDefault="00201230" w:rsidP="00201230">
      <w:pPr>
        <w:pStyle w:val="ListParagraph"/>
        <w:numPr>
          <w:ilvl w:val="0"/>
          <w:numId w:val="3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t xml:space="preserve">Assign the </w:t>
      </w:r>
      <w:r w:rsidRPr="006C06BD">
        <w:rPr>
          <w:rFonts w:eastAsia="Times New Roman"/>
          <w:i/>
          <w:iCs/>
          <w:color w:val="4472C4" w:themeColor="accent1"/>
        </w:rPr>
        <w:t>PT Education Module</w:t>
      </w:r>
      <w:r w:rsidRPr="006C06BD">
        <w:rPr>
          <w:rFonts w:eastAsia="Times New Roman"/>
          <w:color w:val="4472C4" w:themeColor="accent1"/>
        </w:rPr>
        <w:t xml:space="preserve"> in MTS to all teammates. There are 2 modules, 1 for </w:t>
      </w:r>
      <w:r w:rsidRPr="006C06BD">
        <w:rPr>
          <w:rFonts w:eastAsia="Times New Roman"/>
          <w:i/>
          <w:iCs/>
          <w:color w:val="4472C4" w:themeColor="accent1"/>
        </w:rPr>
        <w:t>Testing Personnel</w:t>
      </w:r>
      <w:r w:rsidRPr="006C06BD">
        <w:rPr>
          <w:rFonts w:eastAsia="Times New Roman"/>
          <w:color w:val="4472C4" w:themeColor="accent1"/>
        </w:rPr>
        <w:t xml:space="preserve"> and 1 for </w:t>
      </w:r>
      <w:r w:rsidRPr="006C06BD">
        <w:rPr>
          <w:rFonts w:eastAsia="Times New Roman"/>
          <w:i/>
          <w:iCs/>
          <w:color w:val="4472C4" w:themeColor="accent1"/>
        </w:rPr>
        <w:t>Non-Testing Personnel</w:t>
      </w:r>
      <w:r w:rsidRPr="006C06BD">
        <w:rPr>
          <w:rFonts w:eastAsia="Times New Roman"/>
          <w:color w:val="4472C4" w:themeColor="accent1"/>
        </w:rPr>
        <w:t>. You can find both modules under the “</w:t>
      </w:r>
      <w:r w:rsidRPr="006C06BD">
        <w:rPr>
          <w:rFonts w:eastAsia="Times New Roman"/>
          <w:i/>
          <w:iCs/>
          <w:color w:val="4472C4" w:themeColor="accent1"/>
        </w:rPr>
        <w:t>AH WFBMC Quality, Safety &amp; Accreditation</w:t>
      </w:r>
      <w:r w:rsidRPr="006C06BD">
        <w:rPr>
          <w:rFonts w:eastAsia="Times New Roman"/>
          <w:color w:val="4472C4" w:themeColor="accent1"/>
        </w:rPr>
        <w:t>” folder (see image below).</w:t>
      </w:r>
    </w:p>
    <w:p w14:paraId="52090778" w14:textId="323CFE7D" w:rsidR="00201230" w:rsidRDefault="00201230" w:rsidP="00002779">
      <w:pPr>
        <w:pStyle w:val="ListParagraph"/>
        <w:ind w:left="1490"/>
      </w:pPr>
      <w:r>
        <w:rPr>
          <w:noProof/>
        </w:rPr>
        <w:drawing>
          <wp:inline distT="0" distB="0" distL="0" distR="0" wp14:anchorId="1484B7C8" wp14:editId="3CA585A1">
            <wp:extent cx="5943600" cy="2051050"/>
            <wp:effectExtent l="0" t="0" r="0" b="6350"/>
            <wp:docPr id="2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BC91D" w14:textId="6F1D76A6" w:rsidR="00A852EF" w:rsidRDefault="00A852EF" w:rsidP="00002779">
      <w:pPr>
        <w:pStyle w:val="ListParagraph"/>
        <w:ind w:left="1490"/>
      </w:pPr>
    </w:p>
    <w:p w14:paraId="585DAFE5" w14:textId="1D31CC1F" w:rsidR="00A852EF" w:rsidRDefault="00A852EF" w:rsidP="00002779">
      <w:pPr>
        <w:pStyle w:val="ListParagraph"/>
        <w:ind w:left="1490"/>
      </w:pPr>
    </w:p>
    <w:p w14:paraId="1A707244" w14:textId="66DC6C99" w:rsidR="00A852EF" w:rsidRDefault="00A852EF" w:rsidP="00002779">
      <w:pPr>
        <w:pStyle w:val="ListParagraph"/>
        <w:ind w:left="1490"/>
      </w:pPr>
    </w:p>
    <w:p w14:paraId="313F17E1" w14:textId="5C83D499" w:rsidR="00A852EF" w:rsidRDefault="00A852EF" w:rsidP="00002779">
      <w:pPr>
        <w:pStyle w:val="ListParagraph"/>
        <w:ind w:left="1490"/>
      </w:pPr>
    </w:p>
    <w:p w14:paraId="487FE4D2" w14:textId="6D7A3410" w:rsidR="00A852EF" w:rsidRDefault="00A852EF" w:rsidP="00002779">
      <w:pPr>
        <w:pStyle w:val="ListParagraph"/>
        <w:ind w:left="1490"/>
      </w:pPr>
    </w:p>
    <w:p w14:paraId="042C399C" w14:textId="2FAAC973" w:rsidR="00A852EF" w:rsidRDefault="00A852EF" w:rsidP="00002779">
      <w:pPr>
        <w:pStyle w:val="ListParagraph"/>
        <w:ind w:left="1490"/>
      </w:pPr>
    </w:p>
    <w:p w14:paraId="45FF07F6" w14:textId="63E13145" w:rsidR="00A852EF" w:rsidRDefault="00A852EF" w:rsidP="00002779">
      <w:pPr>
        <w:pStyle w:val="ListParagraph"/>
        <w:ind w:left="1490"/>
      </w:pPr>
    </w:p>
    <w:p w14:paraId="512C1A27" w14:textId="23F42E33" w:rsidR="00A852EF" w:rsidRDefault="00A852EF" w:rsidP="00002779">
      <w:pPr>
        <w:pStyle w:val="ListParagraph"/>
        <w:ind w:left="1490"/>
      </w:pPr>
    </w:p>
    <w:p w14:paraId="699D20CF" w14:textId="4C008D93" w:rsidR="00A852EF" w:rsidRDefault="00A852EF" w:rsidP="00002779">
      <w:pPr>
        <w:pStyle w:val="ListParagraph"/>
        <w:ind w:left="1490"/>
      </w:pPr>
    </w:p>
    <w:p w14:paraId="4C441B37" w14:textId="6BD4EC83" w:rsidR="00A852EF" w:rsidRDefault="00A852EF" w:rsidP="00002779">
      <w:pPr>
        <w:pStyle w:val="ListParagraph"/>
        <w:ind w:left="1490"/>
      </w:pPr>
    </w:p>
    <w:p w14:paraId="62824E21" w14:textId="3BFC4199" w:rsidR="00A852EF" w:rsidRDefault="00A852EF" w:rsidP="00002779">
      <w:pPr>
        <w:pStyle w:val="ListParagraph"/>
        <w:ind w:left="1490"/>
      </w:pPr>
    </w:p>
    <w:p w14:paraId="576D5CDA" w14:textId="199001F9" w:rsidR="00A852EF" w:rsidRDefault="00A852EF" w:rsidP="00002779">
      <w:pPr>
        <w:pStyle w:val="ListParagraph"/>
        <w:ind w:left="1490"/>
      </w:pPr>
    </w:p>
    <w:p w14:paraId="44A85AB7" w14:textId="09ACED3C" w:rsidR="00A852EF" w:rsidRDefault="00A852EF" w:rsidP="00002779">
      <w:pPr>
        <w:pStyle w:val="ListParagraph"/>
        <w:ind w:left="1490"/>
      </w:pPr>
    </w:p>
    <w:p w14:paraId="4A15C69A" w14:textId="4070D770" w:rsidR="00A852EF" w:rsidRDefault="00A852EF" w:rsidP="00002779">
      <w:pPr>
        <w:pStyle w:val="ListParagraph"/>
        <w:ind w:left="1490"/>
      </w:pPr>
    </w:p>
    <w:p w14:paraId="4405C731" w14:textId="77777777" w:rsidR="00A852EF" w:rsidRDefault="00A852EF" w:rsidP="00002779">
      <w:pPr>
        <w:pStyle w:val="ListParagraph"/>
        <w:ind w:left="1490"/>
      </w:pPr>
    </w:p>
    <w:p w14:paraId="3F70550B" w14:textId="2CB78509" w:rsidR="00201230" w:rsidRPr="006C06BD" w:rsidRDefault="00201230" w:rsidP="00201230">
      <w:pPr>
        <w:pStyle w:val="ListParagraph"/>
        <w:numPr>
          <w:ilvl w:val="0"/>
          <w:numId w:val="3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lastRenderedPageBreak/>
        <w:t xml:space="preserve">Instruct all teammates to read </w:t>
      </w:r>
      <w:r w:rsidRPr="006C06BD">
        <w:rPr>
          <w:rFonts w:eastAsia="Times New Roman"/>
          <w:i/>
          <w:iCs/>
          <w:color w:val="4472C4" w:themeColor="accent1"/>
          <w:highlight w:val="yellow"/>
        </w:rPr>
        <w:t>QUAL-POL-0012</w:t>
      </w:r>
      <w:r w:rsidRPr="006C06BD">
        <w:rPr>
          <w:rFonts w:eastAsia="Times New Roman"/>
          <w:i/>
          <w:iCs/>
          <w:color w:val="4472C4" w:themeColor="accent1"/>
        </w:rPr>
        <w:t xml:space="preserve"> </w:t>
      </w:r>
      <w:r w:rsidRPr="006C06BD">
        <w:rPr>
          <w:rFonts w:eastAsia="Times New Roman"/>
          <w:i/>
          <w:iCs/>
          <w:color w:val="4472C4" w:themeColor="accent1"/>
          <w:highlight w:val="yellow"/>
        </w:rPr>
        <w:t>Proficiency Testing (PT) Policy</w:t>
      </w:r>
      <w:r w:rsidRPr="006C06BD">
        <w:rPr>
          <w:rFonts w:eastAsia="Times New Roman"/>
          <w:i/>
          <w:iCs/>
          <w:color w:val="4472C4" w:themeColor="accent1"/>
        </w:rPr>
        <w:t xml:space="preserve"> in Title21</w:t>
      </w:r>
      <w:r w:rsidRPr="006C06BD">
        <w:rPr>
          <w:rFonts w:eastAsia="Times New Roman"/>
          <w:color w:val="4472C4" w:themeColor="accent1"/>
        </w:rPr>
        <w:t xml:space="preserve">. </w:t>
      </w:r>
    </w:p>
    <w:p w14:paraId="177762C5" w14:textId="47B9E7B1" w:rsidR="00A852EF" w:rsidRDefault="00A852EF" w:rsidP="00A852EF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Open T21</w:t>
      </w:r>
    </w:p>
    <w:p w14:paraId="41FA58A1" w14:textId="3A66AA93" w:rsidR="00A852EF" w:rsidRDefault="00A852EF" w:rsidP="00A852EF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Expand the WIN QUALITY Binder</w:t>
      </w:r>
    </w:p>
    <w:p w14:paraId="0FAA9C5A" w14:textId="30467AAB" w:rsidR="00A852EF" w:rsidRDefault="00A852EF" w:rsidP="00A852EF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Click on the POL folder</w:t>
      </w:r>
    </w:p>
    <w:p w14:paraId="1ADCD148" w14:textId="7D4DFEBB" w:rsidR="00A852EF" w:rsidRDefault="00A852EF" w:rsidP="00A852EF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Open QUAL-POL-0012</w:t>
      </w:r>
    </w:p>
    <w:p w14:paraId="537B67A7" w14:textId="44AB7C84" w:rsidR="00201230" w:rsidRDefault="00A852EF" w:rsidP="00201230">
      <w:pPr>
        <w:pStyle w:val="ListParagraph"/>
        <w:ind w:left="1490"/>
      </w:pPr>
      <w:r w:rsidRPr="00A852EF">
        <w:drawing>
          <wp:anchor distT="0" distB="0" distL="114300" distR="114300" simplePos="0" relativeHeight="251659264" behindDoc="0" locked="0" layoutInCell="1" allowOverlap="1" wp14:anchorId="29C98850" wp14:editId="5886461F">
            <wp:simplePos x="0" y="0"/>
            <wp:positionH relativeFrom="column">
              <wp:posOffset>2466975</wp:posOffset>
            </wp:positionH>
            <wp:positionV relativeFrom="paragraph">
              <wp:posOffset>12700</wp:posOffset>
            </wp:positionV>
            <wp:extent cx="4505325" cy="2659393"/>
            <wp:effectExtent l="19050" t="19050" r="9525" b="26670"/>
            <wp:wrapNone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39" b="12750"/>
                    <a:stretch/>
                  </pic:blipFill>
                  <pic:spPr bwMode="auto">
                    <a:xfrm>
                      <a:off x="0" y="0"/>
                      <a:ext cx="4505325" cy="2659393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779">
        <w:rPr>
          <w:noProof/>
        </w:rPr>
        <w:drawing>
          <wp:anchor distT="0" distB="0" distL="114300" distR="114300" simplePos="0" relativeHeight="251658240" behindDoc="0" locked="0" layoutInCell="1" allowOverlap="1" wp14:anchorId="57C29026" wp14:editId="3E12F2DF">
            <wp:simplePos x="0" y="0"/>
            <wp:positionH relativeFrom="margin">
              <wp:posOffset>315025</wp:posOffset>
            </wp:positionH>
            <wp:positionV relativeFrom="paragraph">
              <wp:posOffset>127000</wp:posOffset>
            </wp:positionV>
            <wp:extent cx="1954465" cy="2238375"/>
            <wp:effectExtent l="19050" t="19050" r="27305" b="9525"/>
            <wp:wrapNone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88" b="9910"/>
                    <a:stretch/>
                  </pic:blipFill>
                  <pic:spPr bwMode="auto">
                    <a:xfrm>
                      <a:off x="0" y="0"/>
                      <a:ext cx="1959984" cy="2244695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779">
        <w:tab/>
      </w:r>
    </w:p>
    <w:p w14:paraId="3F2944C1" w14:textId="2D3F7E60" w:rsidR="00002779" w:rsidRDefault="00002779" w:rsidP="00201230">
      <w:pPr>
        <w:pStyle w:val="ListParagraph"/>
        <w:ind w:left="1490"/>
      </w:pPr>
    </w:p>
    <w:p w14:paraId="77DFFB25" w14:textId="0CBF7F51" w:rsidR="00002779" w:rsidRDefault="00002779" w:rsidP="00201230">
      <w:pPr>
        <w:pStyle w:val="ListParagraph"/>
        <w:ind w:left="1490"/>
      </w:pPr>
    </w:p>
    <w:p w14:paraId="6E7902AC" w14:textId="438E6ABA" w:rsidR="00002779" w:rsidRDefault="00002779" w:rsidP="00201230">
      <w:pPr>
        <w:pStyle w:val="ListParagraph"/>
        <w:ind w:left="1490"/>
      </w:pPr>
    </w:p>
    <w:p w14:paraId="4A7F98B9" w14:textId="1C12C714" w:rsidR="00002779" w:rsidRDefault="00002779" w:rsidP="00201230">
      <w:pPr>
        <w:pStyle w:val="ListParagraph"/>
        <w:ind w:left="1490"/>
      </w:pPr>
    </w:p>
    <w:p w14:paraId="176C03E3" w14:textId="25DDE918" w:rsidR="00002779" w:rsidRDefault="00002779" w:rsidP="00201230">
      <w:pPr>
        <w:pStyle w:val="ListParagraph"/>
        <w:ind w:left="1490"/>
      </w:pPr>
    </w:p>
    <w:p w14:paraId="4D43F816" w14:textId="439150F0" w:rsidR="00002779" w:rsidRDefault="00002779" w:rsidP="00201230">
      <w:pPr>
        <w:pStyle w:val="ListParagraph"/>
        <w:ind w:left="1490"/>
      </w:pPr>
    </w:p>
    <w:p w14:paraId="38DAE513" w14:textId="4092D43B" w:rsidR="00002779" w:rsidRDefault="00002779" w:rsidP="00201230">
      <w:pPr>
        <w:pStyle w:val="ListParagraph"/>
        <w:ind w:left="1490"/>
      </w:pPr>
    </w:p>
    <w:p w14:paraId="5BE4BC77" w14:textId="711F03AF" w:rsidR="00002779" w:rsidRDefault="00002779" w:rsidP="00201230">
      <w:pPr>
        <w:pStyle w:val="ListParagraph"/>
        <w:ind w:left="1490"/>
      </w:pPr>
    </w:p>
    <w:p w14:paraId="4DDD4457" w14:textId="3C938982" w:rsidR="00002779" w:rsidRDefault="00002779" w:rsidP="00201230">
      <w:pPr>
        <w:pStyle w:val="ListParagraph"/>
        <w:ind w:left="1490"/>
      </w:pPr>
    </w:p>
    <w:p w14:paraId="030F1A25" w14:textId="756AAFB7" w:rsidR="00002779" w:rsidRDefault="00002779" w:rsidP="00201230">
      <w:pPr>
        <w:pStyle w:val="ListParagraph"/>
        <w:ind w:left="1490"/>
      </w:pPr>
    </w:p>
    <w:p w14:paraId="18E3FB1E" w14:textId="7D256D36" w:rsidR="00002779" w:rsidRDefault="00002779" w:rsidP="00201230">
      <w:pPr>
        <w:pStyle w:val="ListParagraph"/>
        <w:ind w:left="1490"/>
      </w:pPr>
    </w:p>
    <w:p w14:paraId="1FDB9D1E" w14:textId="47273BF9" w:rsidR="00002779" w:rsidRDefault="00002779" w:rsidP="00201230">
      <w:pPr>
        <w:pStyle w:val="ListParagraph"/>
        <w:ind w:left="1490"/>
      </w:pPr>
    </w:p>
    <w:p w14:paraId="4734A283" w14:textId="494B5A60" w:rsidR="00002779" w:rsidRDefault="00002779" w:rsidP="00201230">
      <w:pPr>
        <w:pStyle w:val="ListParagraph"/>
        <w:ind w:left="1490"/>
      </w:pPr>
    </w:p>
    <w:p w14:paraId="6AD6E618" w14:textId="34324398" w:rsidR="00002779" w:rsidRDefault="00002779" w:rsidP="00201230">
      <w:pPr>
        <w:pStyle w:val="ListParagraph"/>
        <w:ind w:left="1490"/>
      </w:pPr>
    </w:p>
    <w:p w14:paraId="0757FB35" w14:textId="554CE3B0" w:rsidR="00A852EF" w:rsidRDefault="00A852EF" w:rsidP="00201230">
      <w:pPr>
        <w:pStyle w:val="ListParagraph"/>
        <w:ind w:left="1490"/>
      </w:pPr>
    </w:p>
    <w:p w14:paraId="01C7C310" w14:textId="6792F468" w:rsidR="00A852EF" w:rsidRDefault="00A852EF" w:rsidP="00201230">
      <w:pPr>
        <w:pStyle w:val="ListParagraph"/>
        <w:ind w:left="1490"/>
      </w:pPr>
    </w:p>
    <w:p w14:paraId="14C7DDDC" w14:textId="5296EB1B" w:rsidR="00753C82" w:rsidRDefault="00753C82" w:rsidP="00201230"/>
    <w:p w14:paraId="02C64EC4" w14:textId="0CC87485" w:rsidR="00753C82" w:rsidRDefault="00753C82" w:rsidP="00201230"/>
    <w:p w14:paraId="012AD875" w14:textId="6E4E7611" w:rsidR="00753C82" w:rsidRDefault="00753C82" w:rsidP="00201230">
      <w:r>
        <w:t xml:space="preserve">Also – </w:t>
      </w:r>
    </w:p>
    <w:p w14:paraId="6FE44F8F" w14:textId="77777777" w:rsidR="00753C82" w:rsidRDefault="00753C82" w:rsidP="00201230">
      <w:r>
        <w:t xml:space="preserve">While Proficiency Testing is being addressed – Please </w:t>
      </w:r>
    </w:p>
    <w:p w14:paraId="2173F061" w14:textId="277E3B84" w:rsidR="00753C82" w:rsidRDefault="00753C82" w:rsidP="00753C82">
      <w:pPr>
        <w:ind w:firstLine="720"/>
      </w:pPr>
      <w:r>
        <w:t>Go in to T21</w:t>
      </w:r>
    </w:p>
    <w:p w14:paraId="30BDF585" w14:textId="652EC650" w:rsidR="00753C82" w:rsidRDefault="00753C82" w:rsidP="00753C82">
      <w:pPr>
        <w:ind w:firstLine="720"/>
      </w:pPr>
      <w:r>
        <w:t>Blood Bank Folder</w:t>
      </w:r>
    </w:p>
    <w:p w14:paraId="4E7AE711" w14:textId="7571A460" w:rsidR="00753C82" w:rsidRDefault="00753C82" w:rsidP="00753C82">
      <w:pPr>
        <w:ind w:firstLine="720"/>
      </w:pPr>
      <w:r>
        <w:t>SOP and read BB-SOP-0001:  Proficiencies Blood Bank CAP &amp; Internal Assessments</w:t>
      </w:r>
      <w:r w:rsidR="006C06BD">
        <w:t xml:space="preserve"> </w:t>
      </w:r>
    </w:p>
    <w:p w14:paraId="23BBF821" w14:textId="3D1BE995" w:rsidR="006C06BD" w:rsidRDefault="006C06BD" w:rsidP="00753C82">
      <w:pPr>
        <w:ind w:firstLine="720"/>
      </w:pPr>
      <w:r>
        <w:t>Review this Procedure</w:t>
      </w:r>
    </w:p>
    <w:p w14:paraId="532D4397" w14:textId="0A86E82D" w:rsidR="00753C82" w:rsidRDefault="00753C82" w:rsidP="00753C82">
      <w:pPr>
        <w:ind w:firstLine="720"/>
      </w:pPr>
    </w:p>
    <w:p w14:paraId="7485C489" w14:textId="4AD1B2D5" w:rsidR="00753C82" w:rsidRDefault="00753C82" w:rsidP="00753C82">
      <w:pPr>
        <w:ind w:firstLine="720"/>
      </w:pPr>
    </w:p>
    <w:p w14:paraId="69C660FB" w14:textId="17CFF984" w:rsidR="00753C82" w:rsidRDefault="00753C82" w:rsidP="00753C82">
      <w:pPr>
        <w:ind w:firstLine="720"/>
      </w:pPr>
      <w:r w:rsidRPr="00753C82">
        <w:drawing>
          <wp:inline distT="0" distB="0" distL="0" distR="0" wp14:anchorId="20A40C9B" wp14:editId="6126F92A">
            <wp:extent cx="5323214" cy="257683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251" cy="257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6F31" w14:textId="7164A8AE" w:rsidR="005B63CB" w:rsidRDefault="000E13C3"/>
    <w:p w14:paraId="3DA8223B" w14:textId="7636178F" w:rsidR="006C06BD" w:rsidRDefault="006C06BD"/>
    <w:p w14:paraId="1432B8E5" w14:textId="78EBEB0D" w:rsidR="006C06BD" w:rsidRDefault="006C06BD"/>
    <w:p w14:paraId="0DA544F7" w14:textId="1853794C" w:rsidR="006C06BD" w:rsidRDefault="006C06BD"/>
    <w:p w14:paraId="5561099D" w14:textId="06BA9DF0" w:rsidR="006C06BD" w:rsidRDefault="006C06BD"/>
    <w:p w14:paraId="4049A1C1" w14:textId="63CF5156" w:rsidR="006C06BD" w:rsidRDefault="006C06BD"/>
    <w:p w14:paraId="384CC90D" w14:textId="77777777" w:rsidR="006C06BD" w:rsidRPr="009518C3" w:rsidRDefault="006C06BD" w:rsidP="006C06BD">
      <w:pPr>
        <w:pStyle w:val="ListParagraph"/>
        <w:numPr>
          <w:ilvl w:val="0"/>
          <w:numId w:val="3"/>
        </w:numPr>
        <w:rPr>
          <w:rFonts w:eastAsia="Times New Roman"/>
          <w:color w:val="4472C4" w:themeColor="accent1"/>
          <w:highlight w:val="yellow"/>
        </w:rPr>
      </w:pPr>
      <w:r w:rsidRPr="009518C3">
        <w:rPr>
          <w:rFonts w:eastAsia="Times New Roman"/>
          <w:color w:val="4472C4" w:themeColor="accent1"/>
          <w:highlight w:val="yellow"/>
        </w:rPr>
        <w:lastRenderedPageBreak/>
        <w:t>Ensure each teammate completes the MTS Education Module and has taken the test with a passing score of 80% or better. The attestation statement shown below is built into the test questions. Lab sections can use the attestation as documentation to show read/receipt of the revised policy.   </w:t>
      </w:r>
    </w:p>
    <w:p w14:paraId="74C9CD96" w14:textId="77777777" w:rsidR="006C06BD" w:rsidRDefault="006C06BD" w:rsidP="006C06BD">
      <w:pPr>
        <w:ind w:left="1440"/>
      </w:pPr>
      <w:r>
        <w:rPr>
          <w:noProof/>
        </w:rPr>
        <w:drawing>
          <wp:inline distT="0" distB="0" distL="0" distR="0" wp14:anchorId="265F975F" wp14:editId="3C3EDEB2">
            <wp:extent cx="5286375" cy="2466975"/>
            <wp:effectExtent l="0" t="0" r="952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0F9D6" w14:textId="77777777" w:rsidR="006C06BD" w:rsidRDefault="006C06BD" w:rsidP="006C06BD"/>
    <w:p w14:paraId="5DDD7ACE" w14:textId="77777777" w:rsidR="006C06BD" w:rsidRPr="006C06BD" w:rsidRDefault="006C06BD" w:rsidP="006C06BD">
      <w:pPr>
        <w:pStyle w:val="ListParagraph"/>
        <w:numPr>
          <w:ilvl w:val="0"/>
          <w:numId w:val="3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t>Assign the PT Education Module to all new hire as part of initial training. Include in the lab specific training checklist to ensure it is not overlooked during training.</w:t>
      </w:r>
    </w:p>
    <w:p w14:paraId="14BD189D" w14:textId="77777777" w:rsidR="006C06BD" w:rsidRPr="006C06BD" w:rsidRDefault="006C06BD" w:rsidP="006C06BD">
      <w:pPr>
        <w:pStyle w:val="ListParagraph"/>
        <w:numPr>
          <w:ilvl w:val="0"/>
          <w:numId w:val="3"/>
        </w:numPr>
        <w:rPr>
          <w:rFonts w:eastAsia="Times New Roman"/>
          <w:color w:val="4472C4" w:themeColor="accent1"/>
        </w:rPr>
      </w:pPr>
      <w:r w:rsidRPr="006C06BD">
        <w:rPr>
          <w:rFonts w:eastAsia="Times New Roman"/>
          <w:color w:val="4472C4" w:themeColor="accent1"/>
        </w:rPr>
        <w:t>Ensure that your lab section (site-specific) Proficiency Testing policy and procedure aligns with the revised overarching policy.</w:t>
      </w:r>
    </w:p>
    <w:p w14:paraId="35660877" w14:textId="77777777" w:rsidR="006C06BD" w:rsidRDefault="006C06BD" w:rsidP="006C06BD">
      <w:pPr>
        <w:ind w:left="1440"/>
      </w:pPr>
    </w:p>
    <w:p w14:paraId="2370437C" w14:textId="77777777" w:rsidR="006C06BD" w:rsidRDefault="006C06BD"/>
    <w:sectPr w:rsidR="006C06BD" w:rsidSect="00201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6BA"/>
    <w:multiLevelType w:val="hybridMultilevel"/>
    <w:tmpl w:val="CF406FD8"/>
    <w:lvl w:ilvl="0" w:tplc="FFFFFFFF">
      <w:start w:val="1"/>
      <w:numFmt w:val="decimal"/>
      <w:lvlText w:val="%1."/>
      <w:lvlJc w:val="left"/>
      <w:pPr>
        <w:ind w:left="1490" w:hanging="360"/>
      </w:pPr>
    </w:lvl>
    <w:lvl w:ilvl="1" w:tplc="FFFFFFFF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4FA37EB"/>
    <w:multiLevelType w:val="hybridMultilevel"/>
    <w:tmpl w:val="19E0E636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AF7616A"/>
    <w:multiLevelType w:val="hybridMultilevel"/>
    <w:tmpl w:val="D1D470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52530660"/>
    <w:multiLevelType w:val="hybridMultilevel"/>
    <w:tmpl w:val="7374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916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3591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9379840">
    <w:abstractNumId w:val="1"/>
  </w:num>
  <w:num w:numId="4" w16cid:durableId="1280800632">
    <w:abstractNumId w:val="1"/>
  </w:num>
  <w:num w:numId="5" w16cid:durableId="71974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30"/>
    <w:rsid w:val="00002779"/>
    <w:rsid w:val="00154F9F"/>
    <w:rsid w:val="00201230"/>
    <w:rsid w:val="003F3D1B"/>
    <w:rsid w:val="004A576A"/>
    <w:rsid w:val="00537CF9"/>
    <w:rsid w:val="00552907"/>
    <w:rsid w:val="006C06BD"/>
    <w:rsid w:val="00753C82"/>
    <w:rsid w:val="009518C3"/>
    <w:rsid w:val="00A374B5"/>
    <w:rsid w:val="00A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4896"/>
  <w15:chartTrackingRefBased/>
  <w15:docId w15:val="{384D4B3C-768B-4DD2-8166-E6C80EE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925E5.8ECBA6F0" TargetMode="External"/><Relationship Id="rId11" Type="http://schemas.openxmlformats.org/officeDocument/2006/relationships/image" Target="cid:image005.png@01D925E5.8ECBA6F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Turner</dc:creator>
  <cp:keywords/>
  <dc:description/>
  <cp:lastModifiedBy>Bettina Turner</cp:lastModifiedBy>
  <cp:revision>2</cp:revision>
  <dcterms:created xsi:type="dcterms:W3CDTF">2023-01-12T18:48:00Z</dcterms:created>
  <dcterms:modified xsi:type="dcterms:W3CDTF">2023-01-13T13:22:00Z</dcterms:modified>
</cp:coreProperties>
</file>