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F2419" w14:textId="77777777" w:rsidR="00606A36" w:rsidRPr="005642DC" w:rsidRDefault="001C63A8" w:rsidP="00887AE0">
      <w:pPr>
        <w:pStyle w:val="Heading1"/>
        <w:rPr>
          <w:sz w:val="24"/>
          <w:szCs w:val="24"/>
        </w:rPr>
      </w:pPr>
      <w:r w:rsidRPr="005642DC">
        <w:rPr>
          <w:sz w:val="24"/>
          <w:szCs w:val="24"/>
        </w:rPr>
        <w:t>Applicable Laboratory(s)</w:t>
      </w:r>
      <w:r w:rsidR="00606A36" w:rsidRPr="005642DC">
        <w:rPr>
          <w:sz w:val="24"/>
          <w:szCs w:val="24"/>
        </w:rPr>
        <w:t>):</w:t>
      </w:r>
    </w:p>
    <w:p w14:paraId="29D8DAC7"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7F4DDC55" w14:textId="21D5FBE5" w:rsidR="00606A36" w:rsidRPr="00887AE0" w:rsidRDefault="00310878" w:rsidP="0056313C">
      <w:pPr>
        <w:rPr>
          <w:rFonts w:cs="Arial"/>
        </w:rPr>
      </w:pPr>
      <w:sdt>
        <w:sdtPr>
          <w:id w:val="-761983799"/>
          <w14:checkbox>
            <w14:checked w14:val="1"/>
            <w14:checkedState w14:val="2612" w14:font="MS Gothic"/>
            <w14:uncheckedState w14:val="2610" w14:font="MS Gothic"/>
          </w14:checkbox>
        </w:sdtPr>
        <w:sdtEndPr/>
        <w:sdtContent>
          <w:r w:rsidR="00EC340C">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14:paraId="690A9320" w14:textId="77777777" w:rsidR="00606A36" w:rsidRPr="00887AE0" w:rsidRDefault="00310878"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14:paraId="55BB2258" w14:textId="77777777" w:rsidR="00606A36" w:rsidRPr="00887AE0" w:rsidRDefault="00310878"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14:paraId="07215D25" w14:textId="77777777" w:rsidR="00606A36" w:rsidRPr="00887AE0" w:rsidRDefault="00310878"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14:paraId="25FEF962" w14:textId="77777777" w:rsidR="00606A36" w:rsidRPr="00887AE0" w:rsidRDefault="00310878"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14:paraId="41B1ED22" w14:textId="77777777" w:rsidR="00606A36" w:rsidRDefault="00310878"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61E30498" w14:textId="77777777" w:rsidR="00636B43" w:rsidRDefault="00310878"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5D3433DA" w14:textId="77777777" w:rsidR="00BF5F7B" w:rsidRDefault="00BF5F7B" w:rsidP="00BF5F7B"/>
    <w:p w14:paraId="36B61CF8" w14:textId="1B251C74" w:rsidR="00353C0F" w:rsidRPr="003F23D8" w:rsidRDefault="002D165C" w:rsidP="00BF5F7B">
      <w:pPr>
        <w:pStyle w:val="Heading1"/>
        <w:rPr>
          <w:color w:val="FF0000"/>
          <w:sz w:val="24"/>
          <w:szCs w:val="24"/>
        </w:rPr>
      </w:pPr>
      <w:r w:rsidRPr="005642DC">
        <w:rPr>
          <w:sz w:val="24"/>
          <w:szCs w:val="24"/>
        </w:rPr>
        <w:t>Purpose</w:t>
      </w:r>
      <w:r w:rsidR="003F23D8">
        <w:rPr>
          <w:sz w:val="24"/>
          <w:szCs w:val="24"/>
        </w:rPr>
        <w:t xml:space="preserve"> </w:t>
      </w:r>
    </w:p>
    <w:p w14:paraId="038229B8" w14:textId="77777777" w:rsidR="00BF5F7B" w:rsidRPr="003F23D8" w:rsidRDefault="00BF5F7B" w:rsidP="00887AE0">
      <w:pPr>
        <w:rPr>
          <w:color w:val="FF0000"/>
        </w:rPr>
      </w:pPr>
    </w:p>
    <w:p w14:paraId="279C5777" w14:textId="09F65E1C" w:rsidR="00EC340C" w:rsidRPr="00EC340C" w:rsidRDefault="00EC340C" w:rsidP="00EC340C">
      <w:pPr>
        <w:rPr>
          <w:bCs/>
        </w:rPr>
      </w:pPr>
      <w:r w:rsidRPr="00EC340C">
        <w:rPr>
          <w:bCs/>
        </w:rPr>
        <w:t>Although there are numerous methods for measuring low levels of hemoglobin in plasma, serum, and aqueous solutions, there is no widely accepted method and results can vary considerably between different methods. The HemoCue Plasma/Low Hb System is calibrated against the HiCN reference method according to the International Council for Standardization in Hematology (ICSH) and needs no further calibration. The hemoglobin concentration is determined as azidemethemoglobin, utilizing a microcuvette with a dry reagent system and a dual wavelength photometer. When present, the membranes of erythrocytes are disintegrated by sodium deoxycholate, releasing hemoglobin. Sodium nitrate coverts the hemoglobin iron from the ferrous to the ferric state to form methemoglobin, which then combines with sodium azide to form azidemethemoglobin.</w:t>
      </w:r>
      <w:r>
        <w:rPr>
          <w:bCs/>
        </w:rPr>
        <w:t xml:space="preserve"> </w:t>
      </w:r>
      <w:r w:rsidR="00B36C12">
        <w:rPr>
          <w:bCs/>
        </w:rPr>
        <w:t xml:space="preserve">Measurements are taken at 570nm and 880 nm, the latter to correct for turbidity. </w:t>
      </w:r>
      <w:r>
        <w:rPr>
          <w:bCs/>
        </w:rPr>
        <w:t xml:space="preserve">This test will be used to monitor free hemoglobin in the plasma of patients on ECMO. Current ELSO guidelines suggest Plasma free hemoglobin be monitored daily for patients on ECMO. ELSO guidelines state the plasma hemoglobin should be less than 10 mg/dl under most conditions and that if the level exceeds 50 mg/dl, the cause should be investigated. </w:t>
      </w:r>
    </w:p>
    <w:p w14:paraId="61EC4D99" w14:textId="77777777" w:rsidR="0056313C" w:rsidRDefault="0056313C" w:rsidP="00887AE0"/>
    <w:p w14:paraId="4169E270" w14:textId="79C144D6" w:rsidR="00B048D9" w:rsidRPr="003F23D8" w:rsidRDefault="00B048D9" w:rsidP="00887AE0">
      <w:pPr>
        <w:pStyle w:val="Heading1"/>
        <w:rPr>
          <w:color w:val="FF0000"/>
          <w:sz w:val="24"/>
          <w:szCs w:val="24"/>
        </w:rPr>
      </w:pPr>
      <w:r w:rsidRPr="005642DC">
        <w:rPr>
          <w:sz w:val="24"/>
          <w:szCs w:val="24"/>
        </w:rPr>
        <w:t>Scope</w:t>
      </w:r>
      <w:r w:rsidR="003F23D8">
        <w:rPr>
          <w:sz w:val="24"/>
          <w:szCs w:val="24"/>
        </w:rPr>
        <w:t xml:space="preserve"> </w:t>
      </w:r>
    </w:p>
    <w:p w14:paraId="1620C632" w14:textId="77777777" w:rsidR="0056313C" w:rsidRPr="003F23D8" w:rsidRDefault="0056313C" w:rsidP="0056313C">
      <w:pPr>
        <w:rPr>
          <w:color w:val="FF0000"/>
        </w:rPr>
      </w:pPr>
    </w:p>
    <w:p w14:paraId="02602809" w14:textId="2AC8B522" w:rsidR="00904FFE" w:rsidRPr="0056313C" w:rsidRDefault="00353C0F" w:rsidP="0056313C">
      <w:r>
        <w:t xml:space="preserve">This </w:t>
      </w:r>
      <w:r w:rsidR="00524D92">
        <w:t>procedure</w:t>
      </w:r>
      <w:r>
        <w:t xml:space="preserve"> applies to</w:t>
      </w:r>
      <w:r w:rsidR="00EC340C">
        <w:t xml:space="preserve"> Blood Bank staff and </w:t>
      </w:r>
      <w:r w:rsidR="00B37EDA">
        <w:t>Management.</w:t>
      </w:r>
    </w:p>
    <w:p w14:paraId="3DEC99C4" w14:textId="77777777" w:rsidR="002451BA" w:rsidRPr="00B3765F" w:rsidRDefault="002451BA" w:rsidP="0056313C"/>
    <w:p w14:paraId="38D3CC66" w14:textId="70D9B356" w:rsidR="00B048D9" w:rsidRPr="003F23D8" w:rsidRDefault="00B048D9" w:rsidP="00887AE0">
      <w:pPr>
        <w:pStyle w:val="Heading1"/>
        <w:rPr>
          <w:color w:val="FF0000"/>
          <w:sz w:val="24"/>
          <w:szCs w:val="24"/>
        </w:rPr>
      </w:pPr>
      <w:r w:rsidRPr="005642DC">
        <w:rPr>
          <w:sz w:val="24"/>
          <w:szCs w:val="24"/>
        </w:rPr>
        <w:t>Definitions</w:t>
      </w:r>
      <w:r w:rsidR="003F23D8">
        <w:rPr>
          <w:sz w:val="24"/>
          <w:szCs w:val="24"/>
        </w:rPr>
        <w:t xml:space="preserve"> </w:t>
      </w:r>
    </w:p>
    <w:p w14:paraId="30552784" w14:textId="77777777" w:rsidR="00BF5F7B" w:rsidRPr="003F23D8" w:rsidRDefault="00BF5F7B" w:rsidP="00BF5F7B">
      <w:pPr>
        <w:rPr>
          <w:color w:val="FF0000"/>
        </w:rPr>
      </w:pPr>
    </w:p>
    <w:p w14:paraId="4DD9D136" w14:textId="77777777" w:rsidR="003C4DEB" w:rsidRDefault="00524D92" w:rsidP="00AB191A">
      <w:pPr>
        <w:pStyle w:val="ListParagraph"/>
      </w:pPr>
      <w:r>
        <w:t>P</w:t>
      </w:r>
      <w:r w:rsidR="00AB191A">
        <w:t>rocedure:</w:t>
      </w:r>
      <w:r w:rsidR="00AB191A" w:rsidRPr="00AB191A">
        <w:t xml:space="preserve"> A process or method for accomplishing a specific task or objective.  </w:t>
      </w:r>
    </w:p>
    <w:p w14:paraId="383BF1CA" w14:textId="1992C2A5" w:rsidR="00B40CD8"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14:paraId="2E41F069" w14:textId="345DEC29" w:rsidR="00EC340C" w:rsidRDefault="00EC340C" w:rsidP="00EC340C">
      <w:pPr>
        <w:pStyle w:val="ListParagraph"/>
      </w:pPr>
      <w:r>
        <w:t>ECMO: Extracorporeal Membrane Oxygenation</w:t>
      </w:r>
    </w:p>
    <w:p w14:paraId="1239C095" w14:textId="118A3408" w:rsidR="00EC340C" w:rsidRDefault="00EC340C" w:rsidP="00EC340C">
      <w:pPr>
        <w:pStyle w:val="ListParagraph"/>
      </w:pPr>
      <w:r>
        <w:t>ELSO: Extracorporeal Life Support Organization</w:t>
      </w:r>
    </w:p>
    <w:p w14:paraId="7DFAC44F" w14:textId="54A84621" w:rsidR="009D0881" w:rsidRDefault="009D0881" w:rsidP="009D0881">
      <w:pPr>
        <w:pStyle w:val="ListParagraph"/>
      </w:pPr>
      <w:r>
        <w:t>Hb: Hemoglobin</w:t>
      </w:r>
    </w:p>
    <w:p w14:paraId="56974D88" w14:textId="0CC6F414" w:rsidR="009D0881" w:rsidRDefault="009D0881" w:rsidP="009D0881">
      <w:pPr>
        <w:pStyle w:val="ListParagraph"/>
      </w:pPr>
      <w:r>
        <w:lastRenderedPageBreak/>
        <w:t>PFHgb: SCC test for Plasma Free Hemoglobin</w:t>
      </w:r>
    </w:p>
    <w:p w14:paraId="0256386D" w14:textId="3A40CD18" w:rsidR="002303BA" w:rsidRDefault="002303BA">
      <w:pPr>
        <w:rPr>
          <w:b/>
          <w:smallCaps/>
          <w:sz w:val="24"/>
          <w:szCs w:val="24"/>
        </w:rPr>
      </w:pPr>
    </w:p>
    <w:p w14:paraId="5E7BD046" w14:textId="1A1DBFDD" w:rsidR="00D16A0F" w:rsidRDefault="00D16A0F" w:rsidP="00D16A0F">
      <w:pPr>
        <w:pStyle w:val="Heading1"/>
        <w:rPr>
          <w:color w:val="FF0000"/>
          <w:sz w:val="24"/>
          <w:szCs w:val="24"/>
        </w:rPr>
      </w:pPr>
      <w:r w:rsidRPr="005642DC">
        <w:rPr>
          <w:sz w:val="24"/>
          <w:szCs w:val="24"/>
        </w:rPr>
        <w:t xml:space="preserve">Reagents/Media </w:t>
      </w:r>
    </w:p>
    <w:p w14:paraId="5F26DBCB" w14:textId="6AC1F036" w:rsidR="00B37EDA" w:rsidRDefault="00B37EDA" w:rsidP="00B37EDA">
      <w:r w:rsidRPr="00B36C12">
        <w:rPr>
          <w:u w:val="single"/>
        </w:rPr>
        <w:t>EuroTrol Plasma/Low Hb Controls</w:t>
      </w:r>
      <w:r>
        <w:t>: store unopened in refrigerator at 2-8</w:t>
      </w:r>
      <w:r>
        <w:rPr>
          <w:rFonts w:cs="Arial"/>
        </w:rPr>
        <w:t>°</w:t>
      </w:r>
      <w:r>
        <w:t>C until expiration on box. After opening the vial, it is stable for one month when properly recapped and stored at 2-30</w:t>
      </w:r>
      <w:r>
        <w:rPr>
          <w:rFonts w:cs="Arial"/>
        </w:rPr>
        <w:t>°</w:t>
      </w:r>
      <w:r>
        <w:t xml:space="preserve">C. </w:t>
      </w:r>
    </w:p>
    <w:p w14:paraId="2D293F21" w14:textId="4BADB6CA" w:rsidR="00B37EDA" w:rsidRDefault="00B37EDA" w:rsidP="00B37EDA">
      <w:r w:rsidRPr="00B36C12">
        <w:rPr>
          <w:u w:val="single"/>
        </w:rPr>
        <w:t>HemoCue Plasma/Low Hb Microcuvettes</w:t>
      </w:r>
      <w:r>
        <w:t>: store 15-30</w:t>
      </w:r>
      <w:r>
        <w:rPr>
          <w:rFonts w:cs="Arial"/>
        </w:rPr>
        <w:t>°</w:t>
      </w:r>
      <w:r>
        <w:t xml:space="preserve">C. Do not refrigerate. Use the microcuvettes prior to the expiration date. Once the seal of the vial is broken, the microcuvettes are stable for 3 months. Keep the vial closed. All unused microcuvettes should remain in the original package. </w:t>
      </w:r>
    </w:p>
    <w:p w14:paraId="4EF1EC4A" w14:textId="77777777" w:rsidR="00D16A0F" w:rsidRPr="005642DC" w:rsidRDefault="00D16A0F" w:rsidP="00D16A0F">
      <w:pPr>
        <w:rPr>
          <w:sz w:val="24"/>
          <w:szCs w:val="24"/>
        </w:rPr>
      </w:pPr>
    </w:p>
    <w:p w14:paraId="3202AB13" w14:textId="653E8A0C" w:rsidR="00D16A0F" w:rsidRPr="00F75CC8" w:rsidRDefault="00D16A0F" w:rsidP="00D16A0F">
      <w:pPr>
        <w:pStyle w:val="Heading1"/>
        <w:rPr>
          <w:color w:val="FF0000"/>
          <w:sz w:val="24"/>
          <w:szCs w:val="24"/>
        </w:rPr>
      </w:pPr>
      <w:r w:rsidRPr="005642DC">
        <w:rPr>
          <w:sz w:val="24"/>
          <w:szCs w:val="24"/>
        </w:rPr>
        <w:t>Supplies/Materials</w:t>
      </w:r>
      <w:r w:rsidR="00F75CC8">
        <w:rPr>
          <w:sz w:val="24"/>
          <w:szCs w:val="24"/>
        </w:rPr>
        <w:t xml:space="preserve"> </w:t>
      </w:r>
    </w:p>
    <w:p w14:paraId="2B69C9BA" w14:textId="53FE0762" w:rsidR="00D16A0F" w:rsidRPr="00E03384" w:rsidRDefault="002715E3" w:rsidP="00D16A0F">
      <w:pPr>
        <w:rPr>
          <w:szCs w:val="22"/>
        </w:rPr>
      </w:pPr>
      <w:r w:rsidRPr="00E03384">
        <w:rPr>
          <w:szCs w:val="22"/>
        </w:rPr>
        <w:t>Transfer pipettes</w:t>
      </w:r>
    </w:p>
    <w:p w14:paraId="536E22E7" w14:textId="482A5289" w:rsidR="002715E3" w:rsidRPr="00E03384" w:rsidRDefault="002715E3" w:rsidP="00D16A0F">
      <w:pPr>
        <w:rPr>
          <w:szCs w:val="22"/>
        </w:rPr>
      </w:pPr>
      <w:r w:rsidRPr="00E03384">
        <w:rPr>
          <w:szCs w:val="22"/>
        </w:rPr>
        <w:t>Lint free wipes (Kimwipes)</w:t>
      </w:r>
    </w:p>
    <w:p w14:paraId="1AAD2DB6" w14:textId="4DC739F5" w:rsidR="002715E3" w:rsidRDefault="002715E3" w:rsidP="00D16A0F">
      <w:pPr>
        <w:rPr>
          <w:szCs w:val="22"/>
        </w:rPr>
      </w:pPr>
      <w:r w:rsidRPr="00E03384">
        <w:rPr>
          <w:szCs w:val="22"/>
        </w:rPr>
        <w:t xml:space="preserve">Parafilm </w:t>
      </w:r>
    </w:p>
    <w:p w14:paraId="6F074444" w14:textId="783D1E07" w:rsidR="006A3A0E" w:rsidRPr="00E03384" w:rsidRDefault="006A3A0E" w:rsidP="00D16A0F">
      <w:pPr>
        <w:rPr>
          <w:szCs w:val="22"/>
        </w:rPr>
      </w:pPr>
      <w:r>
        <w:rPr>
          <w:szCs w:val="22"/>
        </w:rPr>
        <w:t>PPE: Lab Coat, gloves, face shield or equivalent</w:t>
      </w:r>
    </w:p>
    <w:p w14:paraId="18C45C0E" w14:textId="77777777" w:rsidR="002715E3" w:rsidRPr="005642DC" w:rsidRDefault="002715E3" w:rsidP="00D16A0F">
      <w:pPr>
        <w:rPr>
          <w:sz w:val="24"/>
          <w:szCs w:val="24"/>
        </w:rPr>
      </w:pPr>
    </w:p>
    <w:p w14:paraId="146CA589" w14:textId="4EE3D8C4" w:rsidR="00D16A0F" w:rsidRPr="00F75CC8" w:rsidRDefault="00D16A0F" w:rsidP="00D16A0F">
      <w:pPr>
        <w:pStyle w:val="Heading1"/>
        <w:rPr>
          <w:color w:val="FF0000"/>
          <w:sz w:val="24"/>
          <w:szCs w:val="24"/>
        </w:rPr>
      </w:pPr>
      <w:r w:rsidRPr="005642DC">
        <w:rPr>
          <w:sz w:val="24"/>
          <w:szCs w:val="24"/>
        </w:rPr>
        <w:t>Equipment</w:t>
      </w:r>
      <w:r w:rsidR="00F75CC8">
        <w:rPr>
          <w:sz w:val="24"/>
          <w:szCs w:val="24"/>
        </w:rPr>
        <w:t xml:space="preserve"> </w:t>
      </w:r>
    </w:p>
    <w:p w14:paraId="604B0C90" w14:textId="4982DC5A" w:rsidR="002715E3" w:rsidRPr="00B37EDA" w:rsidRDefault="002715E3" w:rsidP="002715E3">
      <w:r w:rsidRPr="00B36C12">
        <w:rPr>
          <w:u w:val="single"/>
        </w:rPr>
        <w:t>HemoCue Plasma/Low Hb Photometer</w:t>
      </w:r>
      <w:r w:rsidR="00B36C12">
        <w:t>: Store between 0-50</w:t>
      </w:r>
      <w:r w:rsidR="00B36C12">
        <w:rPr>
          <w:rFonts w:cs="Arial"/>
        </w:rPr>
        <w:t xml:space="preserve">°C. The operating temperature is 15-40°C. Allow the photometer to reach ambient temperature before use. The analyzer should not be operated at high humidity (&gt;90%). </w:t>
      </w:r>
    </w:p>
    <w:p w14:paraId="27173EC1" w14:textId="77777777" w:rsidR="00D16A0F" w:rsidRPr="005642DC" w:rsidRDefault="00D16A0F" w:rsidP="00D16A0F">
      <w:pPr>
        <w:rPr>
          <w:sz w:val="24"/>
          <w:szCs w:val="24"/>
        </w:rPr>
      </w:pPr>
    </w:p>
    <w:p w14:paraId="41CF3E9E" w14:textId="78555504" w:rsidR="00D16A0F" w:rsidRDefault="00BD2F7D" w:rsidP="00D16A0F">
      <w:pPr>
        <w:pStyle w:val="Heading1"/>
        <w:rPr>
          <w:color w:val="FF0000"/>
          <w:sz w:val="24"/>
          <w:szCs w:val="24"/>
        </w:rPr>
      </w:pPr>
      <w:r w:rsidRPr="005642DC">
        <w:rPr>
          <w:sz w:val="24"/>
          <w:szCs w:val="24"/>
        </w:rPr>
        <w:t>Sample Requirements</w:t>
      </w:r>
      <w:r w:rsidR="00F75CC8">
        <w:rPr>
          <w:sz w:val="24"/>
          <w:szCs w:val="24"/>
        </w:rPr>
        <w:t xml:space="preserve"> </w:t>
      </w:r>
    </w:p>
    <w:p w14:paraId="0E2EF98D" w14:textId="16CCE315" w:rsidR="002715E3" w:rsidRPr="002715E3" w:rsidRDefault="002715E3" w:rsidP="002715E3">
      <w:r>
        <w:t>Na Heparin or Li Heparin (green top) tube. Care should be taken to avoid traumatic blood draw. Spin sample at 22rpm for 10 minutes. Immediately separate plasma from red cells, taking care not to contaminate plasma with red cells. Test immediately or store in the refrigerator at 2-8</w:t>
      </w:r>
      <w:r>
        <w:rPr>
          <w:rFonts w:cs="Arial"/>
        </w:rPr>
        <w:t>°</w:t>
      </w:r>
      <w:r>
        <w:t xml:space="preserve">C for up to 3 days. Visibly turbid samples should be filtered with a </w:t>
      </w:r>
      <w:r w:rsidR="001B59EB">
        <w:t>0.</w:t>
      </w:r>
      <w:r>
        <w:t xml:space="preserve">2um filter before testing. </w:t>
      </w:r>
    </w:p>
    <w:p w14:paraId="46A1F855" w14:textId="77777777" w:rsidR="00B05581" w:rsidRPr="005642DC" w:rsidRDefault="00B05581" w:rsidP="00B05581">
      <w:pPr>
        <w:rPr>
          <w:sz w:val="24"/>
          <w:szCs w:val="24"/>
        </w:rPr>
      </w:pPr>
    </w:p>
    <w:p w14:paraId="4EC0B2EA" w14:textId="6D25D52E" w:rsidR="00B05581" w:rsidRDefault="00017AA7" w:rsidP="00B05581">
      <w:pPr>
        <w:pStyle w:val="Heading1"/>
        <w:rPr>
          <w:color w:val="FF0000"/>
          <w:sz w:val="24"/>
          <w:szCs w:val="24"/>
        </w:rPr>
      </w:pPr>
      <w:r>
        <w:rPr>
          <w:sz w:val="24"/>
          <w:szCs w:val="24"/>
        </w:rPr>
        <w:t xml:space="preserve">Specimen </w:t>
      </w:r>
      <w:r w:rsidR="00B05581" w:rsidRPr="005642DC">
        <w:rPr>
          <w:sz w:val="24"/>
          <w:szCs w:val="24"/>
        </w:rPr>
        <w:t xml:space="preserve">Acceptability and Rejection </w:t>
      </w:r>
      <w:r w:rsidR="00B05581" w:rsidRPr="00017AA7">
        <w:rPr>
          <w:sz w:val="24"/>
          <w:szCs w:val="24"/>
        </w:rPr>
        <w:t>Criteria</w:t>
      </w:r>
      <w:r w:rsidR="00027C32">
        <w:rPr>
          <w:color w:val="FF0000"/>
          <w:sz w:val="24"/>
          <w:szCs w:val="24"/>
        </w:rPr>
        <w:t xml:space="preserve"> </w:t>
      </w:r>
    </w:p>
    <w:p w14:paraId="568AF370" w14:textId="6BEEB653" w:rsidR="002715E3" w:rsidRDefault="00B36C12" w:rsidP="002715E3">
      <w:r>
        <w:t xml:space="preserve">Visibly turbid samples should be filtered with a filter having a pore size of 0.2um. </w:t>
      </w:r>
    </w:p>
    <w:p w14:paraId="3FD58105" w14:textId="380FB609" w:rsidR="006A3A0E" w:rsidRPr="002715E3" w:rsidRDefault="006A3A0E" w:rsidP="002715E3">
      <w:r>
        <w:t xml:space="preserve">Samples collected in tubes other than green top should be rejected. </w:t>
      </w:r>
    </w:p>
    <w:p w14:paraId="519C9346" w14:textId="77777777" w:rsidR="00BD2F7D" w:rsidRPr="005642DC" w:rsidRDefault="00BD2F7D" w:rsidP="00BD2F7D">
      <w:pPr>
        <w:rPr>
          <w:sz w:val="24"/>
          <w:szCs w:val="24"/>
        </w:rPr>
      </w:pPr>
    </w:p>
    <w:p w14:paraId="7ECABD37" w14:textId="6E702143" w:rsidR="00BD2F7D" w:rsidRPr="005642DC" w:rsidRDefault="00BD2F7D" w:rsidP="00BD2F7D">
      <w:pPr>
        <w:pStyle w:val="Heading1"/>
        <w:rPr>
          <w:sz w:val="24"/>
          <w:szCs w:val="24"/>
        </w:rPr>
      </w:pPr>
      <w:r w:rsidRPr="005642DC">
        <w:rPr>
          <w:sz w:val="24"/>
          <w:szCs w:val="24"/>
        </w:rPr>
        <w:t>Calibration</w:t>
      </w:r>
      <w:r w:rsidR="00F75CC8">
        <w:rPr>
          <w:sz w:val="24"/>
          <w:szCs w:val="24"/>
        </w:rPr>
        <w:t xml:space="preserve"> </w:t>
      </w:r>
    </w:p>
    <w:p w14:paraId="3FEF7132" w14:textId="77777777" w:rsidR="00E03384" w:rsidRDefault="00E03384" w:rsidP="00BD2F7D">
      <w:pPr>
        <w:rPr>
          <w:szCs w:val="22"/>
        </w:rPr>
      </w:pPr>
      <w:r w:rsidRPr="00E03384">
        <w:rPr>
          <w:szCs w:val="22"/>
        </w:rPr>
        <w:t>HemoCue Plasma/Low Hb Photometer is calibrated against the HiCN reference method according to ICSH and needs no further calibration.</w:t>
      </w:r>
    </w:p>
    <w:p w14:paraId="42C9F08D" w14:textId="2B42E246" w:rsidR="00BD2F7D" w:rsidRPr="00E03384" w:rsidRDefault="00E03384" w:rsidP="00BD2F7D">
      <w:pPr>
        <w:rPr>
          <w:szCs w:val="22"/>
        </w:rPr>
      </w:pPr>
      <w:r w:rsidRPr="00E03384">
        <w:rPr>
          <w:szCs w:val="22"/>
        </w:rPr>
        <w:t xml:space="preserve"> </w:t>
      </w:r>
    </w:p>
    <w:p w14:paraId="581E1794" w14:textId="4C56F5A2" w:rsidR="00BD2F7D" w:rsidRDefault="00BD2F7D" w:rsidP="00BD2F7D">
      <w:pPr>
        <w:pStyle w:val="Heading1"/>
        <w:rPr>
          <w:color w:val="FF0000"/>
          <w:sz w:val="24"/>
          <w:szCs w:val="24"/>
        </w:rPr>
      </w:pPr>
      <w:r w:rsidRPr="005642DC">
        <w:rPr>
          <w:sz w:val="24"/>
          <w:szCs w:val="24"/>
        </w:rPr>
        <w:t>Quality Control</w:t>
      </w:r>
      <w:r w:rsidR="00882E96">
        <w:rPr>
          <w:sz w:val="24"/>
          <w:szCs w:val="24"/>
        </w:rPr>
        <w:t xml:space="preserve"> </w:t>
      </w:r>
    </w:p>
    <w:p w14:paraId="3CA90329" w14:textId="0E3DAC44" w:rsidR="00E03384" w:rsidRDefault="00E03384" w:rsidP="00E03384">
      <w:r>
        <w:t>EuroTrol Plasma/Low Hb Controls.</w:t>
      </w:r>
      <w:r w:rsidR="00130FC7">
        <w:t xml:space="preserve"> </w:t>
      </w:r>
      <w:r>
        <w:t xml:space="preserve">Two levels of controls should be tested each day of use. </w:t>
      </w:r>
    </w:p>
    <w:p w14:paraId="574F05D7" w14:textId="77777777" w:rsidR="00E03384" w:rsidRDefault="00E03384" w:rsidP="00E03384"/>
    <w:tbl>
      <w:tblPr>
        <w:tblW w:w="9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23"/>
      </w:tblGrid>
      <w:tr w:rsidR="00E03384" w:rsidRPr="00A21BA3" w14:paraId="63DE5C0C" w14:textId="77777777" w:rsidTr="007D7760">
        <w:trPr>
          <w:tblHeader/>
        </w:trPr>
        <w:tc>
          <w:tcPr>
            <w:tcW w:w="1469" w:type="dxa"/>
            <w:shd w:val="clear" w:color="auto" w:fill="CCCCCC"/>
          </w:tcPr>
          <w:p w14:paraId="6A07BFE2" w14:textId="17A1245B" w:rsidR="00E03384" w:rsidRPr="00E03384" w:rsidRDefault="00E03384" w:rsidP="007D7760">
            <w:pPr>
              <w:jc w:val="center"/>
              <w:rPr>
                <w:rFonts w:cs="Arial"/>
                <w:b/>
              </w:rPr>
            </w:pPr>
            <w:r w:rsidRPr="00E03384">
              <w:rPr>
                <w:rFonts w:cs="Arial"/>
                <w:b/>
              </w:rPr>
              <w:t>Steps</w:t>
            </w:r>
          </w:p>
        </w:tc>
        <w:tc>
          <w:tcPr>
            <w:tcW w:w="7923" w:type="dxa"/>
            <w:shd w:val="clear" w:color="auto" w:fill="CCCCCC"/>
          </w:tcPr>
          <w:p w14:paraId="46591DF0" w14:textId="47ECA62D" w:rsidR="00E03384" w:rsidRPr="00E03384" w:rsidRDefault="00E03384" w:rsidP="007D7760">
            <w:pPr>
              <w:jc w:val="center"/>
              <w:rPr>
                <w:rFonts w:cs="Arial"/>
                <w:b/>
              </w:rPr>
            </w:pPr>
            <w:r w:rsidRPr="00E03384">
              <w:rPr>
                <w:rFonts w:cs="Arial"/>
                <w:b/>
              </w:rPr>
              <w:t>Instructions</w:t>
            </w:r>
          </w:p>
        </w:tc>
      </w:tr>
      <w:tr w:rsidR="00E03384" w:rsidRPr="00A21BA3" w14:paraId="389EDABD" w14:textId="77777777" w:rsidTr="007D7760">
        <w:tc>
          <w:tcPr>
            <w:tcW w:w="1469" w:type="dxa"/>
          </w:tcPr>
          <w:p w14:paraId="647E2CB9" w14:textId="57D75FCD" w:rsidR="00E03384" w:rsidRPr="009447EA" w:rsidRDefault="00E03384" w:rsidP="009447EA">
            <w:pPr>
              <w:jc w:val="center"/>
              <w:rPr>
                <w:rFonts w:cs="Arial"/>
                <w:b/>
                <w:szCs w:val="22"/>
              </w:rPr>
            </w:pPr>
            <w:r w:rsidRPr="009447EA">
              <w:rPr>
                <w:rFonts w:cs="Arial"/>
                <w:b/>
                <w:szCs w:val="22"/>
              </w:rPr>
              <w:t>1.0</w:t>
            </w:r>
          </w:p>
        </w:tc>
        <w:tc>
          <w:tcPr>
            <w:tcW w:w="7923" w:type="dxa"/>
          </w:tcPr>
          <w:p w14:paraId="08E6B98D" w14:textId="77777777" w:rsidR="00E03384" w:rsidRPr="009447EA" w:rsidRDefault="00E03384" w:rsidP="009447EA">
            <w:pPr>
              <w:rPr>
                <w:rFonts w:cs="Arial"/>
                <w:bCs/>
                <w:szCs w:val="22"/>
              </w:rPr>
            </w:pPr>
            <w:r w:rsidRPr="009447EA">
              <w:rPr>
                <w:rFonts w:cs="Arial"/>
                <w:bCs/>
                <w:szCs w:val="22"/>
              </w:rPr>
              <w:t>Allow the vials to stand for 15 minutes at room temperature (15-30°C)</w:t>
            </w:r>
          </w:p>
          <w:p w14:paraId="0844207C" w14:textId="4952CF47" w:rsidR="00E03384" w:rsidRPr="009447EA" w:rsidRDefault="00E03384" w:rsidP="009447EA">
            <w:pPr>
              <w:rPr>
                <w:rFonts w:cs="Arial"/>
                <w:bCs/>
                <w:szCs w:val="22"/>
              </w:rPr>
            </w:pPr>
          </w:p>
        </w:tc>
      </w:tr>
      <w:tr w:rsidR="00E03384" w:rsidRPr="00A21BA3" w14:paraId="4E76508C" w14:textId="77777777" w:rsidTr="007D7760">
        <w:tc>
          <w:tcPr>
            <w:tcW w:w="1469" w:type="dxa"/>
          </w:tcPr>
          <w:p w14:paraId="2688D0E9" w14:textId="72AC86E4" w:rsidR="00E03384" w:rsidRPr="009447EA" w:rsidRDefault="00E03384" w:rsidP="009447EA">
            <w:pPr>
              <w:jc w:val="center"/>
              <w:rPr>
                <w:rFonts w:cs="Arial"/>
                <w:b/>
                <w:szCs w:val="22"/>
              </w:rPr>
            </w:pPr>
            <w:r w:rsidRPr="009447EA">
              <w:rPr>
                <w:rFonts w:cs="Arial"/>
                <w:b/>
                <w:szCs w:val="22"/>
              </w:rPr>
              <w:t>2.0</w:t>
            </w:r>
          </w:p>
        </w:tc>
        <w:tc>
          <w:tcPr>
            <w:tcW w:w="7923" w:type="dxa"/>
          </w:tcPr>
          <w:p w14:paraId="23DE5BF6" w14:textId="77777777" w:rsidR="00E03384" w:rsidRDefault="00E03384" w:rsidP="009447EA">
            <w:pPr>
              <w:rPr>
                <w:rFonts w:cs="Arial"/>
                <w:bCs/>
                <w:szCs w:val="22"/>
              </w:rPr>
            </w:pPr>
            <w:r w:rsidRPr="009447EA">
              <w:rPr>
                <w:rFonts w:cs="Arial"/>
                <w:bCs/>
                <w:szCs w:val="22"/>
              </w:rPr>
              <w:t>Gently Mix the vials 8-10 times or until a homogenous solution is attained before sampling.</w:t>
            </w:r>
          </w:p>
          <w:p w14:paraId="6EF880E9" w14:textId="66E96BED" w:rsidR="009447EA" w:rsidRPr="009447EA" w:rsidRDefault="009447EA" w:rsidP="009447EA">
            <w:pPr>
              <w:rPr>
                <w:rFonts w:cs="Arial"/>
                <w:bCs/>
                <w:szCs w:val="22"/>
              </w:rPr>
            </w:pPr>
          </w:p>
        </w:tc>
      </w:tr>
      <w:tr w:rsidR="00E03384" w:rsidRPr="00A21BA3" w14:paraId="2304DE8E" w14:textId="77777777" w:rsidTr="007D7760">
        <w:tc>
          <w:tcPr>
            <w:tcW w:w="1469" w:type="dxa"/>
          </w:tcPr>
          <w:p w14:paraId="2381CECD" w14:textId="6D726341" w:rsidR="00E03384" w:rsidRPr="009447EA" w:rsidRDefault="00E03384" w:rsidP="009447EA">
            <w:pPr>
              <w:jc w:val="center"/>
              <w:rPr>
                <w:rFonts w:cs="Arial"/>
                <w:b/>
                <w:szCs w:val="22"/>
              </w:rPr>
            </w:pPr>
            <w:r w:rsidRPr="009447EA">
              <w:rPr>
                <w:rFonts w:cs="Arial"/>
                <w:b/>
                <w:szCs w:val="22"/>
              </w:rPr>
              <w:t>3.0</w:t>
            </w:r>
          </w:p>
        </w:tc>
        <w:tc>
          <w:tcPr>
            <w:tcW w:w="7923" w:type="dxa"/>
          </w:tcPr>
          <w:p w14:paraId="0F3ED40D" w14:textId="093FBB53" w:rsidR="00E03384" w:rsidRDefault="00E03384" w:rsidP="009447EA">
            <w:pPr>
              <w:rPr>
                <w:rFonts w:cs="Arial"/>
                <w:bCs/>
                <w:szCs w:val="22"/>
              </w:rPr>
            </w:pPr>
            <w:r w:rsidRPr="009447EA">
              <w:rPr>
                <w:rFonts w:cs="Arial"/>
                <w:bCs/>
                <w:szCs w:val="22"/>
              </w:rPr>
              <w:t xml:space="preserve">Dispense a drop of the control material onto a hydrophobic surface (parafilm). Do not fill the cuvette </w:t>
            </w:r>
            <w:r w:rsidR="009447EA">
              <w:rPr>
                <w:rFonts w:cs="Arial"/>
                <w:bCs/>
                <w:szCs w:val="22"/>
              </w:rPr>
              <w:t xml:space="preserve">directly </w:t>
            </w:r>
            <w:r w:rsidRPr="009447EA">
              <w:rPr>
                <w:rFonts w:cs="Arial"/>
                <w:bCs/>
                <w:szCs w:val="22"/>
              </w:rPr>
              <w:t>from the vial.</w:t>
            </w:r>
          </w:p>
          <w:p w14:paraId="4F24D187" w14:textId="77777777" w:rsidR="009447EA" w:rsidRDefault="009447EA" w:rsidP="009447EA">
            <w:pPr>
              <w:rPr>
                <w:rFonts w:cs="Arial"/>
                <w:bCs/>
                <w:szCs w:val="22"/>
              </w:rPr>
            </w:pPr>
          </w:p>
          <w:p w14:paraId="16004286" w14:textId="5287142A" w:rsidR="00310878" w:rsidRPr="009447EA" w:rsidRDefault="00310878" w:rsidP="009447EA">
            <w:pPr>
              <w:rPr>
                <w:rFonts w:cs="Arial"/>
                <w:bCs/>
                <w:szCs w:val="22"/>
              </w:rPr>
            </w:pPr>
          </w:p>
        </w:tc>
      </w:tr>
      <w:tr w:rsidR="00E03384" w:rsidRPr="00A21BA3" w14:paraId="1D68EA32" w14:textId="77777777" w:rsidTr="007D7760">
        <w:tc>
          <w:tcPr>
            <w:tcW w:w="1469" w:type="dxa"/>
          </w:tcPr>
          <w:p w14:paraId="0CDAB931" w14:textId="42E171E2" w:rsidR="00E03384" w:rsidRPr="009447EA" w:rsidRDefault="00E03384" w:rsidP="009447EA">
            <w:pPr>
              <w:jc w:val="center"/>
              <w:rPr>
                <w:rFonts w:cs="Arial"/>
                <w:b/>
                <w:szCs w:val="22"/>
              </w:rPr>
            </w:pPr>
            <w:r w:rsidRPr="009447EA">
              <w:rPr>
                <w:rFonts w:cs="Arial"/>
                <w:b/>
                <w:szCs w:val="22"/>
              </w:rPr>
              <w:lastRenderedPageBreak/>
              <w:t>4.0</w:t>
            </w:r>
          </w:p>
        </w:tc>
        <w:tc>
          <w:tcPr>
            <w:tcW w:w="7923" w:type="dxa"/>
          </w:tcPr>
          <w:p w14:paraId="2164E967" w14:textId="77777777" w:rsidR="00E03384" w:rsidRDefault="00E03384" w:rsidP="009447EA">
            <w:pPr>
              <w:rPr>
                <w:rFonts w:cs="Arial"/>
                <w:bCs/>
                <w:szCs w:val="22"/>
              </w:rPr>
            </w:pPr>
            <w:r w:rsidRPr="009447EA">
              <w:rPr>
                <w:rFonts w:cs="Arial"/>
                <w:bCs/>
                <w:szCs w:val="22"/>
              </w:rPr>
              <w:t>Fill the cuvette by placing the tip of the cuvette in the drop of control. The cuvette will fill via capillary action.</w:t>
            </w:r>
          </w:p>
          <w:p w14:paraId="0C93CE95" w14:textId="7859A03B" w:rsidR="009447EA" w:rsidRPr="009447EA" w:rsidRDefault="009447EA" w:rsidP="009447EA">
            <w:pPr>
              <w:rPr>
                <w:rFonts w:cs="Arial"/>
                <w:bCs/>
                <w:szCs w:val="22"/>
              </w:rPr>
            </w:pPr>
          </w:p>
        </w:tc>
      </w:tr>
      <w:tr w:rsidR="00E03384" w:rsidRPr="00A21BA3" w14:paraId="3E7DC936" w14:textId="77777777" w:rsidTr="007D7760">
        <w:tc>
          <w:tcPr>
            <w:tcW w:w="1469" w:type="dxa"/>
          </w:tcPr>
          <w:p w14:paraId="5CED3F41" w14:textId="6E9CC119" w:rsidR="00E03384" w:rsidRPr="009447EA" w:rsidRDefault="00E03384" w:rsidP="009447EA">
            <w:pPr>
              <w:jc w:val="center"/>
              <w:rPr>
                <w:rFonts w:cs="Arial"/>
                <w:b/>
                <w:szCs w:val="22"/>
              </w:rPr>
            </w:pPr>
            <w:r w:rsidRPr="009447EA">
              <w:rPr>
                <w:rFonts w:cs="Arial"/>
                <w:b/>
                <w:szCs w:val="22"/>
              </w:rPr>
              <w:t>5.0</w:t>
            </w:r>
          </w:p>
        </w:tc>
        <w:tc>
          <w:tcPr>
            <w:tcW w:w="7923" w:type="dxa"/>
          </w:tcPr>
          <w:p w14:paraId="72924CB8" w14:textId="77777777" w:rsidR="00E03384" w:rsidRPr="009447EA" w:rsidRDefault="00E03384" w:rsidP="009447EA">
            <w:pPr>
              <w:rPr>
                <w:rFonts w:cs="Arial"/>
                <w:bCs/>
                <w:szCs w:val="22"/>
              </w:rPr>
            </w:pPr>
            <w:r w:rsidRPr="009447EA">
              <w:rPr>
                <w:rFonts w:cs="Arial"/>
                <w:bCs/>
                <w:szCs w:val="22"/>
              </w:rPr>
              <w:t xml:space="preserve">Wipe any excess material </w:t>
            </w:r>
            <w:r w:rsidR="009447EA" w:rsidRPr="009447EA">
              <w:rPr>
                <w:rFonts w:cs="Arial"/>
                <w:bCs/>
                <w:szCs w:val="22"/>
              </w:rPr>
              <w:t>from the</w:t>
            </w:r>
            <w:r w:rsidRPr="009447EA">
              <w:rPr>
                <w:rFonts w:cs="Arial"/>
                <w:bCs/>
                <w:szCs w:val="22"/>
              </w:rPr>
              <w:t xml:space="preserve"> vial and </w:t>
            </w:r>
            <w:r w:rsidR="009447EA" w:rsidRPr="009447EA">
              <w:rPr>
                <w:rFonts w:cs="Arial"/>
                <w:bCs/>
                <w:szCs w:val="22"/>
              </w:rPr>
              <w:t xml:space="preserve">cap with a clean tissue and recap the vial tightly. </w:t>
            </w:r>
          </w:p>
          <w:p w14:paraId="5A20FC59" w14:textId="6C361A0D" w:rsidR="009447EA" w:rsidRPr="009447EA" w:rsidRDefault="009447EA" w:rsidP="009447EA">
            <w:pPr>
              <w:rPr>
                <w:rFonts w:cs="Arial"/>
                <w:bCs/>
                <w:color w:val="0000FF"/>
                <w:szCs w:val="22"/>
              </w:rPr>
            </w:pPr>
          </w:p>
        </w:tc>
      </w:tr>
      <w:tr w:rsidR="00E03384" w:rsidRPr="00A21BA3" w14:paraId="7885E4C4" w14:textId="77777777" w:rsidTr="007D7760">
        <w:tc>
          <w:tcPr>
            <w:tcW w:w="1469" w:type="dxa"/>
          </w:tcPr>
          <w:p w14:paraId="7A9CDF26" w14:textId="13D493F7" w:rsidR="00E03384" w:rsidRPr="009447EA" w:rsidRDefault="009447EA" w:rsidP="009447EA">
            <w:pPr>
              <w:jc w:val="center"/>
              <w:rPr>
                <w:rFonts w:cs="Arial"/>
                <w:b/>
                <w:szCs w:val="22"/>
              </w:rPr>
            </w:pPr>
            <w:r w:rsidRPr="009447EA">
              <w:rPr>
                <w:rFonts w:cs="Arial"/>
                <w:b/>
                <w:szCs w:val="22"/>
              </w:rPr>
              <w:t>6.0</w:t>
            </w:r>
          </w:p>
        </w:tc>
        <w:tc>
          <w:tcPr>
            <w:tcW w:w="7923" w:type="dxa"/>
          </w:tcPr>
          <w:p w14:paraId="2A442959" w14:textId="6D597F66" w:rsidR="00E03384" w:rsidRDefault="009447EA" w:rsidP="009447EA">
            <w:pPr>
              <w:rPr>
                <w:rFonts w:cs="Arial"/>
                <w:bCs/>
                <w:szCs w:val="22"/>
              </w:rPr>
            </w:pPr>
            <w:r w:rsidRPr="009447EA">
              <w:rPr>
                <w:rFonts w:cs="Arial"/>
                <w:bCs/>
                <w:szCs w:val="22"/>
              </w:rPr>
              <w:t xml:space="preserve">Insert the cuvette into the photometer and document </w:t>
            </w:r>
            <w:r w:rsidR="00973BAD" w:rsidRPr="009447EA">
              <w:rPr>
                <w:rFonts w:cs="Arial"/>
                <w:bCs/>
                <w:szCs w:val="22"/>
              </w:rPr>
              <w:t>the result</w:t>
            </w:r>
            <w:r w:rsidRPr="009447EA">
              <w:rPr>
                <w:rFonts w:cs="Arial"/>
                <w:bCs/>
                <w:szCs w:val="22"/>
              </w:rPr>
              <w:t xml:space="preserve"> before opening the photometer. The result will display until the photometer is opened.</w:t>
            </w:r>
          </w:p>
          <w:p w14:paraId="2FC6CBD1" w14:textId="7196338A" w:rsidR="009447EA" w:rsidRPr="009447EA" w:rsidRDefault="009447EA" w:rsidP="009447EA">
            <w:pPr>
              <w:rPr>
                <w:rFonts w:cs="Arial"/>
                <w:bCs/>
                <w:szCs w:val="22"/>
              </w:rPr>
            </w:pPr>
          </w:p>
        </w:tc>
      </w:tr>
      <w:tr w:rsidR="009447EA" w:rsidRPr="00A21BA3" w14:paraId="29EC8AC9" w14:textId="77777777" w:rsidTr="007D7760">
        <w:tc>
          <w:tcPr>
            <w:tcW w:w="1469" w:type="dxa"/>
          </w:tcPr>
          <w:p w14:paraId="07065FBD" w14:textId="4C5955AE" w:rsidR="009447EA" w:rsidRPr="009447EA" w:rsidRDefault="009447EA" w:rsidP="009447EA">
            <w:pPr>
              <w:jc w:val="center"/>
              <w:rPr>
                <w:rFonts w:cs="Arial"/>
                <w:b/>
                <w:szCs w:val="22"/>
              </w:rPr>
            </w:pPr>
            <w:r w:rsidRPr="009447EA">
              <w:rPr>
                <w:rFonts w:cs="Arial"/>
                <w:b/>
                <w:szCs w:val="22"/>
              </w:rPr>
              <w:t>7.0</w:t>
            </w:r>
          </w:p>
        </w:tc>
        <w:tc>
          <w:tcPr>
            <w:tcW w:w="7923" w:type="dxa"/>
          </w:tcPr>
          <w:p w14:paraId="6DED9CC2" w14:textId="05B0025A" w:rsidR="009447EA" w:rsidRDefault="009447EA" w:rsidP="009447EA">
            <w:pPr>
              <w:rPr>
                <w:rFonts w:cs="Arial"/>
                <w:bCs/>
                <w:szCs w:val="22"/>
              </w:rPr>
            </w:pPr>
            <w:r w:rsidRPr="009447EA">
              <w:rPr>
                <w:rFonts w:cs="Arial"/>
                <w:bCs/>
                <w:szCs w:val="22"/>
              </w:rPr>
              <w:t xml:space="preserve">If the control does not perform as expected, review the instructions for use of the instrument to see if the test was performed correctly. Check the expiration date and storage conditions for the control and cuvettes. Repeat the test. If the control still does not perform as expected, contact technical assistance at 1-866-234-5754 </w:t>
            </w:r>
            <w:hyperlink r:id="rId12" w:history="1">
              <w:r w:rsidRPr="009447EA">
                <w:rPr>
                  <w:rStyle w:val="Hyperlink"/>
                  <w:rFonts w:cs="Arial"/>
                  <w:bCs/>
                  <w:szCs w:val="22"/>
                </w:rPr>
                <w:t>officeUSA@eurotrol.com</w:t>
              </w:r>
            </w:hyperlink>
          </w:p>
          <w:p w14:paraId="1A938F48" w14:textId="13F30AAF" w:rsidR="009447EA" w:rsidRPr="009447EA" w:rsidRDefault="009447EA" w:rsidP="009447EA">
            <w:pPr>
              <w:rPr>
                <w:rFonts w:cs="Arial"/>
                <w:bCs/>
                <w:szCs w:val="22"/>
              </w:rPr>
            </w:pPr>
          </w:p>
        </w:tc>
      </w:tr>
    </w:tbl>
    <w:p w14:paraId="157B781D" w14:textId="77777777" w:rsidR="00B05581" w:rsidRPr="00882E96" w:rsidRDefault="00B05581" w:rsidP="00B05581">
      <w:pPr>
        <w:rPr>
          <w:color w:val="FF0000"/>
          <w:sz w:val="24"/>
          <w:szCs w:val="24"/>
        </w:rPr>
      </w:pPr>
    </w:p>
    <w:p w14:paraId="3CBBA0DD" w14:textId="45B21D7C" w:rsidR="00B05581" w:rsidRPr="00882E96" w:rsidRDefault="00B05581" w:rsidP="00B05581">
      <w:pPr>
        <w:pStyle w:val="Heading1"/>
        <w:rPr>
          <w:color w:val="FF0000"/>
          <w:sz w:val="24"/>
          <w:szCs w:val="24"/>
        </w:rPr>
      </w:pPr>
      <w:r w:rsidRPr="005642DC">
        <w:rPr>
          <w:sz w:val="24"/>
          <w:szCs w:val="24"/>
        </w:rPr>
        <w:t>Corrective Action</w:t>
      </w:r>
      <w:r w:rsidR="00882E96">
        <w:rPr>
          <w:sz w:val="24"/>
          <w:szCs w:val="24"/>
        </w:rPr>
        <w:t xml:space="preserve"> </w:t>
      </w:r>
    </w:p>
    <w:p w14:paraId="05171E33" w14:textId="63240E52" w:rsidR="00BD2F7D" w:rsidRPr="009447EA" w:rsidRDefault="009447EA" w:rsidP="00BD2F7D">
      <w:pPr>
        <w:rPr>
          <w:szCs w:val="22"/>
        </w:rPr>
      </w:pPr>
      <w:r w:rsidRPr="009447EA">
        <w:rPr>
          <w:szCs w:val="22"/>
        </w:rPr>
        <w:t xml:space="preserve">See step 7 above. </w:t>
      </w:r>
    </w:p>
    <w:p w14:paraId="794648C3" w14:textId="77777777" w:rsidR="009447EA" w:rsidRPr="005642DC" w:rsidRDefault="009447EA" w:rsidP="00BD2F7D">
      <w:pPr>
        <w:rPr>
          <w:sz w:val="24"/>
          <w:szCs w:val="24"/>
        </w:rPr>
      </w:pPr>
    </w:p>
    <w:p w14:paraId="62EE2AD2" w14:textId="094E8336" w:rsidR="00BD2F7D" w:rsidRDefault="00BD2F7D" w:rsidP="00BD2F7D">
      <w:pPr>
        <w:pStyle w:val="Heading1"/>
        <w:rPr>
          <w:color w:val="FF0000"/>
          <w:sz w:val="24"/>
          <w:szCs w:val="24"/>
        </w:rPr>
      </w:pPr>
      <w:r w:rsidRPr="00AD3070">
        <w:rPr>
          <w:sz w:val="24"/>
          <w:szCs w:val="24"/>
        </w:rPr>
        <w:t>Procedure</w:t>
      </w:r>
      <w:r w:rsidR="00B05581" w:rsidRPr="00AD3070">
        <w:rPr>
          <w:sz w:val="24"/>
          <w:szCs w:val="24"/>
        </w:rPr>
        <w:t xml:space="preserve"> Guidelines</w:t>
      </w:r>
      <w:r w:rsidR="00882E96" w:rsidRPr="00AD3070">
        <w:rPr>
          <w:sz w:val="24"/>
          <w:szCs w:val="24"/>
        </w:rPr>
        <w:t xml:space="preserve"> </w:t>
      </w:r>
    </w:p>
    <w:p w14:paraId="65ED9F24" w14:textId="3F93B147" w:rsidR="004D77B8" w:rsidRDefault="004D77B8" w:rsidP="004D77B8"/>
    <w:tbl>
      <w:tblPr>
        <w:tblW w:w="9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23"/>
      </w:tblGrid>
      <w:tr w:rsidR="001B59EB" w:rsidRPr="00A21BA3" w14:paraId="2E0967A9" w14:textId="77777777" w:rsidTr="007D7760">
        <w:trPr>
          <w:tblHeader/>
        </w:trPr>
        <w:tc>
          <w:tcPr>
            <w:tcW w:w="1469" w:type="dxa"/>
            <w:shd w:val="clear" w:color="auto" w:fill="CCCCCC"/>
          </w:tcPr>
          <w:p w14:paraId="6FB3DEFE" w14:textId="77777777" w:rsidR="001B59EB" w:rsidRPr="00E03384" w:rsidRDefault="001B59EB" w:rsidP="007D7760">
            <w:pPr>
              <w:jc w:val="center"/>
              <w:rPr>
                <w:rFonts w:cs="Arial"/>
                <w:b/>
              </w:rPr>
            </w:pPr>
            <w:r w:rsidRPr="00E03384">
              <w:rPr>
                <w:rFonts w:cs="Arial"/>
                <w:b/>
              </w:rPr>
              <w:t>Steps</w:t>
            </w:r>
          </w:p>
        </w:tc>
        <w:tc>
          <w:tcPr>
            <w:tcW w:w="7923" w:type="dxa"/>
            <w:shd w:val="clear" w:color="auto" w:fill="CCCCCC"/>
          </w:tcPr>
          <w:p w14:paraId="627E9AE6" w14:textId="77777777" w:rsidR="001B59EB" w:rsidRPr="00E03384" w:rsidRDefault="001B59EB" w:rsidP="007D7760">
            <w:pPr>
              <w:jc w:val="center"/>
              <w:rPr>
                <w:rFonts w:cs="Arial"/>
                <w:b/>
              </w:rPr>
            </w:pPr>
            <w:r w:rsidRPr="00E03384">
              <w:rPr>
                <w:rFonts w:cs="Arial"/>
                <w:b/>
              </w:rPr>
              <w:t>Instructions</w:t>
            </w:r>
          </w:p>
        </w:tc>
      </w:tr>
      <w:tr w:rsidR="001B59EB" w:rsidRPr="00A21BA3" w14:paraId="0F3925C1" w14:textId="77777777" w:rsidTr="007D7760">
        <w:tc>
          <w:tcPr>
            <w:tcW w:w="1469" w:type="dxa"/>
          </w:tcPr>
          <w:p w14:paraId="39DA8CC5" w14:textId="6006F051" w:rsidR="001B59EB" w:rsidRPr="009447EA" w:rsidRDefault="001B59EB" w:rsidP="007D7760">
            <w:pPr>
              <w:jc w:val="center"/>
              <w:rPr>
                <w:rFonts w:cs="Arial"/>
                <w:b/>
                <w:szCs w:val="22"/>
              </w:rPr>
            </w:pPr>
            <w:r>
              <w:rPr>
                <w:rFonts w:cs="Arial"/>
                <w:b/>
                <w:szCs w:val="22"/>
              </w:rPr>
              <w:t>1.0</w:t>
            </w:r>
          </w:p>
        </w:tc>
        <w:tc>
          <w:tcPr>
            <w:tcW w:w="7923" w:type="dxa"/>
          </w:tcPr>
          <w:p w14:paraId="7F46D715" w14:textId="69B75841" w:rsidR="001B59EB" w:rsidRPr="00B36C12" w:rsidRDefault="00B36C12" w:rsidP="00B36C12">
            <w:pPr>
              <w:rPr>
                <w:rFonts w:cs="Arial"/>
                <w:bCs/>
                <w:szCs w:val="22"/>
              </w:rPr>
            </w:pPr>
            <w:r>
              <w:rPr>
                <w:rFonts w:cs="Arial"/>
                <w:bCs/>
                <w:szCs w:val="22"/>
              </w:rPr>
              <w:t xml:space="preserve">Turn on the photometer using the switch in the back. </w:t>
            </w:r>
          </w:p>
          <w:p w14:paraId="49694FD2" w14:textId="78134B9F" w:rsidR="001B59EB" w:rsidRPr="001B59EB" w:rsidRDefault="001B59EB" w:rsidP="001B59EB">
            <w:pPr>
              <w:pStyle w:val="ListParagraph"/>
              <w:numPr>
                <w:ilvl w:val="0"/>
                <w:numId w:val="16"/>
              </w:numPr>
              <w:rPr>
                <w:rFonts w:cs="Arial"/>
                <w:bCs/>
                <w:szCs w:val="22"/>
              </w:rPr>
            </w:pPr>
            <w:r w:rsidRPr="001B59EB">
              <w:rPr>
                <w:rFonts w:cs="Arial"/>
                <w:bCs/>
                <w:szCs w:val="22"/>
              </w:rPr>
              <w:t>The letters “</w:t>
            </w:r>
            <w:proofErr w:type="spellStart"/>
            <w:r w:rsidRPr="001B59EB">
              <w:rPr>
                <w:rFonts w:cs="Arial"/>
                <w:bCs/>
                <w:szCs w:val="22"/>
              </w:rPr>
              <w:t>LHb</w:t>
            </w:r>
            <w:proofErr w:type="spellEnd"/>
            <w:r w:rsidRPr="001B59EB">
              <w:rPr>
                <w:rFonts w:cs="Arial"/>
                <w:bCs/>
                <w:szCs w:val="22"/>
              </w:rPr>
              <w:t xml:space="preserve">” should now be seen on the display. If not, check the connections to the photometer and to the main power supply. </w:t>
            </w:r>
          </w:p>
          <w:p w14:paraId="7D8916B5" w14:textId="3A3ADD41" w:rsidR="001B59EB" w:rsidRPr="009447EA" w:rsidRDefault="001B59EB" w:rsidP="007D7760">
            <w:pPr>
              <w:rPr>
                <w:rFonts w:cs="Arial"/>
                <w:bCs/>
                <w:szCs w:val="22"/>
              </w:rPr>
            </w:pPr>
          </w:p>
        </w:tc>
      </w:tr>
      <w:tr w:rsidR="001B59EB" w:rsidRPr="00A21BA3" w14:paraId="6EC7254B" w14:textId="77777777" w:rsidTr="007D7760">
        <w:tc>
          <w:tcPr>
            <w:tcW w:w="1469" w:type="dxa"/>
          </w:tcPr>
          <w:p w14:paraId="1E6A044E" w14:textId="0545F465" w:rsidR="001B59EB" w:rsidRPr="009447EA" w:rsidRDefault="001B59EB" w:rsidP="007D7760">
            <w:pPr>
              <w:jc w:val="center"/>
              <w:rPr>
                <w:rFonts w:cs="Arial"/>
                <w:b/>
                <w:szCs w:val="22"/>
              </w:rPr>
            </w:pPr>
            <w:r>
              <w:rPr>
                <w:rFonts w:cs="Arial"/>
                <w:b/>
                <w:szCs w:val="22"/>
              </w:rPr>
              <w:t>2.0</w:t>
            </w:r>
          </w:p>
        </w:tc>
        <w:tc>
          <w:tcPr>
            <w:tcW w:w="7923" w:type="dxa"/>
          </w:tcPr>
          <w:p w14:paraId="741C5326" w14:textId="77777777" w:rsidR="00B36C12" w:rsidRDefault="001B59EB" w:rsidP="00B36C12">
            <w:pPr>
              <w:rPr>
                <w:rFonts w:cs="Arial"/>
                <w:bCs/>
                <w:szCs w:val="22"/>
              </w:rPr>
            </w:pPr>
            <w:r>
              <w:rPr>
                <w:rFonts w:cs="Arial"/>
                <w:bCs/>
                <w:szCs w:val="22"/>
              </w:rPr>
              <w:t>Pull the cuvette holder into the loading position. This is noted by a distinct stop.</w:t>
            </w:r>
          </w:p>
          <w:p w14:paraId="53437B6D" w14:textId="2BEA72E6" w:rsidR="00B36C12" w:rsidRDefault="00B36C12" w:rsidP="00B36C12">
            <w:pPr>
              <w:pStyle w:val="ListParagraph"/>
              <w:numPr>
                <w:ilvl w:val="0"/>
                <w:numId w:val="17"/>
              </w:numPr>
              <w:rPr>
                <w:rFonts w:cs="Arial"/>
                <w:bCs/>
                <w:szCs w:val="22"/>
              </w:rPr>
            </w:pPr>
            <w:r>
              <w:rPr>
                <w:rFonts w:cs="Arial"/>
                <w:bCs/>
                <w:szCs w:val="22"/>
              </w:rPr>
              <w:t>The cuvette holder, which is used to move the cuvette in and out of the photometer has 3 positions: completely pushed in—measuring position, pulled out—loading position, completely withdrawn—for cleaning.</w:t>
            </w:r>
          </w:p>
          <w:p w14:paraId="33E8385D" w14:textId="5EE2ECBF" w:rsidR="001B59EB" w:rsidRPr="001B59EB" w:rsidRDefault="001B59EB" w:rsidP="00B36C12"/>
        </w:tc>
      </w:tr>
      <w:tr w:rsidR="00B36C12" w:rsidRPr="00A21BA3" w14:paraId="27A072D0" w14:textId="77777777" w:rsidTr="007D7760">
        <w:tc>
          <w:tcPr>
            <w:tcW w:w="1469" w:type="dxa"/>
          </w:tcPr>
          <w:p w14:paraId="3138957A" w14:textId="6CF957E6" w:rsidR="00B36C12" w:rsidRDefault="00B36C12" w:rsidP="007D7760">
            <w:pPr>
              <w:jc w:val="center"/>
              <w:rPr>
                <w:rFonts w:cs="Arial"/>
                <w:b/>
                <w:szCs w:val="22"/>
              </w:rPr>
            </w:pPr>
            <w:r>
              <w:rPr>
                <w:rFonts w:cs="Arial"/>
                <w:b/>
                <w:szCs w:val="22"/>
              </w:rPr>
              <w:t>3.0</w:t>
            </w:r>
          </w:p>
        </w:tc>
        <w:tc>
          <w:tcPr>
            <w:tcW w:w="7923" w:type="dxa"/>
          </w:tcPr>
          <w:p w14:paraId="23ED8FD7" w14:textId="258B13CF" w:rsidR="00B36C12" w:rsidRDefault="00B36C12" w:rsidP="00B36C12">
            <w:pPr>
              <w:rPr>
                <w:rFonts w:cs="Arial"/>
                <w:bCs/>
                <w:szCs w:val="22"/>
              </w:rPr>
            </w:pPr>
            <w:r>
              <w:rPr>
                <w:rFonts w:cs="Arial"/>
                <w:bCs/>
                <w:szCs w:val="22"/>
              </w:rPr>
              <w:t xml:space="preserve">After 15 seconds “READY” with 3 dashes should be visible on the display. The photometer is now ready to perform a measurement. </w:t>
            </w:r>
          </w:p>
          <w:p w14:paraId="62CB2D94" w14:textId="77777777" w:rsidR="00B36C12" w:rsidRPr="00B36C12" w:rsidRDefault="00B36C12" w:rsidP="00B36C12">
            <w:pPr>
              <w:ind w:left="360" w:hanging="360"/>
              <w:rPr>
                <w:rFonts w:cs="Arial"/>
                <w:bCs/>
                <w:szCs w:val="22"/>
              </w:rPr>
            </w:pPr>
          </w:p>
        </w:tc>
      </w:tr>
      <w:tr w:rsidR="001B59EB" w:rsidRPr="00A21BA3" w14:paraId="667DC54B" w14:textId="77777777" w:rsidTr="007D7760">
        <w:tc>
          <w:tcPr>
            <w:tcW w:w="1469" w:type="dxa"/>
          </w:tcPr>
          <w:p w14:paraId="68EEA275" w14:textId="1DEF41A1" w:rsidR="001B59EB" w:rsidRPr="009447EA" w:rsidRDefault="00B36C12" w:rsidP="007D7760">
            <w:pPr>
              <w:jc w:val="center"/>
              <w:rPr>
                <w:rFonts w:cs="Arial"/>
                <w:b/>
                <w:szCs w:val="22"/>
              </w:rPr>
            </w:pPr>
            <w:r>
              <w:rPr>
                <w:rFonts w:cs="Arial"/>
                <w:b/>
                <w:szCs w:val="22"/>
              </w:rPr>
              <w:t>4</w:t>
            </w:r>
            <w:r w:rsidR="001B59EB">
              <w:rPr>
                <w:rFonts w:cs="Arial"/>
                <w:b/>
                <w:szCs w:val="22"/>
              </w:rPr>
              <w:t>.0</w:t>
            </w:r>
          </w:p>
        </w:tc>
        <w:tc>
          <w:tcPr>
            <w:tcW w:w="7923" w:type="dxa"/>
          </w:tcPr>
          <w:p w14:paraId="7483C71B" w14:textId="095C07D6" w:rsidR="001B59EB" w:rsidRDefault="001B59EB" w:rsidP="007D7760">
            <w:pPr>
              <w:rPr>
                <w:rFonts w:cs="Arial"/>
                <w:bCs/>
                <w:szCs w:val="22"/>
              </w:rPr>
            </w:pPr>
            <w:r>
              <w:rPr>
                <w:rFonts w:cs="Arial"/>
                <w:bCs/>
                <w:szCs w:val="22"/>
              </w:rPr>
              <w:t xml:space="preserve">Let sample come to room temperature and mix by inverting approximately 8 times. </w:t>
            </w:r>
            <w:r w:rsidR="00130FC7">
              <w:rPr>
                <w:rFonts w:cs="Arial"/>
                <w:bCs/>
                <w:szCs w:val="22"/>
              </w:rPr>
              <w:t>(</w:t>
            </w:r>
            <w:r w:rsidR="00130FC7" w:rsidRPr="00130FC7">
              <w:rPr>
                <w:rFonts w:cs="Arial"/>
                <w:bCs/>
                <w:i/>
                <w:iCs/>
                <w:color w:val="248FA0" w:themeColor="accent6"/>
                <w:szCs w:val="22"/>
              </w:rPr>
              <w:t>Refer to Sample Requirements</w:t>
            </w:r>
            <w:r w:rsidR="00130FC7">
              <w:rPr>
                <w:rFonts w:cs="Arial"/>
                <w:bCs/>
                <w:szCs w:val="22"/>
              </w:rPr>
              <w:t>)</w:t>
            </w:r>
          </w:p>
          <w:p w14:paraId="2AA54CC6" w14:textId="5D3E6D0A" w:rsidR="00B36C12" w:rsidRPr="00B36C12" w:rsidRDefault="00B36C12" w:rsidP="00B36C12">
            <w:pPr>
              <w:pStyle w:val="ListParagraph"/>
              <w:numPr>
                <w:ilvl w:val="0"/>
                <w:numId w:val="21"/>
              </w:numPr>
              <w:rPr>
                <w:rFonts w:cs="Arial"/>
                <w:bCs/>
                <w:szCs w:val="22"/>
              </w:rPr>
            </w:pPr>
            <w:r>
              <w:rPr>
                <w:rFonts w:cs="Arial"/>
                <w:bCs/>
                <w:szCs w:val="22"/>
              </w:rPr>
              <w:t>Visibly turbid samples should be filtered using a filter with a pore size of 0.2um.</w:t>
            </w:r>
          </w:p>
          <w:p w14:paraId="6AD41D87" w14:textId="045368A8" w:rsidR="001B59EB" w:rsidRPr="001B59EB" w:rsidRDefault="001B59EB" w:rsidP="001B59EB">
            <w:pPr>
              <w:ind w:left="360"/>
              <w:rPr>
                <w:rFonts w:cs="Arial"/>
                <w:bCs/>
                <w:szCs w:val="22"/>
              </w:rPr>
            </w:pPr>
          </w:p>
        </w:tc>
      </w:tr>
      <w:tr w:rsidR="00B36C12" w:rsidRPr="00A21BA3" w14:paraId="5A0B94E5" w14:textId="77777777" w:rsidTr="007D7760">
        <w:tc>
          <w:tcPr>
            <w:tcW w:w="1469" w:type="dxa"/>
          </w:tcPr>
          <w:p w14:paraId="739412F5" w14:textId="3E067AA4" w:rsidR="00B36C12" w:rsidRDefault="00B36C12" w:rsidP="007D7760">
            <w:pPr>
              <w:jc w:val="center"/>
              <w:rPr>
                <w:rFonts w:cs="Arial"/>
                <w:b/>
                <w:szCs w:val="22"/>
              </w:rPr>
            </w:pPr>
            <w:r>
              <w:rPr>
                <w:rFonts w:cs="Arial"/>
                <w:b/>
                <w:szCs w:val="22"/>
              </w:rPr>
              <w:t>5.0</w:t>
            </w:r>
          </w:p>
        </w:tc>
        <w:tc>
          <w:tcPr>
            <w:tcW w:w="7923" w:type="dxa"/>
          </w:tcPr>
          <w:p w14:paraId="1889B68F" w14:textId="77777777" w:rsidR="00B36C12" w:rsidRDefault="00B36C12" w:rsidP="007D7760">
            <w:pPr>
              <w:rPr>
                <w:rFonts w:cs="Arial"/>
                <w:bCs/>
                <w:szCs w:val="22"/>
              </w:rPr>
            </w:pPr>
            <w:r>
              <w:rPr>
                <w:rFonts w:cs="Arial"/>
                <w:bCs/>
                <w:szCs w:val="22"/>
              </w:rPr>
              <w:t xml:space="preserve">Open a vial of Plasma/Low Hb microcuvettes, removing only the number of cuvettes for immediate use. Recap the vial. </w:t>
            </w:r>
          </w:p>
          <w:p w14:paraId="12A83525" w14:textId="1FA1AD7F" w:rsidR="00B36C12" w:rsidRDefault="00B36C12" w:rsidP="007D7760">
            <w:pPr>
              <w:rPr>
                <w:rFonts w:cs="Arial"/>
                <w:bCs/>
                <w:szCs w:val="22"/>
              </w:rPr>
            </w:pPr>
          </w:p>
        </w:tc>
      </w:tr>
      <w:tr w:rsidR="001B59EB" w:rsidRPr="00A21BA3" w14:paraId="566F0D81" w14:textId="77777777" w:rsidTr="007D7760">
        <w:tc>
          <w:tcPr>
            <w:tcW w:w="1469" w:type="dxa"/>
          </w:tcPr>
          <w:p w14:paraId="0206B4D4" w14:textId="414E859D" w:rsidR="001B59EB" w:rsidRPr="009447EA" w:rsidRDefault="00B36C12" w:rsidP="007D7760">
            <w:pPr>
              <w:jc w:val="center"/>
              <w:rPr>
                <w:rFonts w:cs="Arial"/>
                <w:b/>
                <w:szCs w:val="22"/>
              </w:rPr>
            </w:pPr>
            <w:r>
              <w:rPr>
                <w:rFonts w:cs="Arial"/>
                <w:b/>
                <w:szCs w:val="22"/>
              </w:rPr>
              <w:t>6</w:t>
            </w:r>
            <w:r w:rsidR="001B59EB">
              <w:rPr>
                <w:rFonts w:cs="Arial"/>
                <w:b/>
                <w:szCs w:val="22"/>
              </w:rPr>
              <w:t>.0</w:t>
            </w:r>
          </w:p>
        </w:tc>
        <w:tc>
          <w:tcPr>
            <w:tcW w:w="7923" w:type="dxa"/>
          </w:tcPr>
          <w:p w14:paraId="587D0B67" w14:textId="77777777" w:rsidR="001B59EB" w:rsidRDefault="001B59EB" w:rsidP="007D7760">
            <w:pPr>
              <w:rPr>
                <w:rFonts w:cs="Arial"/>
                <w:bCs/>
                <w:szCs w:val="22"/>
              </w:rPr>
            </w:pPr>
            <w:r>
              <w:rPr>
                <w:rFonts w:cs="Arial"/>
                <w:bCs/>
                <w:szCs w:val="22"/>
              </w:rPr>
              <w:t xml:space="preserve">Use a pipette to drop a large drop of a well-mixed sample on a piece of parafilm. </w:t>
            </w:r>
          </w:p>
          <w:p w14:paraId="6853158F" w14:textId="59B38EE0" w:rsidR="00130FC7" w:rsidRPr="009447EA" w:rsidRDefault="00130FC7" w:rsidP="007D7760">
            <w:pPr>
              <w:rPr>
                <w:rFonts w:cs="Arial"/>
                <w:bCs/>
                <w:szCs w:val="22"/>
              </w:rPr>
            </w:pPr>
          </w:p>
        </w:tc>
      </w:tr>
      <w:tr w:rsidR="001B59EB" w:rsidRPr="00A21BA3" w14:paraId="1AEC2133" w14:textId="77777777" w:rsidTr="007D7760">
        <w:tc>
          <w:tcPr>
            <w:tcW w:w="1469" w:type="dxa"/>
          </w:tcPr>
          <w:p w14:paraId="5A4C4A0F" w14:textId="7DE981B1" w:rsidR="001B59EB" w:rsidRPr="009447EA" w:rsidRDefault="00B36C12" w:rsidP="007D7760">
            <w:pPr>
              <w:jc w:val="center"/>
              <w:rPr>
                <w:rFonts w:cs="Arial"/>
                <w:b/>
                <w:szCs w:val="22"/>
              </w:rPr>
            </w:pPr>
            <w:r>
              <w:rPr>
                <w:rFonts w:cs="Arial"/>
                <w:b/>
                <w:szCs w:val="22"/>
              </w:rPr>
              <w:t>7</w:t>
            </w:r>
            <w:r w:rsidR="00130FC7">
              <w:rPr>
                <w:rFonts w:cs="Arial"/>
                <w:b/>
                <w:szCs w:val="22"/>
              </w:rPr>
              <w:t>.0</w:t>
            </w:r>
          </w:p>
        </w:tc>
        <w:tc>
          <w:tcPr>
            <w:tcW w:w="7923" w:type="dxa"/>
          </w:tcPr>
          <w:p w14:paraId="16A337D2" w14:textId="77777777" w:rsidR="001B59EB" w:rsidRDefault="00130FC7" w:rsidP="007D7760">
            <w:pPr>
              <w:rPr>
                <w:rFonts w:cs="Arial"/>
                <w:bCs/>
                <w:szCs w:val="22"/>
              </w:rPr>
            </w:pPr>
            <w:r>
              <w:rPr>
                <w:rFonts w:cs="Arial"/>
                <w:bCs/>
                <w:szCs w:val="22"/>
              </w:rPr>
              <w:t>Introduce the cuvette into the middle of the drop in such a way that the cuvette is filled in one step. It should never be topped up.</w:t>
            </w:r>
          </w:p>
          <w:p w14:paraId="1C844F8A" w14:textId="43B87667" w:rsidR="00130FC7" w:rsidRPr="009447EA" w:rsidRDefault="00130FC7" w:rsidP="007D7760">
            <w:pPr>
              <w:rPr>
                <w:rFonts w:cs="Arial"/>
                <w:bCs/>
                <w:szCs w:val="22"/>
              </w:rPr>
            </w:pPr>
          </w:p>
        </w:tc>
      </w:tr>
      <w:tr w:rsidR="001B59EB" w:rsidRPr="00A21BA3" w14:paraId="726C1BEB" w14:textId="77777777" w:rsidTr="007D7760">
        <w:tc>
          <w:tcPr>
            <w:tcW w:w="1469" w:type="dxa"/>
          </w:tcPr>
          <w:p w14:paraId="6FC2609D" w14:textId="66CAF792" w:rsidR="001B59EB" w:rsidRPr="009447EA" w:rsidRDefault="00973BAD" w:rsidP="007D7760">
            <w:pPr>
              <w:jc w:val="center"/>
              <w:rPr>
                <w:rFonts w:cs="Arial"/>
                <w:b/>
                <w:szCs w:val="22"/>
              </w:rPr>
            </w:pPr>
            <w:r>
              <w:rPr>
                <w:rFonts w:cs="Arial"/>
                <w:b/>
                <w:szCs w:val="22"/>
              </w:rPr>
              <w:lastRenderedPageBreak/>
              <w:t>8</w:t>
            </w:r>
            <w:r w:rsidR="00130FC7">
              <w:rPr>
                <w:rFonts w:cs="Arial"/>
                <w:b/>
                <w:szCs w:val="22"/>
              </w:rPr>
              <w:t>.0</w:t>
            </w:r>
          </w:p>
        </w:tc>
        <w:tc>
          <w:tcPr>
            <w:tcW w:w="7923" w:type="dxa"/>
          </w:tcPr>
          <w:p w14:paraId="6B6D4D3C" w14:textId="6630B66A" w:rsidR="00973BAD" w:rsidRDefault="00130FC7" w:rsidP="007D7760">
            <w:pPr>
              <w:rPr>
                <w:rFonts w:cs="Arial"/>
                <w:bCs/>
                <w:szCs w:val="22"/>
              </w:rPr>
            </w:pPr>
            <w:r>
              <w:rPr>
                <w:rFonts w:cs="Arial"/>
                <w:bCs/>
                <w:szCs w:val="22"/>
              </w:rPr>
              <w:t xml:space="preserve">Using a Kim wipe or other lint free tissue, carefully wipe off the excess sample on the outside of the cuvette. Make sure none of the sample is drawn out of the cuvette during this step. </w:t>
            </w:r>
          </w:p>
          <w:p w14:paraId="438C24C9" w14:textId="1161AE6D" w:rsidR="00973BAD" w:rsidRPr="009447EA" w:rsidRDefault="00973BAD" w:rsidP="007D7760">
            <w:pPr>
              <w:rPr>
                <w:rFonts w:cs="Arial"/>
                <w:bCs/>
                <w:szCs w:val="22"/>
              </w:rPr>
            </w:pPr>
          </w:p>
        </w:tc>
      </w:tr>
      <w:tr w:rsidR="00130FC7" w:rsidRPr="00A21BA3" w14:paraId="1D8013BA" w14:textId="77777777" w:rsidTr="007D7760">
        <w:tc>
          <w:tcPr>
            <w:tcW w:w="1469" w:type="dxa"/>
          </w:tcPr>
          <w:p w14:paraId="02086DCF" w14:textId="34586044" w:rsidR="00130FC7" w:rsidRDefault="00130FC7" w:rsidP="007D7760">
            <w:pPr>
              <w:jc w:val="center"/>
              <w:rPr>
                <w:rFonts w:cs="Arial"/>
                <w:b/>
                <w:szCs w:val="22"/>
              </w:rPr>
            </w:pPr>
            <w:r>
              <w:rPr>
                <w:rFonts w:cs="Arial"/>
                <w:b/>
                <w:szCs w:val="22"/>
              </w:rPr>
              <w:t>8.0</w:t>
            </w:r>
          </w:p>
        </w:tc>
        <w:tc>
          <w:tcPr>
            <w:tcW w:w="7923" w:type="dxa"/>
          </w:tcPr>
          <w:p w14:paraId="3BA6ED13" w14:textId="23E92793" w:rsidR="00130FC7" w:rsidRDefault="00130FC7" w:rsidP="007D7760">
            <w:pPr>
              <w:rPr>
                <w:rFonts w:cs="Arial"/>
                <w:bCs/>
                <w:szCs w:val="22"/>
              </w:rPr>
            </w:pPr>
            <w:r>
              <w:rPr>
                <w:rFonts w:cs="Arial"/>
                <w:bCs/>
                <w:szCs w:val="22"/>
              </w:rPr>
              <w:t>The filled cuvette should be visibly inspected to check that the cuvette is properly filled (</w:t>
            </w:r>
            <w:proofErr w:type="gramStart"/>
            <w:r>
              <w:rPr>
                <w:rFonts w:cs="Arial"/>
                <w:bCs/>
                <w:szCs w:val="22"/>
              </w:rPr>
              <w:t>completely filled</w:t>
            </w:r>
            <w:proofErr w:type="gramEnd"/>
            <w:r>
              <w:rPr>
                <w:rFonts w:cs="Arial"/>
                <w:bCs/>
                <w:szCs w:val="22"/>
              </w:rPr>
              <w:t xml:space="preserve"> and lacking air bubbles in the optical eye). </w:t>
            </w:r>
            <w:r w:rsidR="00973BAD">
              <w:rPr>
                <w:rFonts w:cs="Arial"/>
                <w:bCs/>
                <w:szCs w:val="22"/>
              </w:rPr>
              <w:t xml:space="preserve">If air bubbles are present, discard the cuvette. </w:t>
            </w:r>
          </w:p>
          <w:p w14:paraId="18695F77" w14:textId="0C47DAF0" w:rsidR="00130FC7" w:rsidRDefault="00130FC7" w:rsidP="007D7760">
            <w:pPr>
              <w:rPr>
                <w:rFonts w:cs="Arial"/>
                <w:bCs/>
                <w:szCs w:val="22"/>
              </w:rPr>
            </w:pPr>
          </w:p>
        </w:tc>
      </w:tr>
      <w:tr w:rsidR="00130FC7" w:rsidRPr="00A21BA3" w14:paraId="35EA52E6" w14:textId="77777777" w:rsidTr="007D7760">
        <w:tc>
          <w:tcPr>
            <w:tcW w:w="1469" w:type="dxa"/>
          </w:tcPr>
          <w:p w14:paraId="073AF755" w14:textId="4F03FAF4" w:rsidR="00130FC7" w:rsidRDefault="00130FC7" w:rsidP="007D7760">
            <w:pPr>
              <w:jc w:val="center"/>
              <w:rPr>
                <w:rFonts w:cs="Arial"/>
                <w:b/>
                <w:szCs w:val="22"/>
              </w:rPr>
            </w:pPr>
            <w:r>
              <w:rPr>
                <w:rFonts w:cs="Arial"/>
                <w:b/>
                <w:szCs w:val="22"/>
              </w:rPr>
              <w:t>9.0</w:t>
            </w:r>
          </w:p>
        </w:tc>
        <w:tc>
          <w:tcPr>
            <w:tcW w:w="7923" w:type="dxa"/>
          </w:tcPr>
          <w:p w14:paraId="2F46FF9F" w14:textId="31E46507" w:rsidR="00130FC7" w:rsidRDefault="00130FC7" w:rsidP="007D7760">
            <w:pPr>
              <w:rPr>
                <w:rFonts w:cs="Arial"/>
                <w:bCs/>
                <w:szCs w:val="22"/>
              </w:rPr>
            </w:pPr>
            <w:r>
              <w:rPr>
                <w:rFonts w:cs="Arial"/>
                <w:bCs/>
                <w:szCs w:val="22"/>
              </w:rPr>
              <w:t xml:space="preserve">Place the cuvette into the cuvette holder and carefully push it in to the measuring position. </w:t>
            </w:r>
            <w:r w:rsidR="00973BAD">
              <w:rPr>
                <w:rFonts w:cs="Arial"/>
                <w:bCs/>
                <w:szCs w:val="22"/>
              </w:rPr>
              <w:t xml:space="preserve">The display screen will show “MEASURING”. </w:t>
            </w:r>
            <w:r>
              <w:rPr>
                <w:rFonts w:cs="Arial"/>
                <w:bCs/>
                <w:szCs w:val="22"/>
              </w:rPr>
              <w:t>The fille</w:t>
            </w:r>
            <w:r w:rsidR="00973BAD">
              <w:rPr>
                <w:rFonts w:cs="Arial"/>
                <w:bCs/>
                <w:szCs w:val="22"/>
              </w:rPr>
              <w:t>d</w:t>
            </w:r>
            <w:r>
              <w:rPr>
                <w:rFonts w:cs="Arial"/>
                <w:bCs/>
                <w:szCs w:val="22"/>
              </w:rPr>
              <w:t xml:space="preserve"> cuvette should be analyzed immediately and at the latest 1 minute after filling. </w:t>
            </w:r>
          </w:p>
          <w:p w14:paraId="49F4CD32" w14:textId="77777777" w:rsidR="00130FC7" w:rsidRDefault="00130FC7" w:rsidP="00130FC7">
            <w:pPr>
              <w:pStyle w:val="ListParagraph"/>
              <w:numPr>
                <w:ilvl w:val="0"/>
                <w:numId w:val="19"/>
              </w:numPr>
              <w:rPr>
                <w:rFonts w:cs="Arial"/>
                <w:bCs/>
                <w:szCs w:val="22"/>
              </w:rPr>
            </w:pPr>
            <w:r>
              <w:rPr>
                <w:rFonts w:cs="Arial"/>
                <w:bCs/>
                <w:szCs w:val="22"/>
              </w:rPr>
              <w:t xml:space="preserve">Slamming the cuvette holder into place with undue force will cause splashing of the sample material onto the optical surfaces. </w:t>
            </w:r>
          </w:p>
          <w:p w14:paraId="3E38B048" w14:textId="77777777" w:rsidR="00130FC7" w:rsidRDefault="00130FC7" w:rsidP="00130FC7">
            <w:pPr>
              <w:pStyle w:val="ListParagraph"/>
              <w:numPr>
                <w:ilvl w:val="0"/>
                <w:numId w:val="19"/>
              </w:numPr>
            </w:pPr>
            <w:r>
              <w:t xml:space="preserve">It is important that the cuvette holder is completely dry since the fluid between the holder and the cuvette can withdraw sample from the cuvette by capillary action. </w:t>
            </w:r>
          </w:p>
          <w:p w14:paraId="7C2F194B" w14:textId="7B671FB7" w:rsidR="00130FC7" w:rsidRPr="00130FC7" w:rsidRDefault="00130FC7" w:rsidP="00130FC7"/>
        </w:tc>
      </w:tr>
      <w:tr w:rsidR="00130FC7" w:rsidRPr="00A21BA3" w14:paraId="3AA2EC82" w14:textId="77777777" w:rsidTr="007D7760">
        <w:tc>
          <w:tcPr>
            <w:tcW w:w="1469" w:type="dxa"/>
          </w:tcPr>
          <w:p w14:paraId="606F4D87" w14:textId="7E8291A1" w:rsidR="00130FC7" w:rsidRDefault="00130FC7" w:rsidP="007D7760">
            <w:pPr>
              <w:jc w:val="center"/>
              <w:rPr>
                <w:rFonts w:cs="Arial"/>
                <w:b/>
                <w:szCs w:val="22"/>
              </w:rPr>
            </w:pPr>
            <w:r>
              <w:rPr>
                <w:rFonts w:cs="Arial"/>
                <w:b/>
                <w:szCs w:val="22"/>
              </w:rPr>
              <w:t>10.0</w:t>
            </w:r>
          </w:p>
        </w:tc>
        <w:tc>
          <w:tcPr>
            <w:tcW w:w="7923" w:type="dxa"/>
          </w:tcPr>
          <w:p w14:paraId="20D236BF" w14:textId="27E28AB2" w:rsidR="00130FC7" w:rsidRDefault="00130FC7" w:rsidP="007D7760">
            <w:pPr>
              <w:rPr>
                <w:rFonts w:cs="Arial"/>
                <w:bCs/>
                <w:szCs w:val="22"/>
              </w:rPr>
            </w:pPr>
            <w:r>
              <w:rPr>
                <w:rFonts w:cs="Arial"/>
                <w:bCs/>
                <w:szCs w:val="22"/>
              </w:rPr>
              <w:t xml:space="preserve">The test result will be displayed in less than 1 minute. The result will remain on the display </w:t>
            </w:r>
            <w:proofErr w:type="gramStart"/>
            <w:r>
              <w:rPr>
                <w:rFonts w:cs="Arial"/>
                <w:bCs/>
                <w:szCs w:val="22"/>
              </w:rPr>
              <w:t>as long as</w:t>
            </w:r>
            <w:proofErr w:type="gramEnd"/>
            <w:r>
              <w:rPr>
                <w:rFonts w:cs="Arial"/>
                <w:bCs/>
                <w:szCs w:val="22"/>
              </w:rPr>
              <w:t xml:space="preserve"> the cuvette holder is in the measuring position. </w:t>
            </w:r>
          </w:p>
          <w:p w14:paraId="38EF9DF0" w14:textId="56E369B8" w:rsidR="00130FC7" w:rsidRDefault="00130FC7" w:rsidP="00130FC7">
            <w:pPr>
              <w:pStyle w:val="ListParagraph"/>
              <w:numPr>
                <w:ilvl w:val="0"/>
                <w:numId w:val="20"/>
              </w:numPr>
              <w:rPr>
                <w:rFonts w:cs="Arial"/>
                <w:bCs/>
                <w:szCs w:val="22"/>
              </w:rPr>
            </w:pPr>
            <w:r>
              <w:rPr>
                <w:rFonts w:cs="Arial"/>
                <w:bCs/>
                <w:szCs w:val="22"/>
              </w:rPr>
              <w:t xml:space="preserve">Results should be documented before opening cuvette holder. </w:t>
            </w:r>
          </w:p>
          <w:p w14:paraId="6D5B8FF5" w14:textId="370099B3" w:rsidR="00130FC7" w:rsidRPr="00130FC7" w:rsidRDefault="00130FC7" w:rsidP="00130FC7">
            <w:pPr>
              <w:pStyle w:val="ListParagraph"/>
              <w:numPr>
                <w:ilvl w:val="0"/>
                <w:numId w:val="20"/>
              </w:numPr>
            </w:pPr>
            <w:r>
              <w:t xml:space="preserve">The cuvette should never be remeasured. Discard the used cuvette after results are documented. </w:t>
            </w:r>
          </w:p>
          <w:p w14:paraId="28FE30CD" w14:textId="06B9CBF5" w:rsidR="00130FC7" w:rsidRDefault="00130FC7" w:rsidP="007D7760">
            <w:pPr>
              <w:rPr>
                <w:rFonts w:cs="Arial"/>
                <w:bCs/>
                <w:szCs w:val="22"/>
              </w:rPr>
            </w:pPr>
          </w:p>
        </w:tc>
      </w:tr>
      <w:tr w:rsidR="00130FC7" w:rsidRPr="00A21BA3" w14:paraId="11B0F252" w14:textId="77777777" w:rsidTr="007D7760">
        <w:tc>
          <w:tcPr>
            <w:tcW w:w="1469" w:type="dxa"/>
          </w:tcPr>
          <w:p w14:paraId="66D496E4" w14:textId="0FDEFDE3" w:rsidR="00130FC7" w:rsidRDefault="00130FC7" w:rsidP="007D7760">
            <w:pPr>
              <w:jc w:val="center"/>
              <w:rPr>
                <w:rFonts w:cs="Arial"/>
                <w:b/>
                <w:szCs w:val="22"/>
              </w:rPr>
            </w:pPr>
            <w:r>
              <w:rPr>
                <w:rFonts w:cs="Arial"/>
                <w:b/>
                <w:szCs w:val="22"/>
              </w:rPr>
              <w:t>11.0</w:t>
            </w:r>
          </w:p>
        </w:tc>
        <w:tc>
          <w:tcPr>
            <w:tcW w:w="7923" w:type="dxa"/>
          </w:tcPr>
          <w:p w14:paraId="09D0E6C4" w14:textId="091BE570" w:rsidR="00130FC7" w:rsidRDefault="00130FC7" w:rsidP="007D7760">
            <w:pPr>
              <w:rPr>
                <w:rFonts w:cs="Arial"/>
                <w:bCs/>
                <w:szCs w:val="22"/>
              </w:rPr>
            </w:pPr>
            <w:r>
              <w:rPr>
                <w:rFonts w:cs="Arial"/>
                <w:bCs/>
                <w:szCs w:val="22"/>
              </w:rPr>
              <w:t>Proceed to Interpretation of Results and Results Reporting.</w:t>
            </w:r>
          </w:p>
          <w:p w14:paraId="04AD916F" w14:textId="203419DD" w:rsidR="00130FC7" w:rsidRDefault="00130FC7" w:rsidP="007D7760">
            <w:pPr>
              <w:rPr>
                <w:rFonts w:cs="Arial"/>
                <w:bCs/>
                <w:szCs w:val="22"/>
              </w:rPr>
            </w:pPr>
            <w:r>
              <w:rPr>
                <w:rFonts w:cs="Arial"/>
                <w:bCs/>
                <w:szCs w:val="22"/>
              </w:rPr>
              <w:t xml:space="preserve"> </w:t>
            </w:r>
          </w:p>
        </w:tc>
      </w:tr>
    </w:tbl>
    <w:p w14:paraId="2004B581" w14:textId="77777777" w:rsidR="001B59EB" w:rsidRDefault="001B59EB" w:rsidP="004D77B8"/>
    <w:p w14:paraId="67FF14A6" w14:textId="4362E51C" w:rsidR="00E67571" w:rsidRPr="007F13C5" w:rsidRDefault="00E67571" w:rsidP="00E67571">
      <w:pPr>
        <w:pStyle w:val="Heading1"/>
        <w:rPr>
          <w:sz w:val="24"/>
          <w:szCs w:val="24"/>
        </w:rPr>
      </w:pPr>
      <w:r w:rsidRPr="005642DC">
        <w:rPr>
          <w:sz w:val="24"/>
          <w:szCs w:val="24"/>
        </w:rPr>
        <w:t>Dilution or Concentration</w:t>
      </w:r>
      <w:r w:rsidR="002C057A">
        <w:rPr>
          <w:sz w:val="24"/>
          <w:szCs w:val="24"/>
        </w:rPr>
        <w:t xml:space="preserve"> (if applicable</w:t>
      </w:r>
      <w:r w:rsidR="002C057A" w:rsidRPr="0064675C">
        <w:rPr>
          <w:sz w:val="24"/>
          <w:szCs w:val="24"/>
        </w:rPr>
        <w:t>)</w:t>
      </w:r>
      <w:r w:rsidR="007F13C5">
        <w:rPr>
          <w:sz w:val="24"/>
          <w:szCs w:val="24"/>
        </w:rPr>
        <w:t>: NA</w:t>
      </w:r>
    </w:p>
    <w:p w14:paraId="3FC805B6" w14:textId="77777777" w:rsidR="002C057A" w:rsidRDefault="002C057A" w:rsidP="002C057A"/>
    <w:p w14:paraId="778FF60C" w14:textId="2313476E" w:rsidR="002C057A" w:rsidRDefault="002C057A" w:rsidP="002C057A">
      <w:pPr>
        <w:pStyle w:val="Heading1"/>
        <w:rPr>
          <w:color w:val="FF0000"/>
          <w:sz w:val="24"/>
          <w:szCs w:val="24"/>
        </w:rPr>
      </w:pPr>
      <w:r w:rsidRPr="002C057A">
        <w:rPr>
          <w:sz w:val="24"/>
          <w:szCs w:val="24"/>
        </w:rPr>
        <w:t>Calculations (if applicable)</w:t>
      </w:r>
      <w:r w:rsidR="007F13C5">
        <w:rPr>
          <w:sz w:val="24"/>
          <w:szCs w:val="24"/>
        </w:rPr>
        <w:t>: NA</w:t>
      </w:r>
      <w:r w:rsidR="00D46D73" w:rsidRPr="00D46D73">
        <w:rPr>
          <w:color w:val="FF0000"/>
          <w:sz w:val="24"/>
          <w:szCs w:val="24"/>
        </w:rPr>
        <w:t xml:space="preserve"> </w:t>
      </w:r>
    </w:p>
    <w:p w14:paraId="68DF2FE1" w14:textId="77777777" w:rsidR="004D77B8" w:rsidRDefault="004D77B8" w:rsidP="004D77B8"/>
    <w:p w14:paraId="553CBEF3" w14:textId="1D796418" w:rsidR="004D77B8" w:rsidRDefault="004D77B8" w:rsidP="004D77B8">
      <w:pPr>
        <w:pStyle w:val="Heading1"/>
        <w:rPr>
          <w:sz w:val="24"/>
          <w:szCs w:val="24"/>
        </w:rPr>
      </w:pPr>
      <w:r w:rsidRPr="004D77B8">
        <w:rPr>
          <w:sz w:val="24"/>
          <w:szCs w:val="24"/>
        </w:rPr>
        <w:t>interpretation of results</w:t>
      </w:r>
    </w:p>
    <w:p w14:paraId="55019FE5" w14:textId="77777777" w:rsidR="00973BAD" w:rsidRPr="00973BAD" w:rsidRDefault="00973BAD" w:rsidP="00973BAD"/>
    <w:tbl>
      <w:tblPr>
        <w:tblW w:w="9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23"/>
      </w:tblGrid>
      <w:tr w:rsidR="00973BAD" w:rsidRPr="00A21BA3" w14:paraId="06599142" w14:textId="77777777" w:rsidTr="007D7760">
        <w:trPr>
          <w:tblHeader/>
        </w:trPr>
        <w:tc>
          <w:tcPr>
            <w:tcW w:w="1469" w:type="dxa"/>
            <w:shd w:val="clear" w:color="auto" w:fill="CCCCCC"/>
          </w:tcPr>
          <w:p w14:paraId="095DC349" w14:textId="77777777" w:rsidR="00973BAD" w:rsidRPr="00E03384" w:rsidRDefault="00973BAD" w:rsidP="007D7760">
            <w:pPr>
              <w:jc w:val="center"/>
              <w:rPr>
                <w:rFonts w:cs="Arial"/>
                <w:b/>
              </w:rPr>
            </w:pPr>
            <w:bookmarkStart w:id="0" w:name="_Hlk126318112"/>
            <w:r w:rsidRPr="00E03384">
              <w:rPr>
                <w:rFonts w:cs="Arial"/>
                <w:b/>
              </w:rPr>
              <w:t>Steps</w:t>
            </w:r>
          </w:p>
        </w:tc>
        <w:tc>
          <w:tcPr>
            <w:tcW w:w="7923" w:type="dxa"/>
            <w:shd w:val="clear" w:color="auto" w:fill="CCCCCC"/>
          </w:tcPr>
          <w:p w14:paraId="6D19803D" w14:textId="77777777" w:rsidR="00973BAD" w:rsidRPr="00E03384" w:rsidRDefault="00973BAD" w:rsidP="007D7760">
            <w:pPr>
              <w:jc w:val="center"/>
              <w:rPr>
                <w:rFonts w:cs="Arial"/>
                <w:b/>
              </w:rPr>
            </w:pPr>
            <w:r w:rsidRPr="00E03384">
              <w:rPr>
                <w:rFonts w:cs="Arial"/>
                <w:b/>
              </w:rPr>
              <w:t>Instructions</w:t>
            </w:r>
          </w:p>
        </w:tc>
      </w:tr>
      <w:tr w:rsidR="00973BAD" w:rsidRPr="00A21BA3" w14:paraId="388E6288" w14:textId="77777777" w:rsidTr="007D7760">
        <w:tc>
          <w:tcPr>
            <w:tcW w:w="1469" w:type="dxa"/>
          </w:tcPr>
          <w:p w14:paraId="35265670" w14:textId="77777777" w:rsidR="00973BAD" w:rsidRPr="009447EA" w:rsidRDefault="00973BAD" w:rsidP="007D7760">
            <w:pPr>
              <w:jc w:val="center"/>
              <w:rPr>
                <w:rFonts w:cs="Arial"/>
                <w:b/>
                <w:szCs w:val="22"/>
              </w:rPr>
            </w:pPr>
            <w:r w:rsidRPr="009447EA">
              <w:rPr>
                <w:rFonts w:cs="Arial"/>
                <w:b/>
                <w:szCs w:val="22"/>
              </w:rPr>
              <w:t>1.0</w:t>
            </w:r>
          </w:p>
        </w:tc>
        <w:tc>
          <w:tcPr>
            <w:tcW w:w="7923" w:type="dxa"/>
          </w:tcPr>
          <w:p w14:paraId="4BE0813F" w14:textId="77777777" w:rsidR="00973BAD" w:rsidRDefault="003A7127" w:rsidP="007D7760">
            <w:pPr>
              <w:rPr>
                <w:rFonts w:cs="Arial"/>
                <w:bCs/>
                <w:szCs w:val="22"/>
              </w:rPr>
            </w:pPr>
            <w:r>
              <w:rPr>
                <w:rFonts w:cs="Arial"/>
                <w:bCs/>
                <w:szCs w:val="22"/>
              </w:rPr>
              <w:t xml:space="preserve">Results will be visible on the display. </w:t>
            </w:r>
          </w:p>
          <w:p w14:paraId="37871000" w14:textId="73CDA311" w:rsidR="003A7127" w:rsidRDefault="003A7127" w:rsidP="003A7127">
            <w:pPr>
              <w:pStyle w:val="ListParagraph"/>
              <w:numPr>
                <w:ilvl w:val="0"/>
                <w:numId w:val="22"/>
              </w:numPr>
              <w:rPr>
                <w:rFonts w:cs="Arial"/>
                <w:bCs/>
                <w:szCs w:val="22"/>
              </w:rPr>
            </w:pPr>
            <w:r>
              <w:rPr>
                <w:rFonts w:cs="Arial"/>
                <w:bCs/>
                <w:szCs w:val="22"/>
              </w:rPr>
              <w:t>The photometer rounds the results to the nearest value of 10. (Values of 25 and 34 will display as a value of 30).</w:t>
            </w:r>
          </w:p>
          <w:p w14:paraId="6330AA7B" w14:textId="442680B1" w:rsidR="003A7127" w:rsidRPr="003A7127" w:rsidRDefault="003A7127" w:rsidP="003A7127">
            <w:pPr>
              <w:pStyle w:val="ListParagraph"/>
              <w:numPr>
                <w:ilvl w:val="0"/>
                <w:numId w:val="22"/>
              </w:numPr>
              <w:rPr>
                <w:rFonts w:cs="Arial"/>
                <w:bCs/>
                <w:szCs w:val="22"/>
              </w:rPr>
            </w:pPr>
            <w:r w:rsidRPr="003A7127">
              <w:rPr>
                <w:rFonts w:cs="Arial"/>
                <w:bCs/>
                <w:szCs w:val="22"/>
              </w:rPr>
              <w:t>Values less than 30 should be reported as &lt;30.</w:t>
            </w:r>
          </w:p>
          <w:p w14:paraId="6E09DA8B" w14:textId="76A616E0" w:rsidR="003A7127" w:rsidRPr="003A7127" w:rsidRDefault="003A7127" w:rsidP="003A7127">
            <w:pPr>
              <w:pStyle w:val="ListParagraph"/>
              <w:numPr>
                <w:ilvl w:val="0"/>
                <w:numId w:val="22"/>
              </w:numPr>
              <w:rPr>
                <w:rFonts w:cs="Arial"/>
                <w:bCs/>
                <w:szCs w:val="22"/>
              </w:rPr>
            </w:pPr>
            <w:r w:rsidRPr="003A7127">
              <w:rPr>
                <w:rFonts w:cs="Arial"/>
                <w:bCs/>
                <w:szCs w:val="22"/>
              </w:rPr>
              <w:t>Values of ≥ 50 are considered high.</w:t>
            </w:r>
          </w:p>
          <w:p w14:paraId="30EB8454" w14:textId="1423DB59" w:rsidR="003A7127" w:rsidRDefault="003A7127" w:rsidP="003A7127">
            <w:pPr>
              <w:pStyle w:val="ListParagraph"/>
              <w:numPr>
                <w:ilvl w:val="0"/>
                <w:numId w:val="22"/>
              </w:numPr>
              <w:rPr>
                <w:rFonts w:cs="Arial"/>
                <w:bCs/>
                <w:szCs w:val="22"/>
              </w:rPr>
            </w:pPr>
            <w:r w:rsidRPr="003A7127">
              <w:rPr>
                <w:rFonts w:cs="Arial"/>
                <w:bCs/>
                <w:szCs w:val="22"/>
              </w:rPr>
              <w:t xml:space="preserve">Values of ≥ 100 are considered critical. </w:t>
            </w:r>
          </w:p>
          <w:p w14:paraId="3EA29F07" w14:textId="50BEBFA0" w:rsidR="003A7127" w:rsidRPr="003A7127" w:rsidRDefault="003A7127" w:rsidP="003A7127">
            <w:pPr>
              <w:pStyle w:val="ListParagraph"/>
              <w:numPr>
                <w:ilvl w:val="0"/>
                <w:numId w:val="22"/>
              </w:numPr>
            </w:pPr>
            <w:r>
              <w:t xml:space="preserve">Values greater than 150 will be reported as &gt;150. </w:t>
            </w:r>
          </w:p>
          <w:p w14:paraId="09F935B7" w14:textId="53F34ABD" w:rsidR="003A7127" w:rsidRPr="003A7127" w:rsidRDefault="003A7127" w:rsidP="003A7127"/>
        </w:tc>
      </w:tr>
      <w:bookmarkEnd w:id="0"/>
    </w:tbl>
    <w:p w14:paraId="167665EB" w14:textId="77777777" w:rsidR="00BD2F7D" w:rsidRPr="005642DC" w:rsidRDefault="00BD2F7D" w:rsidP="00BD2F7D">
      <w:pPr>
        <w:rPr>
          <w:sz w:val="24"/>
          <w:szCs w:val="24"/>
        </w:rPr>
      </w:pPr>
    </w:p>
    <w:p w14:paraId="4BDDAF98" w14:textId="77777777" w:rsidR="00310878" w:rsidRDefault="00310878">
      <w:pPr>
        <w:rPr>
          <w:b/>
          <w:smallCaps/>
          <w:sz w:val="24"/>
          <w:szCs w:val="24"/>
        </w:rPr>
      </w:pPr>
      <w:r>
        <w:rPr>
          <w:sz w:val="24"/>
          <w:szCs w:val="24"/>
        </w:rPr>
        <w:br w:type="page"/>
      </w:r>
    </w:p>
    <w:p w14:paraId="5730A297" w14:textId="32BE5C0A" w:rsidR="00BD2F7D" w:rsidRPr="00D46D73" w:rsidRDefault="00BD2F7D" w:rsidP="00BD2F7D">
      <w:pPr>
        <w:pStyle w:val="Heading1"/>
        <w:rPr>
          <w:color w:val="FF0000"/>
          <w:sz w:val="24"/>
          <w:szCs w:val="24"/>
        </w:rPr>
      </w:pPr>
      <w:r w:rsidRPr="005642DC">
        <w:rPr>
          <w:sz w:val="24"/>
          <w:szCs w:val="24"/>
        </w:rPr>
        <w:lastRenderedPageBreak/>
        <w:t>Results R</w:t>
      </w:r>
      <w:r w:rsidR="00B05581" w:rsidRPr="005642DC">
        <w:rPr>
          <w:sz w:val="24"/>
          <w:szCs w:val="24"/>
        </w:rPr>
        <w:t>eporting</w:t>
      </w:r>
      <w:r w:rsidR="00D46D73">
        <w:rPr>
          <w:sz w:val="24"/>
          <w:szCs w:val="24"/>
        </w:rPr>
        <w:t xml:space="preserve"> </w:t>
      </w:r>
    </w:p>
    <w:p w14:paraId="7FDA59DC" w14:textId="77777777" w:rsidR="00B178F9" w:rsidRDefault="00B178F9" w:rsidP="00B178F9"/>
    <w:p w14:paraId="76B65969" w14:textId="6EBB4E19" w:rsidR="00B178F9" w:rsidRPr="00AD3070" w:rsidRDefault="00383A8F" w:rsidP="00B178F9">
      <w:pPr>
        <w:pStyle w:val="ListParagraph"/>
        <w:numPr>
          <w:ilvl w:val="0"/>
          <w:numId w:val="15"/>
        </w:numPr>
      </w:pPr>
      <w:r w:rsidRPr="00AD3070">
        <w:t>Reportable Range</w:t>
      </w:r>
      <w:r w:rsidR="003A7127">
        <w:t>: 0-3000 mg/dl</w:t>
      </w:r>
    </w:p>
    <w:p w14:paraId="4C910129" w14:textId="3CCAE740" w:rsidR="00383A8F" w:rsidRPr="00AD3070" w:rsidRDefault="00383A8F" w:rsidP="00383A8F">
      <w:pPr>
        <w:pStyle w:val="ListParagraph"/>
        <w:numPr>
          <w:ilvl w:val="0"/>
          <w:numId w:val="15"/>
        </w:numPr>
        <w:rPr>
          <w:color w:val="FF0000"/>
        </w:rPr>
      </w:pPr>
      <w:r w:rsidRPr="00AD3070">
        <w:t>Clinical Reportable Range</w:t>
      </w:r>
      <w:r w:rsidR="003A7127">
        <w:t>: &lt;30-&lt;150 mg/dl</w:t>
      </w:r>
    </w:p>
    <w:p w14:paraId="71E67103" w14:textId="77777777" w:rsidR="00922B55" w:rsidRPr="00AD3070" w:rsidRDefault="00922B55" w:rsidP="00922B55">
      <w:pPr>
        <w:pStyle w:val="ListParagraph"/>
        <w:numPr>
          <w:ilvl w:val="0"/>
          <w:numId w:val="15"/>
        </w:numPr>
      </w:pPr>
      <w:r w:rsidRPr="00AD3070">
        <w:t>Reference Interval</w:t>
      </w:r>
    </w:p>
    <w:p w14:paraId="308A683E" w14:textId="4B3B378C" w:rsidR="00B178F9" w:rsidRPr="00AD3070" w:rsidRDefault="00B178F9" w:rsidP="00B178F9">
      <w:pPr>
        <w:pStyle w:val="ListParagraph"/>
        <w:numPr>
          <w:ilvl w:val="0"/>
          <w:numId w:val="15"/>
        </w:numPr>
      </w:pPr>
      <w:r w:rsidRPr="00AD3070">
        <w:t>Critical Values</w:t>
      </w:r>
      <w:r w:rsidR="00D75E46">
        <w:t xml:space="preserve">: </w:t>
      </w:r>
      <w:r w:rsidR="00D75E46">
        <w:rPr>
          <w:rFonts w:cs="Arial"/>
        </w:rPr>
        <w:t>≥</w:t>
      </w:r>
      <w:r w:rsidR="00D75E46">
        <w:t xml:space="preserve">50 mg/dl = high. </w:t>
      </w:r>
      <w:r w:rsidR="00D75E46">
        <w:rPr>
          <w:rFonts w:cs="Arial"/>
        </w:rPr>
        <w:t>≥</w:t>
      </w:r>
      <w:r w:rsidR="00D75E46">
        <w:t>100 mg/dl =Critically High Value</w:t>
      </w:r>
    </w:p>
    <w:p w14:paraId="48CDD895" w14:textId="56B8B8D5" w:rsidR="00B178F9" w:rsidRPr="00AD3070" w:rsidRDefault="00B178F9" w:rsidP="0064675C">
      <w:pPr>
        <w:pStyle w:val="ListParagraph"/>
        <w:numPr>
          <w:ilvl w:val="0"/>
          <w:numId w:val="15"/>
        </w:numPr>
      </w:pPr>
      <w:r w:rsidRPr="00AD3070">
        <w:t>Expected Results</w:t>
      </w:r>
      <w:r w:rsidR="00D75E46">
        <w:t xml:space="preserve">: </w:t>
      </w:r>
      <w:r w:rsidR="00D75E46">
        <w:rPr>
          <w:rFonts w:cs="Arial"/>
        </w:rPr>
        <w:t>≤</w:t>
      </w:r>
      <w:r w:rsidR="00D75E46">
        <w:t>30 mg/</w:t>
      </w:r>
      <w:proofErr w:type="gramStart"/>
      <w:r w:rsidR="00D75E46">
        <w:t>dl</w:t>
      </w:r>
      <w:proofErr w:type="gramEnd"/>
    </w:p>
    <w:p w14:paraId="78C997C1" w14:textId="25A23445" w:rsidR="00432126" w:rsidRDefault="003223C2" w:rsidP="00A61C44">
      <w:pPr>
        <w:pStyle w:val="ListParagraph"/>
        <w:numPr>
          <w:ilvl w:val="0"/>
          <w:numId w:val="15"/>
        </w:numPr>
      </w:pPr>
      <w:r w:rsidRPr="00017AA7">
        <w:t>System of Reporting</w:t>
      </w:r>
      <w:r w:rsidR="009D0881">
        <w:t>: SCC</w:t>
      </w:r>
    </w:p>
    <w:p w14:paraId="59BF7074" w14:textId="77777777" w:rsidR="00D75E46" w:rsidRPr="00D75E46" w:rsidRDefault="00D75E46" w:rsidP="00D75E46"/>
    <w:tbl>
      <w:tblPr>
        <w:tblW w:w="9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9576"/>
      </w:tblGrid>
      <w:tr w:rsidR="00D75E46" w:rsidRPr="00A21BA3" w14:paraId="3D69CB51" w14:textId="77777777" w:rsidTr="007D7760">
        <w:trPr>
          <w:tblHeader/>
        </w:trPr>
        <w:tc>
          <w:tcPr>
            <w:tcW w:w="1469" w:type="dxa"/>
            <w:shd w:val="clear" w:color="auto" w:fill="CCCCCC"/>
          </w:tcPr>
          <w:p w14:paraId="07CDF44C" w14:textId="77777777" w:rsidR="00D75E46" w:rsidRPr="00E03384" w:rsidRDefault="00D75E46" w:rsidP="007D7760">
            <w:pPr>
              <w:jc w:val="center"/>
              <w:rPr>
                <w:rFonts w:cs="Arial"/>
                <w:b/>
              </w:rPr>
            </w:pPr>
            <w:r w:rsidRPr="00E03384">
              <w:rPr>
                <w:rFonts w:cs="Arial"/>
                <w:b/>
              </w:rPr>
              <w:t>Steps</w:t>
            </w:r>
          </w:p>
        </w:tc>
        <w:tc>
          <w:tcPr>
            <w:tcW w:w="7923" w:type="dxa"/>
            <w:shd w:val="clear" w:color="auto" w:fill="CCCCCC"/>
          </w:tcPr>
          <w:p w14:paraId="0321A955" w14:textId="77777777" w:rsidR="00D75E46" w:rsidRPr="00E03384" w:rsidRDefault="00D75E46" w:rsidP="007D7760">
            <w:pPr>
              <w:jc w:val="center"/>
              <w:rPr>
                <w:rFonts w:cs="Arial"/>
                <w:b/>
              </w:rPr>
            </w:pPr>
            <w:r w:rsidRPr="00E03384">
              <w:rPr>
                <w:rFonts w:cs="Arial"/>
                <w:b/>
              </w:rPr>
              <w:t>Instructions</w:t>
            </w:r>
          </w:p>
        </w:tc>
      </w:tr>
      <w:tr w:rsidR="00D75E46" w:rsidRPr="00A21BA3" w14:paraId="7ACDE471" w14:textId="77777777" w:rsidTr="007D7760">
        <w:tc>
          <w:tcPr>
            <w:tcW w:w="1469" w:type="dxa"/>
          </w:tcPr>
          <w:p w14:paraId="1EA9A711" w14:textId="77777777" w:rsidR="00D75E46" w:rsidRPr="009447EA" w:rsidRDefault="00D75E46" w:rsidP="007D7760">
            <w:pPr>
              <w:jc w:val="center"/>
              <w:rPr>
                <w:rFonts w:cs="Arial"/>
                <w:b/>
                <w:szCs w:val="22"/>
              </w:rPr>
            </w:pPr>
            <w:r w:rsidRPr="009447EA">
              <w:rPr>
                <w:rFonts w:cs="Arial"/>
                <w:b/>
                <w:szCs w:val="22"/>
              </w:rPr>
              <w:t>1.0</w:t>
            </w:r>
          </w:p>
        </w:tc>
        <w:tc>
          <w:tcPr>
            <w:tcW w:w="7923" w:type="dxa"/>
          </w:tcPr>
          <w:p w14:paraId="16B98D79" w14:textId="127A9E2F" w:rsidR="00D75E46" w:rsidRDefault="00D75E46" w:rsidP="00D75E46">
            <w:r>
              <w:t>In SCC: Patient&gt;Orders&gt;Results: Select test “PFHgb”</w:t>
            </w:r>
          </w:p>
          <w:p w14:paraId="6B24B8AE" w14:textId="42DF973B" w:rsidR="00D75E46" w:rsidRPr="00D75E46" w:rsidRDefault="00D75E46" w:rsidP="00D75E46"/>
        </w:tc>
      </w:tr>
      <w:tr w:rsidR="00D75E46" w:rsidRPr="00A21BA3" w14:paraId="4E1E6850" w14:textId="77777777" w:rsidTr="007D7760">
        <w:tc>
          <w:tcPr>
            <w:tcW w:w="1469" w:type="dxa"/>
          </w:tcPr>
          <w:p w14:paraId="57DAAC36" w14:textId="67C83D24" w:rsidR="00D75E46" w:rsidRPr="009447EA" w:rsidRDefault="00D75E46" w:rsidP="007D7760">
            <w:pPr>
              <w:jc w:val="center"/>
              <w:rPr>
                <w:rFonts w:cs="Arial"/>
                <w:b/>
                <w:szCs w:val="22"/>
              </w:rPr>
            </w:pPr>
            <w:r>
              <w:rPr>
                <w:rFonts w:cs="Arial"/>
                <w:b/>
                <w:szCs w:val="22"/>
              </w:rPr>
              <w:t>2.0</w:t>
            </w:r>
          </w:p>
        </w:tc>
        <w:tc>
          <w:tcPr>
            <w:tcW w:w="7923" w:type="dxa"/>
          </w:tcPr>
          <w:p w14:paraId="60E43DA1" w14:textId="736D7DBF" w:rsidR="00D75E46" w:rsidRDefault="00D75E46" w:rsidP="00D75E46">
            <w:r>
              <w:t>Choose Test results based on the below values: (choose specials rack)</w:t>
            </w:r>
          </w:p>
          <w:p w14:paraId="4A9EE4B2" w14:textId="77777777" w:rsidR="00D75E46" w:rsidRDefault="00D75E46" w:rsidP="00D75E46"/>
          <w:tbl>
            <w:tblPr>
              <w:tblStyle w:val="TableGrid"/>
              <w:tblW w:w="0" w:type="auto"/>
              <w:jc w:val="center"/>
              <w:tblLook w:val="04A0" w:firstRow="1" w:lastRow="0" w:firstColumn="1" w:lastColumn="0" w:noHBand="0" w:noVBand="1"/>
            </w:tblPr>
            <w:tblGrid>
              <w:gridCol w:w="1210"/>
              <w:gridCol w:w="990"/>
              <w:gridCol w:w="1260"/>
            </w:tblGrid>
            <w:tr w:rsidR="00D75E46" w14:paraId="1B4E8BC5" w14:textId="77777777" w:rsidTr="00B83063">
              <w:trPr>
                <w:jc w:val="center"/>
              </w:trPr>
              <w:tc>
                <w:tcPr>
                  <w:tcW w:w="1210" w:type="dxa"/>
                  <w:tcBorders>
                    <w:bottom w:val="single" w:sz="24" w:space="0" w:color="auto"/>
                  </w:tcBorders>
                  <w:shd w:val="clear" w:color="auto" w:fill="BCBEC0" w:themeFill="background2"/>
                </w:tcPr>
                <w:p w14:paraId="176A7CB1" w14:textId="3E05ECB7" w:rsidR="00D75E46" w:rsidRPr="00B83063" w:rsidRDefault="00D75E46" w:rsidP="00D75E46">
                  <w:pPr>
                    <w:rPr>
                      <w:b/>
                      <w:bCs/>
                    </w:rPr>
                  </w:pPr>
                  <w:r w:rsidRPr="00B83063">
                    <w:rPr>
                      <w:b/>
                      <w:bCs/>
                    </w:rPr>
                    <w:t>PFHgb</w:t>
                  </w:r>
                </w:p>
              </w:tc>
              <w:tc>
                <w:tcPr>
                  <w:tcW w:w="990" w:type="dxa"/>
                  <w:tcBorders>
                    <w:bottom w:val="single" w:sz="24" w:space="0" w:color="auto"/>
                  </w:tcBorders>
                  <w:shd w:val="clear" w:color="auto" w:fill="BCBEC0" w:themeFill="background2"/>
                </w:tcPr>
                <w:p w14:paraId="6B3E3E95" w14:textId="062EF1F2" w:rsidR="00D75E46" w:rsidRPr="00B83063" w:rsidRDefault="00D75E46" w:rsidP="00D75E46">
                  <w:pPr>
                    <w:rPr>
                      <w:b/>
                      <w:bCs/>
                      <w:i/>
                      <w:iCs/>
                    </w:rPr>
                  </w:pPr>
                  <w:r w:rsidRPr="00B83063">
                    <w:rPr>
                      <w:b/>
                      <w:bCs/>
                      <w:i/>
                      <w:iCs/>
                    </w:rPr>
                    <w:t>PFHgb</w:t>
                  </w:r>
                </w:p>
              </w:tc>
              <w:tc>
                <w:tcPr>
                  <w:tcW w:w="1260" w:type="dxa"/>
                  <w:tcBorders>
                    <w:bottom w:val="single" w:sz="24" w:space="0" w:color="auto"/>
                  </w:tcBorders>
                  <w:shd w:val="clear" w:color="auto" w:fill="BCBEC0" w:themeFill="background2"/>
                </w:tcPr>
                <w:p w14:paraId="4DF3C161" w14:textId="2A53DFF0" w:rsidR="00D75E46" w:rsidRPr="00B83063" w:rsidRDefault="00D75E46" w:rsidP="00D75E46">
                  <w:pPr>
                    <w:rPr>
                      <w:b/>
                      <w:bCs/>
                      <w:i/>
                      <w:iCs/>
                    </w:rPr>
                  </w:pPr>
                  <w:r w:rsidRPr="00B83063">
                    <w:rPr>
                      <w:b/>
                      <w:bCs/>
                      <w:i/>
                      <w:iCs/>
                    </w:rPr>
                    <w:t>PFHIn</w:t>
                  </w:r>
                </w:p>
              </w:tc>
            </w:tr>
            <w:tr w:rsidR="00D75E46" w14:paraId="77762896" w14:textId="77777777" w:rsidTr="00B83063">
              <w:trPr>
                <w:jc w:val="center"/>
              </w:trPr>
              <w:tc>
                <w:tcPr>
                  <w:tcW w:w="1210" w:type="dxa"/>
                  <w:tcBorders>
                    <w:top w:val="single" w:sz="24" w:space="0" w:color="auto"/>
                  </w:tcBorders>
                </w:tcPr>
                <w:p w14:paraId="2F54BCC4" w14:textId="4A7DF58F" w:rsidR="00D75E46" w:rsidRDefault="00D75E46" w:rsidP="00D75E46">
                  <w:r>
                    <w:t>&lt;</w:t>
                  </w:r>
                </w:p>
              </w:tc>
              <w:tc>
                <w:tcPr>
                  <w:tcW w:w="990" w:type="dxa"/>
                  <w:tcBorders>
                    <w:top w:val="single" w:sz="24" w:space="0" w:color="auto"/>
                  </w:tcBorders>
                </w:tcPr>
                <w:p w14:paraId="60DA6785" w14:textId="5499FEBE" w:rsidR="00D75E46" w:rsidRDefault="00D75E46" w:rsidP="00D75E46">
                  <w:r>
                    <w:t>&lt;30</w:t>
                  </w:r>
                  <w:r w:rsidR="003609D3">
                    <w:t>*</w:t>
                  </w:r>
                </w:p>
              </w:tc>
              <w:tc>
                <w:tcPr>
                  <w:tcW w:w="1260" w:type="dxa"/>
                  <w:tcBorders>
                    <w:top w:val="single" w:sz="24" w:space="0" w:color="auto"/>
                  </w:tcBorders>
                </w:tcPr>
                <w:p w14:paraId="35C23BA0" w14:textId="7C084DBA" w:rsidR="00D75E46" w:rsidRDefault="00D75E46" w:rsidP="00D75E46">
                  <w:r>
                    <w:t>NORML</w:t>
                  </w:r>
                </w:p>
              </w:tc>
            </w:tr>
            <w:tr w:rsidR="00D75E46" w14:paraId="7E970D3E" w14:textId="77777777" w:rsidTr="00B83063">
              <w:trPr>
                <w:jc w:val="center"/>
              </w:trPr>
              <w:tc>
                <w:tcPr>
                  <w:tcW w:w="1210" w:type="dxa"/>
                </w:tcPr>
                <w:p w14:paraId="0AFFFCEE" w14:textId="50EF9613" w:rsidR="00D75E46" w:rsidRDefault="00D75E46" w:rsidP="00D75E46">
                  <w:r>
                    <w:t>30</w:t>
                  </w:r>
                </w:p>
              </w:tc>
              <w:tc>
                <w:tcPr>
                  <w:tcW w:w="990" w:type="dxa"/>
                </w:tcPr>
                <w:p w14:paraId="1996E272" w14:textId="640DBB23" w:rsidR="00D75E46" w:rsidRDefault="00D75E46" w:rsidP="00D75E46">
                  <w:r>
                    <w:t>30</w:t>
                  </w:r>
                </w:p>
              </w:tc>
              <w:tc>
                <w:tcPr>
                  <w:tcW w:w="1260" w:type="dxa"/>
                </w:tcPr>
                <w:p w14:paraId="4C79FACB" w14:textId="64140D04" w:rsidR="00D75E46" w:rsidRDefault="00D75E46" w:rsidP="00D75E46">
                  <w:r>
                    <w:t>NORML</w:t>
                  </w:r>
                </w:p>
              </w:tc>
            </w:tr>
            <w:tr w:rsidR="00D75E46" w14:paraId="7F37D13C" w14:textId="77777777" w:rsidTr="00B83063">
              <w:trPr>
                <w:jc w:val="center"/>
              </w:trPr>
              <w:tc>
                <w:tcPr>
                  <w:tcW w:w="1210" w:type="dxa"/>
                </w:tcPr>
                <w:p w14:paraId="03E3F904" w14:textId="1CC4B375" w:rsidR="00D75E46" w:rsidRDefault="00D75E46" w:rsidP="00D75E46">
                  <w:r>
                    <w:t>40</w:t>
                  </w:r>
                </w:p>
              </w:tc>
              <w:tc>
                <w:tcPr>
                  <w:tcW w:w="990" w:type="dxa"/>
                </w:tcPr>
                <w:p w14:paraId="5BD4BABC" w14:textId="5AAADB43" w:rsidR="00D75E46" w:rsidRDefault="00D75E46" w:rsidP="00D75E46">
                  <w:r>
                    <w:t>40</w:t>
                  </w:r>
                </w:p>
              </w:tc>
              <w:tc>
                <w:tcPr>
                  <w:tcW w:w="1260" w:type="dxa"/>
                </w:tcPr>
                <w:p w14:paraId="0B0CA58D" w14:textId="2764AB18" w:rsidR="00D75E46" w:rsidRDefault="00D75E46" w:rsidP="00D75E46">
                  <w:r>
                    <w:t>NORML</w:t>
                  </w:r>
                </w:p>
              </w:tc>
            </w:tr>
            <w:tr w:rsidR="00D75E46" w14:paraId="420949A9" w14:textId="77777777" w:rsidTr="00B83063">
              <w:trPr>
                <w:jc w:val="center"/>
              </w:trPr>
              <w:tc>
                <w:tcPr>
                  <w:tcW w:w="1210" w:type="dxa"/>
                </w:tcPr>
                <w:p w14:paraId="1B62E1C9" w14:textId="4D5F2AAA" w:rsidR="00D75E46" w:rsidRDefault="00D75E46" w:rsidP="00D75E46">
                  <w:r>
                    <w:t>50</w:t>
                  </w:r>
                </w:p>
              </w:tc>
              <w:tc>
                <w:tcPr>
                  <w:tcW w:w="990" w:type="dxa"/>
                </w:tcPr>
                <w:p w14:paraId="3B7CA094" w14:textId="10B58186" w:rsidR="00D75E46" w:rsidRDefault="00D75E46" w:rsidP="00D75E46">
                  <w:r>
                    <w:t>50</w:t>
                  </w:r>
                </w:p>
              </w:tc>
              <w:tc>
                <w:tcPr>
                  <w:tcW w:w="1260" w:type="dxa"/>
                </w:tcPr>
                <w:p w14:paraId="37292F53" w14:textId="3C1C59EB" w:rsidR="00D75E46" w:rsidRDefault="00D75E46" w:rsidP="00D75E46">
                  <w:r>
                    <w:t>HIGH</w:t>
                  </w:r>
                </w:p>
              </w:tc>
            </w:tr>
            <w:tr w:rsidR="00D75E46" w14:paraId="0F0D3EBD" w14:textId="77777777" w:rsidTr="00B83063">
              <w:trPr>
                <w:jc w:val="center"/>
              </w:trPr>
              <w:tc>
                <w:tcPr>
                  <w:tcW w:w="1210" w:type="dxa"/>
                </w:tcPr>
                <w:p w14:paraId="795BAF4F" w14:textId="02F03FAB" w:rsidR="00D75E46" w:rsidRDefault="00D75E46" w:rsidP="00D75E46">
                  <w:r>
                    <w:t>60</w:t>
                  </w:r>
                </w:p>
              </w:tc>
              <w:tc>
                <w:tcPr>
                  <w:tcW w:w="990" w:type="dxa"/>
                </w:tcPr>
                <w:p w14:paraId="4D615E83" w14:textId="33DD6503" w:rsidR="00D75E46" w:rsidRDefault="00D75E46" w:rsidP="00D75E46">
                  <w:r>
                    <w:t>60</w:t>
                  </w:r>
                </w:p>
              </w:tc>
              <w:tc>
                <w:tcPr>
                  <w:tcW w:w="1260" w:type="dxa"/>
                </w:tcPr>
                <w:p w14:paraId="2B73A853" w14:textId="39A7C5DD" w:rsidR="00D75E46" w:rsidRDefault="00D75E46" w:rsidP="00D75E46">
                  <w:r>
                    <w:t>HIGH</w:t>
                  </w:r>
                </w:p>
              </w:tc>
            </w:tr>
            <w:tr w:rsidR="00D75E46" w14:paraId="2D793B3C" w14:textId="77777777" w:rsidTr="00B83063">
              <w:trPr>
                <w:jc w:val="center"/>
              </w:trPr>
              <w:tc>
                <w:tcPr>
                  <w:tcW w:w="1210" w:type="dxa"/>
                </w:tcPr>
                <w:p w14:paraId="0A2C9030" w14:textId="560DA2B0" w:rsidR="00D75E46" w:rsidRDefault="00D75E46" w:rsidP="00D75E46">
                  <w:r>
                    <w:t>70</w:t>
                  </w:r>
                </w:p>
              </w:tc>
              <w:tc>
                <w:tcPr>
                  <w:tcW w:w="990" w:type="dxa"/>
                </w:tcPr>
                <w:p w14:paraId="6AA42567" w14:textId="6D3A0195" w:rsidR="00D75E46" w:rsidRDefault="00D75E46" w:rsidP="00D75E46">
                  <w:r>
                    <w:t>70</w:t>
                  </w:r>
                </w:p>
              </w:tc>
              <w:tc>
                <w:tcPr>
                  <w:tcW w:w="1260" w:type="dxa"/>
                </w:tcPr>
                <w:p w14:paraId="363BC173" w14:textId="18804BFE" w:rsidR="00D75E46" w:rsidRDefault="00D75E46" w:rsidP="00D75E46">
                  <w:r>
                    <w:t>HIGH</w:t>
                  </w:r>
                </w:p>
              </w:tc>
            </w:tr>
            <w:tr w:rsidR="00D75E46" w14:paraId="70A4F31F" w14:textId="77777777" w:rsidTr="00B83063">
              <w:trPr>
                <w:jc w:val="center"/>
              </w:trPr>
              <w:tc>
                <w:tcPr>
                  <w:tcW w:w="1210" w:type="dxa"/>
                </w:tcPr>
                <w:p w14:paraId="1EE23A33" w14:textId="4AC1245E" w:rsidR="00D75E46" w:rsidRDefault="00D75E46" w:rsidP="00D75E46">
                  <w:r>
                    <w:t>80</w:t>
                  </w:r>
                </w:p>
              </w:tc>
              <w:tc>
                <w:tcPr>
                  <w:tcW w:w="990" w:type="dxa"/>
                </w:tcPr>
                <w:p w14:paraId="67DF825A" w14:textId="078134B8" w:rsidR="00D75E46" w:rsidRDefault="00D75E46" w:rsidP="00D75E46">
                  <w:r>
                    <w:t>80</w:t>
                  </w:r>
                </w:p>
              </w:tc>
              <w:tc>
                <w:tcPr>
                  <w:tcW w:w="1260" w:type="dxa"/>
                </w:tcPr>
                <w:p w14:paraId="0498B002" w14:textId="35844E54" w:rsidR="00D75E46" w:rsidRDefault="00D75E46" w:rsidP="00D75E46">
                  <w:r>
                    <w:t>HIGH</w:t>
                  </w:r>
                </w:p>
              </w:tc>
            </w:tr>
            <w:tr w:rsidR="00D75E46" w14:paraId="7D872856" w14:textId="77777777" w:rsidTr="00B83063">
              <w:trPr>
                <w:jc w:val="center"/>
              </w:trPr>
              <w:tc>
                <w:tcPr>
                  <w:tcW w:w="1210" w:type="dxa"/>
                </w:tcPr>
                <w:p w14:paraId="3A86CFDE" w14:textId="2708B380" w:rsidR="00D75E46" w:rsidRDefault="00D75E46" w:rsidP="00D75E46">
                  <w:r>
                    <w:t>90</w:t>
                  </w:r>
                </w:p>
              </w:tc>
              <w:tc>
                <w:tcPr>
                  <w:tcW w:w="990" w:type="dxa"/>
                </w:tcPr>
                <w:p w14:paraId="60E142E0" w14:textId="0702BCD1" w:rsidR="00D75E46" w:rsidRDefault="00D75E46" w:rsidP="00D75E46">
                  <w:r>
                    <w:t>90</w:t>
                  </w:r>
                </w:p>
              </w:tc>
              <w:tc>
                <w:tcPr>
                  <w:tcW w:w="1260" w:type="dxa"/>
                </w:tcPr>
                <w:p w14:paraId="3CCF734D" w14:textId="09475F5F" w:rsidR="00D75E46" w:rsidRDefault="00D75E46" w:rsidP="00D75E46">
                  <w:r>
                    <w:t>HIGH</w:t>
                  </w:r>
                </w:p>
              </w:tc>
            </w:tr>
            <w:tr w:rsidR="00D75E46" w14:paraId="1DE442F5" w14:textId="77777777" w:rsidTr="00B83063">
              <w:trPr>
                <w:jc w:val="center"/>
              </w:trPr>
              <w:tc>
                <w:tcPr>
                  <w:tcW w:w="1210" w:type="dxa"/>
                </w:tcPr>
                <w:p w14:paraId="53729939" w14:textId="3A9FBC07" w:rsidR="00D75E46" w:rsidRDefault="00D75E46" w:rsidP="00D75E46">
                  <w:r>
                    <w:t>10</w:t>
                  </w:r>
                </w:p>
              </w:tc>
              <w:tc>
                <w:tcPr>
                  <w:tcW w:w="990" w:type="dxa"/>
                </w:tcPr>
                <w:p w14:paraId="6E6D07EE" w14:textId="3DC075B8" w:rsidR="00D75E46" w:rsidRDefault="00D75E46" w:rsidP="00D75E46">
                  <w:r>
                    <w:t>100</w:t>
                  </w:r>
                </w:p>
              </w:tc>
              <w:tc>
                <w:tcPr>
                  <w:tcW w:w="1260" w:type="dxa"/>
                </w:tcPr>
                <w:p w14:paraId="67D628B3" w14:textId="14136D10" w:rsidR="00D75E46" w:rsidRDefault="00B83063" w:rsidP="00D75E46">
                  <w:r>
                    <w:t>CRIT</w:t>
                  </w:r>
                </w:p>
              </w:tc>
            </w:tr>
            <w:tr w:rsidR="00D75E46" w14:paraId="567C0329" w14:textId="77777777" w:rsidTr="00B83063">
              <w:trPr>
                <w:jc w:val="center"/>
              </w:trPr>
              <w:tc>
                <w:tcPr>
                  <w:tcW w:w="1210" w:type="dxa"/>
                </w:tcPr>
                <w:p w14:paraId="11C6F350" w14:textId="1CFD1ADB" w:rsidR="00D75E46" w:rsidRDefault="00D75E46" w:rsidP="00D75E46">
                  <w:r>
                    <w:t>11</w:t>
                  </w:r>
                </w:p>
              </w:tc>
              <w:tc>
                <w:tcPr>
                  <w:tcW w:w="990" w:type="dxa"/>
                </w:tcPr>
                <w:p w14:paraId="187110F1" w14:textId="500C46F8" w:rsidR="00D75E46" w:rsidRDefault="00D75E46" w:rsidP="00D75E46">
                  <w:r>
                    <w:t>110</w:t>
                  </w:r>
                </w:p>
              </w:tc>
              <w:tc>
                <w:tcPr>
                  <w:tcW w:w="1260" w:type="dxa"/>
                </w:tcPr>
                <w:p w14:paraId="44A3AEF7" w14:textId="0FE5CB1B" w:rsidR="00D75E46" w:rsidRDefault="00B83063" w:rsidP="00D75E46">
                  <w:r>
                    <w:t>CRIT</w:t>
                  </w:r>
                </w:p>
              </w:tc>
            </w:tr>
            <w:tr w:rsidR="00D75E46" w14:paraId="414CE72A" w14:textId="77777777" w:rsidTr="00B83063">
              <w:trPr>
                <w:jc w:val="center"/>
              </w:trPr>
              <w:tc>
                <w:tcPr>
                  <w:tcW w:w="1210" w:type="dxa"/>
                </w:tcPr>
                <w:p w14:paraId="672D88E6" w14:textId="34FC13E2" w:rsidR="00D75E46" w:rsidRDefault="00D75E46" w:rsidP="00D75E46">
                  <w:r>
                    <w:t>12</w:t>
                  </w:r>
                </w:p>
              </w:tc>
              <w:tc>
                <w:tcPr>
                  <w:tcW w:w="990" w:type="dxa"/>
                </w:tcPr>
                <w:p w14:paraId="58E9C24F" w14:textId="47531AEC" w:rsidR="00D75E46" w:rsidRDefault="00D75E46" w:rsidP="00D75E46">
                  <w:r>
                    <w:t>120</w:t>
                  </w:r>
                </w:p>
              </w:tc>
              <w:tc>
                <w:tcPr>
                  <w:tcW w:w="1260" w:type="dxa"/>
                </w:tcPr>
                <w:p w14:paraId="1AD039FA" w14:textId="0069E5B0" w:rsidR="00D75E46" w:rsidRDefault="00B83063" w:rsidP="00D75E46">
                  <w:r>
                    <w:t>CRIT</w:t>
                  </w:r>
                </w:p>
              </w:tc>
            </w:tr>
            <w:tr w:rsidR="00D75E46" w14:paraId="0994DF92" w14:textId="77777777" w:rsidTr="00B83063">
              <w:trPr>
                <w:jc w:val="center"/>
              </w:trPr>
              <w:tc>
                <w:tcPr>
                  <w:tcW w:w="1210" w:type="dxa"/>
                </w:tcPr>
                <w:p w14:paraId="4566857D" w14:textId="45939427" w:rsidR="00D75E46" w:rsidRDefault="00D75E46" w:rsidP="00D75E46">
                  <w:r>
                    <w:t>13</w:t>
                  </w:r>
                </w:p>
              </w:tc>
              <w:tc>
                <w:tcPr>
                  <w:tcW w:w="990" w:type="dxa"/>
                </w:tcPr>
                <w:p w14:paraId="091BEF8B" w14:textId="4EE7AE6D" w:rsidR="00D75E46" w:rsidRDefault="00D75E46" w:rsidP="00D75E46">
                  <w:r>
                    <w:t>130</w:t>
                  </w:r>
                </w:p>
              </w:tc>
              <w:tc>
                <w:tcPr>
                  <w:tcW w:w="1260" w:type="dxa"/>
                </w:tcPr>
                <w:p w14:paraId="0FC166E4" w14:textId="150ABBD4" w:rsidR="00D75E46" w:rsidRDefault="00B83063" w:rsidP="00D75E46">
                  <w:r>
                    <w:t>CRIT</w:t>
                  </w:r>
                </w:p>
              </w:tc>
            </w:tr>
            <w:tr w:rsidR="00D75E46" w14:paraId="64AACCF3" w14:textId="77777777" w:rsidTr="00B83063">
              <w:trPr>
                <w:jc w:val="center"/>
              </w:trPr>
              <w:tc>
                <w:tcPr>
                  <w:tcW w:w="1210" w:type="dxa"/>
                </w:tcPr>
                <w:p w14:paraId="77ED97A5" w14:textId="49A767D8" w:rsidR="00D75E46" w:rsidRDefault="00D75E46" w:rsidP="00D75E46">
                  <w:r>
                    <w:t>14</w:t>
                  </w:r>
                </w:p>
              </w:tc>
              <w:tc>
                <w:tcPr>
                  <w:tcW w:w="990" w:type="dxa"/>
                </w:tcPr>
                <w:p w14:paraId="70DF931E" w14:textId="1788D637" w:rsidR="00D75E46" w:rsidRDefault="00D75E46" w:rsidP="00D75E46">
                  <w:r>
                    <w:t>140</w:t>
                  </w:r>
                </w:p>
              </w:tc>
              <w:tc>
                <w:tcPr>
                  <w:tcW w:w="1260" w:type="dxa"/>
                </w:tcPr>
                <w:p w14:paraId="4C1BE19B" w14:textId="400DB936" w:rsidR="00D75E46" w:rsidRDefault="00B83063" w:rsidP="00D75E46">
                  <w:r>
                    <w:t>CRIT</w:t>
                  </w:r>
                </w:p>
              </w:tc>
            </w:tr>
            <w:tr w:rsidR="00D75E46" w14:paraId="79D20403" w14:textId="77777777" w:rsidTr="00B83063">
              <w:trPr>
                <w:jc w:val="center"/>
              </w:trPr>
              <w:tc>
                <w:tcPr>
                  <w:tcW w:w="1210" w:type="dxa"/>
                </w:tcPr>
                <w:p w14:paraId="202A78BD" w14:textId="3647B4D8" w:rsidR="00D75E46" w:rsidRDefault="00D75E46" w:rsidP="00D75E46">
                  <w:r>
                    <w:t>15</w:t>
                  </w:r>
                </w:p>
              </w:tc>
              <w:tc>
                <w:tcPr>
                  <w:tcW w:w="990" w:type="dxa"/>
                </w:tcPr>
                <w:p w14:paraId="1866A748" w14:textId="006BE9CE" w:rsidR="00D75E46" w:rsidRDefault="00D75E46" w:rsidP="00D75E46">
                  <w:r>
                    <w:t>150</w:t>
                  </w:r>
                </w:p>
              </w:tc>
              <w:tc>
                <w:tcPr>
                  <w:tcW w:w="1260" w:type="dxa"/>
                </w:tcPr>
                <w:p w14:paraId="352C269C" w14:textId="156C4B98" w:rsidR="00D75E46" w:rsidRDefault="00B83063" w:rsidP="00D75E46">
                  <w:r>
                    <w:t>CRIT</w:t>
                  </w:r>
                </w:p>
              </w:tc>
            </w:tr>
            <w:tr w:rsidR="00D75E46" w14:paraId="68A260FF" w14:textId="77777777" w:rsidTr="00B83063">
              <w:trPr>
                <w:jc w:val="center"/>
              </w:trPr>
              <w:tc>
                <w:tcPr>
                  <w:tcW w:w="1210" w:type="dxa"/>
                </w:tcPr>
                <w:p w14:paraId="5E6B4BA7" w14:textId="386FF892" w:rsidR="00D75E46" w:rsidRDefault="00D75E46" w:rsidP="00D75E46">
                  <w:r>
                    <w:t>&gt;</w:t>
                  </w:r>
                </w:p>
              </w:tc>
              <w:tc>
                <w:tcPr>
                  <w:tcW w:w="990" w:type="dxa"/>
                </w:tcPr>
                <w:p w14:paraId="55422B1F" w14:textId="70B115B0" w:rsidR="00D75E46" w:rsidRDefault="00D75E46" w:rsidP="00D75E46">
                  <w:r>
                    <w:t>&gt;150</w:t>
                  </w:r>
                  <w:r w:rsidR="003609D3">
                    <w:t>**</w:t>
                  </w:r>
                </w:p>
              </w:tc>
              <w:tc>
                <w:tcPr>
                  <w:tcW w:w="1260" w:type="dxa"/>
                </w:tcPr>
                <w:p w14:paraId="667D1BDA" w14:textId="32025EB2" w:rsidR="00D75E46" w:rsidRDefault="00B83063" w:rsidP="00D75E46">
                  <w:r>
                    <w:t>CRIT</w:t>
                  </w:r>
                </w:p>
              </w:tc>
            </w:tr>
          </w:tbl>
          <w:p w14:paraId="18EFB77A" w14:textId="77777777" w:rsidR="00B83063" w:rsidRDefault="00B83063" w:rsidP="00D75E46"/>
          <w:p w14:paraId="42D3A5E6" w14:textId="77777777" w:rsidR="00B83063" w:rsidRPr="003609D3" w:rsidRDefault="003609D3" w:rsidP="00D75E46">
            <w:pPr>
              <w:rPr>
                <w:color w:val="C00000"/>
              </w:rPr>
            </w:pPr>
            <w:r w:rsidRPr="003609D3">
              <w:rPr>
                <w:color w:val="C00000"/>
              </w:rPr>
              <w:t>*Values of 0, 10, and 20 should be reported in SCC as &lt;30</w:t>
            </w:r>
          </w:p>
          <w:p w14:paraId="3AA8A982" w14:textId="77777777" w:rsidR="003609D3" w:rsidRDefault="003609D3" w:rsidP="00D75E46">
            <w:pPr>
              <w:rPr>
                <w:color w:val="C00000"/>
              </w:rPr>
            </w:pPr>
            <w:r>
              <w:rPr>
                <w:color w:val="C00000"/>
              </w:rPr>
              <w:t>*</w:t>
            </w:r>
            <w:r w:rsidRPr="003609D3">
              <w:rPr>
                <w:color w:val="C00000"/>
              </w:rPr>
              <w:t>*Values of 160 and greater should be reported in SCC as &gt;150</w:t>
            </w:r>
          </w:p>
          <w:p w14:paraId="7B0D73BF" w14:textId="32CE97F7" w:rsidR="003609D3" w:rsidRDefault="003609D3" w:rsidP="00D75E46"/>
        </w:tc>
      </w:tr>
      <w:tr w:rsidR="00D75E46" w:rsidRPr="00A21BA3" w14:paraId="10103BE8" w14:textId="77777777" w:rsidTr="007D7760">
        <w:tc>
          <w:tcPr>
            <w:tcW w:w="1469" w:type="dxa"/>
          </w:tcPr>
          <w:p w14:paraId="788CDA6C" w14:textId="1EE6D5D6" w:rsidR="00D75E46" w:rsidRDefault="00B83063" w:rsidP="007D7760">
            <w:pPr>
              <w:jc w:val="center"/>
              <w:rPr>
                <w:rFonts w:cs="Arial"/>
                <w:b/>
                <w:szCs w:val="22"/>
              </w:rPr>
            </w:pPr>
            <w:r>
              <w:rPr>
                <w:rFonts w:cs="Arial"/>
                <w:b/>
                <w:szCs w:val="22"/>
              </w:rPr>
              <w:t>3.0</w:t>
            </w:r>
          </w:p>
        </w:tc>
        <w:tc>
          <w:tcPr>
            <w:tcW w:w="7923" w:type="dxa"/>
          </w:tcPr>
          <w:p w14:paraId="34E15DE7" w14:textId="76BBB2CD" w:rsidR="00D75E46" w:rsidRDefault="003609D3" w:rsidP="00D75E46">
            <w:r>
              <w:t xml:space="preserve">Values of 100 or greater are considered Critical and will trigger an exception in SCC. </w:t>
            </w:r>
          </w:p>
          <w:p w14:paraId="714E4E02" w14:textId="77777777" w:rsidR="000A24B6" w:rsidRDefault="003609D3" w:rsidP="003609D3">
            <w:pPr>
              <w:pStyle w:val="ListParagraph"/>
              <w:numPr>
                <w:ilvl w:val="0"/>
                <w:numId w:val="25"/>
              </w:numPr>
            </w:pPr>
            <w:r>
              <w:t xml:space="preserve">These values should be called to the care team per Critical Value policy. </w:t>
            </w:r>
          </w:p>
          <w:p w14:paraId="19C76500" w14:textId="4B1149F0" w:rsidR="003609D3" w:rsidRDefault="003609D3" w:rsidP="000A24B6">
            <w:pPr>
              <w:pStyle w:val="ListParagraph"/>
              <w:numPr>
                <w:ilvl w:val="0"/>
                <w:numId w:val="0"/>
              </w:numPr>
              <w:ind w:left="720"/>
            </w:pPr>
            <w:r w:rsidRPr="003609D3">
              <w:rPr>
                <w:i/>
                <w:iCs/>
                <w:color w:val="248FA0" w:themeColor="accent6"/>
              </w:rPr>
              <w:t>Refer to BB-POL-0034 Critical Value Notification</w:t>
            </w:r>
          </w:p>
          <w:p w14:paraId="4EA44C4E" w14:textId="79FCE01E" w:rsidR="003609D3" w:rsidRDefault="003609D3" w:rsidP="00D75E46"/>
        </w:tc>
      </w:tr>
      <w:tr w:rsidR="00B83063" w:rsidRPr="00A21BA3" w14:paraId="7743FB1A" w14:textId="77777777" w:rsidTr="007D7760">
        <w:tc>
          <w:tcPr>
            <w:tcW w:w="1469" w:type="dxa"/>
          </w:tcPr>
          <w:p w14:paraId="79D774C1" w14:textId="72653B87" w:rsidR="00B83063" w:rsidRDefault="003609D3" w:rsidP="007D7760">
            <w:pPr>
              <w:jc w:val="center"/>
              <w:rPr>
                <w:rFonts w:cs="Arial"/>
                <w:b/>
                <w:szCs w:val="22"/>
              </w:rPr>
            </w:pPr>
            <w:r>
              <w:rPr>
                <w:rFonts w:cs="Arial"/>
                <w:b/>
                <w:szCs w:val="22"/>
              </w:rPr>
              <w:t>4.0</w:t>
            </w:r>
          </w:p>
        </w:tc>
        <w:tc>
          <w:tcPr>
            <w:tcW w:w="7923" w:type="dxa"/>
          </w:tcPr>
          <w:p w14:paraId="1D780F9C" w14:textId="5EF8A295" w:rsidR="00B83063" w:rsidRDefault="003609D3" w:rsidP="00D75E46">
            <w:r>
              <w:t>Complete SCC exception with Name, date, and time of person contacted.</w:t>
            </w:r>
          </w:p>
          <w:p w14:paraId="038219E1" w14:textId="5DB45244" w:rsidR="003609D3" w:rsidRDefault="003609D3" w:rsidP="003609D3">
            <w:pPr>
              <w:pStyle w:val="ListParagraph"/>
              <w:numPr>
                <w:ilvl w:val="0"/>
                <w:numId w:val="26"/>
              </w:numPr>
            </w:pPr>
            <w:r>
              <w:t>Use canned comment “</w:t>
            </w:r>
            <w:proofErr w:type="gramStart"/>
            <w:r>
              <w:t>CALL”</w:t>
            </w:r>
            <w:proofErr w:type="gramEnd"/>
          </w:p>
          <w:p w14:paraId="69C4DD3B" w14:textId="6C96AD0A" w:rsidR="003609D3" w:rsidRPr="003609D3" w:rsidRDefault="003609D3" w:rsidP="003609D3"/>
          <w:p w14:paraId="1B17196F" w14:textId="77777777" w:rsidR="003609D3" w:rsidRDefault="003609D3" w:rsidP="00D75E46">
            <w:r>
              <w:rPr>
                <w:noProof/>
              </w:rPr>
              <w:drawing>
                <wp:inline distT="0" distB="0" distL="0" distR="0" wp14:anchorId="658AD054" wp14:editId="2D28550B">
                  <wp:extent cx="4762500" cy="6871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56809" cy="729588"/>
                          </a:xfrm>
                          <a:prstGeom prst="rect">
                            <a:avLst/>
                          </a:prstGeom>
                        </pic:spPr>
                      </pic:pic>
                    </a:graphicData>
                  </a:graphic>
                </wp:inline>
              </w:drawing>
            </w:r>
          </w:p>
          <w:p w14:paraId="4A5F1CC1" w14:textId="77777777" w:rsidR="003609D3" w:rsidRDefault="003609D3" w:rsidP="00D75E46"/>
          <w:p w14:paraId="0BB525CF" w14:textId="77777777" w:rsidR="00310878" w:rsidRDefault="00310878" w:rsidP="00D75E46"/>
          <w:p w14:paraId="7F008DBC" w14:textId="77777777" w:rsidR="00310878" w:rsidRDefault="00310878" w:rsidP="00D75E46"/>
          <w:p w14:paraId="23C9C457" w14:textId="77777777" w:rsidR="00310878" w:rsidRDefault="00310878" w:rsidP="00D75E46"/>
          <w:p w14:paraId="57E122C0" w14:textId="77777777" w:rsidR="003609D3" w:rsidRDefault="003609D3" w:rsidP="003609D3">
            <w:pPr>
              <w:ind w:left="360" w:hanging="360"/>
            </w:pPr>
            <w:r>
              <w:rPr>
                <w:noProof/>
              </w:rPr>
              <w:lastRenderedPageBreak/>
              <w:drawing>
                <wp:inline distT="0" distB="0" distL="0" distR="0" wp14:anchorId="6E2EA8BC" wp14:editId="0F0C38D9">
                  <wp:extent cx="5943600" cy="2291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291080"/>
                          </a:xfrm>
                          <a:prstGeom prst="rect">
                            <a:avLst/>
                          </a:prstGeom>
                        </pic:spPr>
                      </pic:pic>
                    </a:graphicData>
                  </a:graphic>
                </wp:inline>
              </w:drawing>
            </w:r>
          </w:p>
          <w:p w14:paraId="3D96E68D" w14:textId="77777777" w:rsidR="003609D3" w:rsidRDefault="003609D3" w:rsidP="003609D3">
            <w:pPr>
              <w:ind w:left="360" w:hanging="360"/>
            </w:pPr>
          </w:p>
          <w:p w14:paraId="3EF109B6" w14:textId="49991A13" w:rsidR="003609D3" w:rsidRDefault="009D0881" w:rsidP="009D0881">
            <w:pPr>
              <w:pStyle w:val="ListParagraph"/>
              <w:numPr>
                <w:ilvl w:val="0"/>
                <w:numId w:val="26"/>
              </w:numPr>
            </w:pPr>
            <w:r>
              <w:t xml:space="preserve">Save exception and F-12 to save result. </w:t>
            </w:r>
          </w:p>
          <w:p w14:paraId="59A703A7" w14:textId="0558E90B" w:rsidR="009D0881" w:rsidRPr="009D0881" w:rsidRDefault="009D0881" w:rsidP="009D0881"/>
        </w:tc>
      </w:tr>
    </w:tbl>
    <w:p w14:paraId="5DA94E33" w14:textId="77777777" w:rsidR="00D75E46" w:rsidRPr="00D75E46" w:rsidRDefault="00D75E46" w:rsidP="00D75E46"/>
    <w:p w14:paraId="68CFCBE2" w14:textId="7429867D" w:rsidR="004D77B8" w:rsidRPr="004D77B8" w:rsidRDefault="004D77B8" w:rsidP="004D77B8">
      <w:pPr>
        <w:pStyle w:val="Heading1"/>
        <w:rPr>
          <w:color w:val="FF0000"/>
          <w:sz w:val="24"/>
          <w:szCs w:val="24"/>
        </w:rPr>
      </w:pPr>
      <w:r w:rsidRPr="00AD3070">
        <w:rPr>
          <w:sz w:val="24"/>
          <w:szCs w:val="24"/>
        </w:rPr>
        <w:t>Interfering Substances/Test Method Limitations</w:t>
      </w:r>
    </w:p>
    <w:p w14:paraId="06CD9836" w14:textId="3DE76870" w:rsidR="004D77B8" w:rsidRDefault="009D0881" w:rsidP="009D0881">
      <w:pPr>
        <w:pStyle w:val="ListParagraph"/>
        <w:numPr>
          <w:ilvl w:val="0"/>
          <w:numId w:val="27"/>
        </w:numPr>
        <w:rPr>
          <w:sz w:val="24"/>
        </w:rPr>
      </w:pPr>
      <w:r>
        <w:rPr>
          <w:sz w:val="24"/>
        </w:rPr>
        <w:t xml:space="preserve">Air bubbles in the optical eye of the microcuvette may cause false results. </w:t>
      </w:r>
    </w:p>
    <w:p w14:paraId="719E5578" w14:textId="11ECBC51" w:rsidR="009D0881" w:rsidRDefault="009D0881" w:rsidP="009D0881">
      <w:pPr>
        <w:pStyle w:val="ListParagraph"/>
        <w:numPr>
          <w:ilvl w:val="0"/>
          <w:numId w:val="27"/>
        </w:numPr>
      </w:pPr>
      <w:r>
        <w:t>Holding the microcuvette by the optical end can result in contamination of the optical eye.</w:t>
      </w:r>
    </w:p>
    <w:p w14:paraId="1936F81A" w14:textId="7F94F3C1" w:rsidR="009D0881" w:rsidRDefault="009D0881" w:rsidP="009D0881">
      <w:pPr>
        <w:pStyle w:val="ListParagraph"/>
        <w:numPr>
          <w:ilvl w:val="0"/>
          <w:numId w:val="27"/>
        </w:numPr>
      </w:pPr>
      <w:r>
        <w:t>Values &gt;3000 mg/dl should be analyzed using an alternate method.</w:t>
      </w:r>
    </w:p>
    <w:p w14:paraId="10582083" w14:textId="4E73D1A4" w:rsidR="009D0881" w:rsidRDefault="009D0881" w:rsidP="009D0881">
      <w:pPr>
        <w:pStyle w:val="ListParagraph"/>
        <w:numPr>
          <w:ilvl w:val="0"/>
          <w:numId w:val="27"/>
        </w:numPr>
      </w:pPr>
      <w:r>
        <w:t>Sulfmethemoglobin is not measured with this method.</w:t>
      </w:r>
    </w:p>
    <w:p w14:paraId="0247917F" w14:textId="26525E34" w:rsidR="009D0881" w:rsidRDefault="009D0881" w:rsidP="009D0881">
      <w:pPr>
        <w:pStyle w:val="ListParagraph"/>
        <w:numPr>
          <w:ilvl w:val="0"/>
          <w:numId w:val="27"/>
        </w:numPr>
      </w:pPr>
      <w:r>
        <w:t xml:space="preserve">The test should not be used on uremic patients as performance characteristics of this system have not been determined. </w:t>
      </w:r>
    </w:p>
    <w:p w14:paraId="40F4A74A" w14:textId="5398797D" w:rsidR="009D0881" w:rsidRDefault="009D0881" w:rsidP="009D0881">
      <w:pPr>
        <w:pStyle w:val="ListParagraph"/>
        <w:numPr>
          <w:ilvl w:val="0"/>
          <w:numId w:val="27"/>
        </w:numPr>
      </w:pPr>
      <w:r>
        <w:t>Samples that are visibly turbid should be filtered using a filter with a pore size of 0.2um.</w:t>
      </w:r>
    </w:p>
    <w:p w14:paraId="1B798B00" w14:textId="42012D8B" w:rsidR="009D0881" w:rsidRDefault="009D0881" w:rsidP="009D0881">
      <w:pPr>
        <w:pStyle w:val="ListParagraph"/>
        <w:numPr>
          <w:ilvl w:val="0"/>
          <w:numId w:val="27"/>
        </w:numPr>
      </w:pPr>
      <w:r>
        <w:t xml:space="preserve">Contamination of intact red cells will result in falsely elevated results. </w:t>
      </w:r>
    </w:p>
    <w:p w14:paraId="423CF73A" w14:textId="77777777" w:rsidR="009D0881" w:rsidRPr="009D0881" w:rsidRDefault="009D0881" w:rsidP="009D0881"/>
    <w:p w14:paraId="185513CE" w14:textId="3D599ED3" w:rsidR="00432126" w:rsidRPr="00CF2761" w:rsidRDefault="00432126" w:rsidP="00432126">
      <w:pPr>
        <w:pStyle w:val="Heading1"/>
        <w:rPr>
          <w:color w:val="FF0000"/>
          <w:sz w:val="24"/>
          <w:szCs w:val="24"/>
        </w:rPr>
      </w:pPr>
      <w:r w:rsidRPr="005642DC">
        <w:rPr>
          <w:sz w:val="24"/>
          <w:szCs w:val="24"/>
        </w:rPr>
        <w:t xml:space="preserve">Downtime </w:t>
      </w:r>
    </w:p>
    <w:p w14:paraId="12E5848E" w14:textId="322ED2CE" w:rsidR="002537B3" w:rsidRDefault="006A3A0E" w:rsidP="0056313C">
      <w:pPr>
        <w:rPr>
          <w:szCs w:val="22"/>
        </w:rPr>
      </w:pPr>
      <w:r w:rsidRPr="006A3A0E">
        <w:rPr>
          <w:szCs w:val="22"/>
        </w:rPr>
        <w:t>Samples are stable for three days if refrigerated between 2-8</w:t>
      </w:r>
      <w:r w:rsidRPr="006A3A0E">
        <w:rPr>
          <w:rFonts w:cs="Arial"/>
          <w:szCs w:val="22"/>
        </w:rPr>
        <w:t>°</w:t>
      </w:r>
      <w:r w:rsidRPr="006A3A0E">
        <w:rPr>
          <w:szCs w:val="22"/>
        </w:rPr>
        <w:t xml:space="preserve">C. Samples should be centrifuged at 2200rpm and plasma should be carefully separated from red cells prior to refrigeration. If the test system </w:t>
      </w:r>
      <w:proofErr w:type="gramStart"/>
      <w:r w:rsidRPr="006A3A0E">
        <w:rPr>
          <w:szCs w:val="22"/>
        </w:rPr>
        <w:t>become</w:t>
      </w:r>
      <w:proofErr w:type="gramEnd"/>
      <w:r w:rsidRPr="006A3A0E">
        <w:rPr>
          <w:szCs w:val="22"/>
        </w:rPr>
        <w:t xml:space="preserve"> inoperable for extended periods of time, notify management. This is a STAT test and sending the test out to LABCOR is not </w:t>
      </w:r>
      <w:r>
        <w:rPr>
          <w:szCs w:val="22"/>
        </w:rPr>
        <w:t>desirable</w:t>
      </w:r>
      <w:r w:rsidRPr="006A3A0E">
        <w:rPr>
          <w:szCs w:val="22"/>
        </w:rPr>
        <w:t xml:space="preserve">. </w:t>
      </w:r>
    </w:p>
    <w:p w14:paraId="4959ED9F" w14:textId="77777777" w:rsidR="006A3A0E" w:rsidRPr="006A3A0E" w:rsidRDefault="006A3A0E" w:rsidP="0056313C">
      <w:pPr>
        <w:rPr>
          <w:szCs w:val="22"/>
        </w:rPr>
      </w:pPr>
    </w:p>
    <w:p w14:paraId="2B2A967C" w14:textId="77777777" w:rsidR="00310878" w:rsidRDefault="00310878">
      <w:pPr>
        <w:rPr>
          <w:b/>
          <w:smallCaps/>
          <w:sz w:val="24"/>
          <w:szCs w:val="24"/>
        </w:rPr>
      </w:pPr>
      <w:r>
        <w:rPr>
          <w:sz w:val="24"/>
          <w:szCs w:val="24"/>
        </w:rPr>
        <w:br w:type="page"/>
      </w:r>
    </w:p>
    <w:p w14:paraId="0A1AF057" w14:textId="38DA5639" w:rsidR="00B048D9" w:rsidRPr="000B0C9D" w:rsidRDefault="00E67571" w:rsidP="00887AE0">
      <w:pPr>
        <w:pStyle w:val="Heading1"/>
        <w:rPr>
          <w:sz w:val="24"/>
          <w:szCs w:val="24"/>
        </w:rPr>
      </w:pPr>
      <w:r w:rsidRPr="005642DC">
        <w:rPr>
          <w:sz w:val="24"/>
          <w:szCs w:val="24"/>
        </w:rPr>
        <w:lastRenderedPageBreak/>
        <w:t xml:space="preserve">Literature </w:t>
      </w:r>
      <w:r w:rsidR="00B048D9" w:rsidRPr="005642DC">
        <w:rPr>
          <w:sz w:val="24"/>
          <w:szCs w:val="24"/>
        </w:rPr>
        <w:t>References</w:t>
      </w:r>
      <w:r w:rsidR="002537B3" w:rsidRPr="005642DC">
        <w:rPr>
          <w:sz w:val="24"/>
          <w:szCs w:val="24"/>
        </w:rPr>
        <w:t>:</w:t>
      </w:r>
      <w:r w:rsidR="00CF2761">
        <w:rPr>
          <w:sz w:val="24"/>
          <w:szCs w:val="24"/>
        </w:rPr>
        <w:t xml:space="preserve"> </w:t>
      </w:r>
    </w:p>
    <w:p w14:paraId="4682E849" w14:textId="75B72097" w:rsidR="00BF5F7B" w:rsidRPr="006A3A0E" w:rsidRDefault="006A3A0E" w:rsidP="00BF5F7B">
      <w:pPr>
        <w:rPr>
          <w:szCs w:val="22"/>
        </w:rPr>
      </w:pPr>
      <w:r w:rsidRPr="006A3A0E">
        <w:rPr>
          <w:szCs w:val="22"/>
        </w:rPr>
        <w:t>HemoCue Plasma/Low Photometer Operating Manual</w:t>
      </w:r>
    </w:p>
    <w:p w14:paraId="24548291" w14:textId="66661817" w:rsidR="006A3A0E" w:rsidRPr="006A3A0E" w:rsidRDefault="006A3A0E" w:rsidP="00BF5F7B">
      <w:pPr>
        <w:rPr>
          <w:szCs w:val="22"/>
        </w:rPr>
      </w:pPr>
      <w:r w:rsidRPr="006A3A0E">
        <w:rPr>
          <w:szCs w:val="22"/>
        </w:rPr>
        <w:t>HemoCue Plasma/Low Microcuvette package insert.</w:t>
      </w:r>
    </w:p>
    <w:p w14:paraId="21B7C7F6" w14:textId="0D6A32D3" w:rsidR="006A3A0E" w:rsidRPr="006A3A0E" w:rsidRDefault="006A3A0E" w:rsidP="00BF5F7B">
      <w:pPr>
        <w:rPr>
          <w:szCs w:val="22"/>
        </w:rPr>
      </w:pPr>
      <w:r w:rsidRPr="006A3A0E">
        <w:rPr>
          <w:szCs w:val="22"/>
        </w:rPr>
        <w:t xml:space="preserve">EuroTrol Plasma/Low Hb Controls package insert. </w:t>
      </w:r>
    </w:p>
    <w:p w14:paraId="3E2C86C5" w14:textId="52EE83D5" w:rsidR="006A3A0E" w:rsidRDefault="006A3A0E" w:rsidP="00BF5F7B">
      <w:pPr>
        <w:rPr>
          <w:szCs w:val="22"/>
        </w:rPr>
      </w:pPr>
      <w:proofErr w:type="spellStart"/>
      <w:r w:rsidRPr="006A3A0E">
        <w:rPr>
          <w:szCs w:val="22"/>
        </w:rPr>
        <w:t>Beturs</w:t>
      </w:r>
      <w:proofErr w:type="spellEnd"/>
      <w:r w:rsidRPr="006A3A0E">
        <w:rPr>
          <w:szCs w:val="22"/>
        </w:rPr>
        <w:t xml:space="preserve">, C., et al. (2007). Enhanced Hemolysis in Pediatric Patients Requiring Extracorporeal Membrane Oxygenation and Continuous Renal Replacement Therapy. </w:t>
      </w:r>
      <w:r w:rsidRPr="006A3A0E">
        <w:rPr>
          <w:i/>
          <w:iCs/>
          <w:szCs w:val="22"/>
        </w:rPr>
        <w:t xml:space="preserve">Ann </w:t>
      </w:r>
      <w:proofErr w:type="spellStart"/>
      <w:r w:rsidRPr="006A3A0E">
        <w:rPr>
          <w:i/>
          <w:iCs/>
          <w:szCs w:val="22"/>
        </w:rPr>
        <w:t>Thorac</w:t>
      </w:r>
      <w:proofErr w:type="spellEnd"/>
      <w:r w:rsidRPr="006A3A0E">
        <w:rPr>
          <w:i/>
          <w:iCs/>
          <w:szCs w:val="22"/>
        </w:rPr>
        <w:t xml:space="preserve"> Cardiovasc Surg</w:t>
      </w:r>
      <w:r w:rsidRPr="006A3A0E">
        <w:rPr>
          <w:szCs w:val="22"/>
        </w:rPr>
        <w:t xml:space="preserve">. 13(6). </w:t>
      </w:r>
    </w:p>
    <w:p w14:paraId="23445C25" w14:textId="77777777" w:rsidR="006A3A0E" w:rsidRPr="006A3A0E" w:rsidRDefault="006A3A0E" w:rsidP="00BF5F7B">
      <w:pPr>
        <w:rPr>
          <w:szCs w:val="22"/>
        </w:rPr>
      </w:pPr>
    </w:p>
    <w:p w14:paraId="27161894" w14:textId="406EF753" w:rsidR="00AB191A" w:rsidRPr="005642DC" w:rsidRDefault="00AB191A" w:rsidP="00AB191A">
      <w:pPr>
        <w:pStyle w:val="Heading1"/>
        <w:rPr>
          <w:sz w:val="24"/>
          <w:szCs w:val="24"/>
        </w:rPr>
      </w:pPr>
      <w:r w:rsidRPr="005642DC">
        <w:rPr>
          <w:sz w:val="24"/>
          <w:szCs w:val="24"/>
        </w:rPr>
        <w:t>Re</w:t>
      </w:r>
      <w:r w:rsidR="00E67571" w:rsidRPr="005642DC">
        <w:rPr>
          <w:sz w:val="24"/>
          <w:szCs w:val="24"/>
        </w:rPr>
        <w:t>lated procedures/policies in Navex</w:t>
      </w:r>
      <w:r w:rsidR="000B0C9D">
        <w:rPr>
          <w:sz w:val="24"/>
          <w:szCs w:val="24"/>
        </w:rPr>
        <w:t>/Policy Tech</w:t>
      </w:r>
      <w:r w:rsidR="002537B3" w:rsidRPr="005642DC">
        <w:rPr>
          <w:sz w:val="24"/>
          <w:szCs w:val="24"/>
        </w:rPr>
        <w:t>:</w:t>
      </w:r>
      <w:r w:rsidR="000A24B6">
        <w:rPr>
          <w:sz w:val="24"/>
          <w:szCs w:val="24"/>
        </w:rPr>
        <w:t xml:space="preserve"> NA</w:t>
      </w:r>
      <w:r w:rsidR="00CF2761" w:rsidRPr="00CF2761">
        <w:rPr>
          <w:color w:val="FF0000"/>
          <w:sz w:val="24"/>
          <w:szCs w:val="24"/>
        </w:rPr>
        <w:t xml:space="preserve"> </w:t>
      </w:r>
    </w:p>
    <w:p w14:paraId="15B9BA5D" w14:textId="77777777" w:rsidR="00BF5F7B" w:rsidRPr="005642DC" w:rsidRDefault="00BF5F7B" w:rsidP="00BF5F7B">
      <w:pPr>
        <w:rPr>
          <w:sz w:val="24"/>
          <w:szCs w:val="24"/>
        </w:rPr>
      </w:pPr>
    </w:p>
    <w:p w14:paraId="112F3809" w14:textId="7F4C061C" w:rsidR="00B048D9" w:rsidRDefault="00B048D9" w:rsidP="00887AE0">
      <w:pPr>
        <w:pStyle w:val="Heading1"/>
        <w:rPr>
          <w:sz w:val="24"/>
          <w:szCs w:val="24"/>
        </w:rPr>
      </w:pPr>
      <w:r w:rsidRPr="005642DC">
        <w:rPr>
          <w:sz w:val="24"/>
          <w:szCs w:val="24"/>
        </w:rPr>
        <w:t>Attachments</w:t>
      </w:r>
      <w:r w:rsidR="00E67571" w:rsidRPr="005642DC">
        <w:rPr>
          <w:sz w:val="24"/>
          <w:szCs w:val="24"/>
        </w:rPr>
        <w:t>/Linked documents in title 21</w:t>
      </w:r>
      <w:r w:rsidR="002537B3" w:rsidRPr="005642DC">
        <w:rPr>
          <w:sz w:val="24"/>
          <w:szCs w:val="24"/>
        </w:rPr>
        <w:t>:</w:t>
      </w:r>
      <w:r w:rsidR="000B0C9D">
        <w:rPr>
          <w:sz w:val="24"/>
          <w:szCs w:val="24"/>
        </w:rPr>
        <w:t xml:space="preserve"> </w:t>
      </w:r>
    </w:p>
    <w:p w14:paraId="22934A0C" w14:textId="3051BECB" w:rsidR="000A24B6" w:rsidRDefault="000A24B6" w:rsidP="000A24B6">
      <w:r>
        <w:t xml:space="preserve">BB-POL-0034: Critical Value Notification </w:t>
      </w:r>
    </w:p>
    <w:p w14:paraId="1293646B" w14:textId="5DA5B33F" w:rsidR="00310878" w:rsidRPr="000A24B6" w:rsidRDefault="00310878" w:rsidP="000A24B6">
      <w:r>
        <w:t>BB-FORMS-0261: HemoCue Log</w:t>
      </w:r>
    </w:p>
    <w:p w14:paraId="5B85783A" w14:textId="77777777" w:rsidR="00BF5F7B" w:rsidRPr="005642DC" w:rsidRDefault="00BF5F7B" w:rsidP="00BF5F7B">
      <w:pPr>
        <w:rPr>
          <w:sz w:val="24"/>
          <w:szCs w:val="24"/>
        </w:rPr>
      </w:pPr>
    </w:p>
    <w:p w14:paraId="1E7F2393" w14:textId="319D0CF7" w:rsidR="00BF5F7B" w:rsidRPr="00BF5F7B" w:rsidRDefault="00A7748A" w:rsidP="00F90051">
      <w:pPr>
        <w:pStyle w:val="Heading1"/>
      </w:pPr>
      <w:r w:rsidRPr="005642DC">
        <w:rPr>
          <w:sz w:val="24"/>
          <w:szCs w:val="24"/>
        </w:rPr>
        <w:t>Revision Dates</w:t>
      </w:r>
      <w:r w:rsidR="001F0047" w:rsidRPr="005642DC">
        <w:rPr>
          <w:sz w:val="24"/>
          <w:szCs w:val="24"/>
        </w:rPr>
        <w:t>: Review Change Summary as represented in Title 21.</w:t>
      </w:r>
    </w:p>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2998B" w14:textId="77777777" w:rsidR="00834C13" w:rsidRDefault="00834C13" w:rsidP="009A3908">
      <w:r>
        <w:separator/>
      </w:r>
    </w:p>
  </w:endnote>
  <w:endnote w:type="continuationSeparator" w:id="0">
    <w:p w14:paraId="41CBF630" w14:textId="77777777" w:rsidR="00834C13" w:rsidRDefault="00834C13"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ITC Franklin Gothic Std Boo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25BE7" w14:textId="77777777"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203C9598" w14:textId="77777777"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AD3070">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AD3070">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D6D5C" w14:textId="77777777" w:rsidR="00974CB9" w:rsidRDefault="00974CB9" w:rsidP="00A153FF">
    <w:pPr>
      <w:jc w:val="center"/>
      <w:rPr>
        <w:rFonts w:asciiTheme="minorHAnsi" w:hAnsiTheme="minorHAnsi" w:cstheme="minorHAnsi"/>
        <w:bCs/>
        <w:szCs w:val="22"/>
      </w:rPr>
    </w:pPr>
  </w:p>
  <w:p w14:paraId="252925A2" w14:textId="77777777"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36958F12" w14:textId="77777777"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AD3070">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AD3070">
              <w:rPr>
                <w:rFonts w:ascii="Franklin Gothic Book" w:hAnsi="Franklin Gothic Book" w:cs="Calibri"/>
                <w:i/>
                <w:iCs/>
                <w:noProof/>
                <w:sz w:val="18"/>
                <w:szCs w:val="18"/>
              </w:rPr>
              <w:t>2</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47182" w14:textId="77777777" w:rsidR="00834C13" w:rsidRDefault="00834C13" w:rsidP="009A3908">
      <w:r>
        <w:separator/>
      </w:r>
    </w:p>
  </w:footnote>
  <w:footnote w:type="continuationSeparator" w:id="0">
    <w:p w14:paraId="38640215" w14:textId="77777777" w:rsidR="00834C13" w:rsidRDefault="00834C13"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5E59" w14:textId="31815505"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7B8B" w14:textId="2D33461A" w:rsidR="00A153FF" w:rsidRPr="002406B9" w:rsidRDefault="00EC340C" w:rsidP="00A153FF">
    <w:pPr>
      <w:shd w:val="clear" w:color="auto" w:fill="A6A6A6" w:themeFill="background1" w:themeFillShade="A6"/>
      <w:spacing w:line="360" w:lineRule="auto"/>
      <w:ind w:right="90"/>
      <w:jc w:val="center"/>
      <w:rPr>
        <w:rFonts w:ascii="Franklin Gothic Demi" w:hAnsi="Franklin Gothic Demi"/>
        <w:b/>
        <w:szCs w:val="32"/>
      </w:rPr>
    </w:pPr>
    <w:r>
      <w:t>HemoCue Plasm/Low Hb for ECMO</w:t>
    </w:r>
  </w:p>
  <w:p w14:paraId="778F7589" w14:textId="77777777"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10"/>
      <w:gridCol w:w="3094"/>
    </w:tblGrid>
    <w:tr w:rsidR="00A153FF" w:rsidRPr="00F85C8D" w14:paraId="7B87294B" w14:textId="77777777" w:rsidTr="00A2219E">
      <w:tc>
        <w:tcPr>
          <w:tcW w:w="3145" w:type="dxa"/>
          <w:tcBorders>
            <w:left w:val="single" w:sz="4" w:space="0" w:color="auto"/>
            <w:bottom w:val="single" w:sz="4" w:space="0" w:color="auto"/>
          </w:tcBorders>
          <w:shd w:val="clear" w:color="auto" w:fill="auto"/>
        </w:tcPr>
        <w:p w14:paraId="559CF44A" w14:textId="77777777" w:rsidR="00A153FF" w:rsidRPr="00F85C8D" w:rsidRDefault="00740D8B" w:rsidP="00A153FF">
          <w:pPr>
            <w:rPr>
              <w:rFonts w:ascii="Franklin Gothic Book" w:hAnsi="Franklin Gothic Book"/>
              <w:b/>
              <w:szCs w:val="22"/>
            </w:rPr>
          </w:pPr>
          <w:r>
            <w:rPr>
              <w:noProof/>
            </w:rPr>
            <w:drawing>
              <wp:inline distT="0" distB="0" distL="0" distR="0" wp14:anchorId="2E5F64F6" wp14:editId="1CB1054A">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14:paraId="0154ADE7" w14:textId="77777777" w:rsidR="00335902" w:rsidRPr="00335902" w:rsidRDefault="00605CB6" w:rsidP="001F0047">
          <w:pPr>
            <w:rPr>
              <w:rFonts w:ascii="Franklin Gothic Demi" w:hAnsi="Franklin Gothic Demi"/>
              <w:smallCaps/>
              <w:szCs w:val="22"/>
            </w:rPr>
          </w:pPr>
          <w:r>
            <w:rPr>
              <w:rFonts w:ascii="Franklin Gothic Demi" w:hAnsi="Franklin Gothic Demi"/>
              <w:smallCaps/>
              <w:szCs w:val="22"/>
            </w:rPr>
            <w:t>Document Type:</w:t>
          </w:r>
        </w:p>
        <w:p w14:paraId="28A0236D" w14:textId="77777777" w:rsidR="001F0047" w:rsidRDefault="00335902" w:rsidP="001F0047">
          <w:pPr>
            <w:rPr>
              <w:rFonts w:cs="Arial"/>
            </w:rPr>
          </w:pPr>
          <w:r>
            <w:rPr>
              <w:rFonts w:cs="Arial"/>
            </w:rPr>
            <w:t>Procedure</w:t>
          </w:r>
        </w:p>
        <w:p w14:paraId="227BE265" w14:textId="77777777"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14:paraId="05A8FAD9" w14:textId="77777777"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p>
        <w:p w14:paraId="3EAC10DD" w14:textId="371F6777" w:rsidR="00A153FF" w:rsidRPr="00A2219E" w:rsidRDefault="00A153F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6A0FCF0E" w14:textId="256F337D" w:rsidR="00A153FF" w:rsidRPr="00EF4D17" w:rsidRDefault="00EC340C" w:rsidP="00A153FF">
          <w:pPr>
            <w:rPr>
              <w:rFonts w:ascii="Franklin Gothic Book" w:hAnsi="Franklin Gothic Book"/>
              <w:b/>
              <w:sz w:val="28"/>
              <w:szCs w:val="28"/>
            </w:rPr>
          </w:pPr>
          <w:r>
            <w:rPr>
              <w:rFonts w:ascii="Franklin Gothic Book" w:hAnsi="Franklin Gothic Book"/>
              <w:b/>
              <w:sz w:val="28"/>
              <w:szCs w:val="28"/>
            </w:rPr>
            <w:t>TBD</w:t>
          </w:r>
        </w:p>
      </w:tc>
    </w:tr>
    <w:tr w:rsidR="00A153FF" w:rsidRPr="00F85C8D" w14:paraId="4BD7BB88" w14:textId="77777777" w:rsidTr="00A2219E">
      <w:trPr>
        <w:trHeight w:val="1090"/>
      </w:trPr>
      <w:tc>
        <w:tcPr>
          <w:tcW w:w="3145" w:type="dxa"/>
          <w:tcBorders>
            <w:left w:val="single" w:sz="4" w:space="0" w:color="auto"/>
            <w:bottom w:val="single" w:sz="4" w:space="0" w:color="000000"/>
          </w:tcBorders>
          <w:shd w:val="clear" w:color="auto" w:fill="auto"/>
        </w:tcPr>
        <w:p w14:paraId="0B4820F4" w14:textId="77777777" w:rsidR="001F0047" w:rsidRDefault="001F0047" w:rsidP="001F0047">
          <w:pPr>
            <w:rPr>
              <w:rFonts w:ascii="Franklin Gothic Book" w:hAnsi="Franklin Gothic Book"/>
              <w:b/>
              <w:szCs w:val="22"/>
            </w:rPr>
          </w:pPr>
          <w:r>
            <w:rPr>
              <w:rFonts w:ascii="Franklin Gothic Book" w:hAnsi="Franklin Gothic Book"/>
              <w:b/>
              <w:szCs w:val="22"/>
            </w:rPr>
            <w:t>CLIA Lab Director:</w:t>
          </w:r>
        </w:p>
        <w:p w14:paraId="2EAC600C" w14:textId="77777777" w:rsidR="00A153FF" w:rsidRDefault="00A153FF" w:rsidP="001F0047">
          <w:pPr>
            <w:rPr>
              <w:rFonts w:ascii="Franklin Gothic Book" w:hAnsi="Franklin Gothic Book"/>
              <w:b/>
              <w:szCs w:val="22"/>
            </w:rPr>
          </w:pPr>
        </w:p>
        <w:p w14:paraId="1FCFD76A" w14:textId="77777777" w:rsidR="00EC340C" w:rsidRDefault="00EC340C" w:rsidP="001F0047">
          <w:pPr>
            <w:rPr>
              <w:rFonts w:ascii="Franklin Gothic Book" w:hAnsi="Franklin Gothic Book"/>
              <w:b/>
              <w:szCs w:val="22"/>
            </w:rPr>
          </w:pPr>
        </w:p>
        <w:p w14:paraId="6924EA1C" w14:textId="0ECB3C7F" w:rsidR="00EC340C" w:rsidRPr="00F85C8D" w:rsidRDefault="00EC340C" w:rsidP="00EC340C">
          <w:r>
            <w:t>Gregory Pomper, MD</w:t>
          </w:r>
        </w:p>
      </w:tc>
      <w:tc>
        <w:tcPr>
          <w:tcW w:w="3060" w:type="dxa"/>
          <w:tcBorders>
            <w:bottom w:val="single" w:sz="4" w:space="0" w:color="000000"/>
          </w:tcBorders>
          <w:shd w:val="clear" w:color="auto" w:fill="auto"/>
        </w:tcPr>
        <w:p w14:paraId="48361A39" w14:textId="77777777"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175CCE72" w14:textId="77777777" w:rsidR="001F0047" w:rsidRDefault="001F0047" w:rsidP="001F0047">
          <w:pPr>
            <w:rPr>
              <w:rFonts w:ascii="Franklin Gothic Demi" w:hAnsi="Franklin Gothic Demi"/>
              <w:smallCaps/>
              <w:szCs w:val="22"/>
            </w:rPr>
          </w:pPr>
        </w:p>
        <w:p w14:paraId="6E1788D6" w14:textId="77777777" w:rsidR="00EC340C" w:rsidRDefault="00EC340C" w:rsidP="001F0047">
          <w:pPr>
            <w:rPr>
              <w:rFonts w:ascii="Franklin Gothic Demi" w:hAnsi="Franklin Gothic Demi"/>
              <w:smallCaps/>
              <w:szCs w:val="22"/>
            </w:rPr>
          </w:pPr>
        </w:p>
        <w:p w14:paraId="5E98E5AE" w14:textId="773EDD1E" w:rsidR="00EC340C" w:rsidRPr="001F0047" w:rsidRDefault="00EC340C" w:rsidP="00EC340C">
          <w:r>
            <w:t>Blood Bank</w:t>
          </w:r>
        </w:p>
      </w:tc>
      <w:tc>
        <w:tcPr>
          <w:tcW w:w="3145" w:type="dxa"/>
          <w:tcBorders>
            <w:bottom w:val="single" w:sz="4" w:space="0" w:color="000000"/>
          </w:tcBorders>
          <w:shd w:val="clear" w:color="auto" w:fill="auto"/>
        </w:tcPr>
        <w:p w14:paraId="2AB03069" w14:textId="77777777"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14:paraId="72E1E09C" w14:textId="77777777" w:rsidR="00EC340C" w:rsidRDefault="00EC340C" w:rsidP="001F0047">
          <w:pPr>
            <w:rPr>
              <w:rFonts w:ascii="Franklin Gothic Book" w:hAnsi="Franklin Gothic Book" w:cs="Calibri"/>
              <w:szCs w:val="22"/>
            </w:rPr>
          </w:pPr>
        </w:p>
        <w:p w14:paraId="443DEAB6" w14:textId="5246BD32" w:rsidR="001F0047" w:rsidRPr="00A2219E" w:rsidRDefault="001F0047"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14:paraId="1662154C" w14:textId="4B6967EA" w:rsidR="00636B43" w:rsidRPr="00636B43" w:rsidRDefault="00EC340C" w:rsidP="00A153FF">
          <w:pPr>
            <w:rPr>
              <w:rFonts w:ascii="Franklin Gothic Book" w:hAnsi="Franklin Gothic Book"/>
              <w:szCs w:val="22"/>
            </w:rPr>
          </w:pPr>
          <w:r>
            <w:rPr>
              <w:rFonts w:ascii="Franklin Gothic Book" w:hAnsi="Franklin Gothic Book"/>
              <w:szCs w:val="22"/>
            </w:rPr>
            <w:t>Blood Bank Management</w:t>
          </w:r>
        </w:p>
      </w:tc>
    </w:tr>
  </w:tbl>
  <w:p w14:paraId="2E422FB7" w14:textId="77777777"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1F4"/>
    <w:multiLevelType w:val="hybridMultilevel"/>
    <w:tmpl w:val="9B3CB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E0C6C"/>
    <w:multiLevelType w:val="hybridMultilevel"/>
    <w:tmpl w:val="BE0694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8F6102"/>
    <w:multiLevelType w:val="hybridMultilevel"/>
    <w:tmpl w:val="8D0A50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E56"/>
    <w:multiLevelType w:val="hybridMultilevel"/>
    <w:tmpl w:val="01BAB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ED5266"/>
    <w:multiLevelType w:val="hybridMultilevel"/>
    <w:tmpl w:val="966E98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C33E4"/>
    <w:multiLevelType w:val="hybridMultilevel"/>
    <w:tmpl w:val="63E6D5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F0EED"/>
    <w:multiLevelType w:val="hybridMultilevel"/>
    <w:tmpl w:val="F078E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412026"/>
    <w:multiLevelType w:val="hybridMultilevel"/>
    <w:tmpl w:val="431A91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EA6A8B"/>
    <w:multiLevelType w:val="hybridMultilevel"/>
    <w:tmpl w:val="F766B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B6275F"/>
    <w:multiLevelType w:val="hybridMultilevel"/>
    <w:tmpl w:val="C2CA78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F002C64"/>
    <w:multiLevelType w:val="hybridMultilevel"/>
    <w:tmpl w:val="CD887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A577C2"/>
    <w:multiLevelType w:val="hybridMultilevel"/>
    <w:tmpl w:val="F766BE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abstractNum w:abstractNumId="20" w15:restartNumberingAfterBreak="0">
    <w:nsid w:val="7DB13193"/>
    <w:multiLevelType w:val="hybridMultilevel"/>
    <w:tmpl w:val="E2A8FE4E"/>
    <w:lvl w:ilvl="0" w:tplc="A240FC3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8075637">
    <w:abstractNumId w:val="9"/>
  </w:num>
  <w:num w:numId="2" w16cid:durableId="1504976945">
    <w:abstractNumId w:val="10"/>
  </w:num>
  <w:num w:numId="3" w16cid:durableId="398287261">
    <w:abstractNumId w:val="15"/>
  </w:num>
  <w:num w:numId="4" w16cid:durableId="1489784034">
    <w:abstractNumId w:val="19"/>
  </w:num>
  <w:num w:numId="5" w16cid:durableId="10527712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37007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4828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3314798">
    <w:abstractNumId w:val="3"/>
  </w:num>
  <w:num w:numId="9" w16cid:durableId="131752029">
    <w:abstractNumId w:val="2"/>
  </w:num>
  <w:num w:numId="10" w16cid:durableId="1027874721">
    <w:abstractNumId w:val="14"/>
  </w:num>
  <w:num w:numId="11" w16cid:durableId="531186560">
    <w:abstractNumId w:val="16"/>
  </w:num>
  <w:num w:numId="12" w16cid:durableId="2016612867">
    <w:abstractNumId w:val="16"/>
  </w:num>
  <w:num w:numId="13" w16cid:durableId="1285192722">
    <w:abstractNumId w:val="16"/>
  </w:num>
  <w:num w:numId="14" w16cid:durableId="319697092">
    <w:abstractNumId w:val="16"/>
    <w:lvlOverride w:ilvl="0">
      <w:startOverride w:val="1"/>
    </w:lvlOverride>
  </w:num>
  <w:num w:numId="15" w16cid:durableId="2123260136">
    <w:abstractNumId w:val="20"/>
  </w:num>
  <w:num w:numId="16" w16cid:durableId="406807033">
    <w:abstractNumId w:val="1"/>
  </w:num>
  <w:num w:numId="17" w16cid:durableId="592667647">
    <w:abstractNumId w:val="8"/>
  </w:num>
  <w:num w:numId="18" w16cid:durableId="1151022559">
    <w:abstractNumId w:val="13"/>
  </w:num>
  <w:num w:numId="19" w16cid:durableId="633751280">
    <w:abstractNumId w:val="11"/>
  </w:num>
  <w:num w:numId="20" w16cid:durableId="2125726287">
    <w:abstractNumId w:val="4"/>
  </w:num>
  <w:num w:numId="21" w16cid:durableId="1514104847">
    <w:abstractNumId w:val="17"/>
  </w:num>
  <w:num w:numId="22" w16cid:durableId="2098135162">
    <w:abstractNumId w:val="12"/>
  </w:num>
  <w:num w:numId="23" w16cid:durableId="348798794">
    <w:abstractNumId w:val="18"/>
  </w:num>
  <w:num w:numId="24" w16cid:durableId="1677608922">
    <w:abstractNumId w:val="6"/>
  </w:num>
  <w:num w:numId="25" w16cid:durableId="911425983">
    <w:abstractNumId w:val="5"/>
  </w:num>
  <w:num w:numId="26" w16cid:durableId="841359069">
    <w:abstractNumId w:val="7"/>
  </w:num>
  <w:num w:numId="27" w16cid:durableId="91763752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17AA7"/>
    <w:rsid w:val="00022E65"/>
    <w:rsid w:val="00026C49"/>
    <w:rsid w:val="00027C32"/>
    <w:rsid w:val="000347EB"/>
    <w:rsid w:val="0003641D"/>
    <w:rsid w:val="00036EC2"/>
    <w:rsid w:val="000553EF"/>
    <w:rsid w:val="000676BB"/>
    <w:rsid w:val="00072C00"/>
    <w:rsid w:val="0008348F"/>
    <w:rsid w:val="00092447"/>
    <w:rsid w:val="00097591"/>
    <w:rsid w:val="000A1EA4"/>
    <w:rsid w:val="000A24B6"/>
    <w:rsid w:val="000A43F4"/>
    <w:rsid w:val="000A51C0"/>
    <w:rsid w:val="000A728C"/>
    <w:rsid w:val="000B033C"/>
    <w:rsid w:val="000B04ED"/>
    <w:rsid w:val="000B0C9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0FC7"/>
    <w:rsid w:val="00133E25"/>
    <w:rsid w:val="00147218"/>
    <w:rsid w:val="00174F3C"/>
    <w:rsid w:val="001827EB"/>
    <w:rsid w:val="00185320"/>
    <w:rsid w:val="0019262D"/>
    <w:rsid w:val="00196438"/>
    <w:rsid w:val="001A44EF"/>
    <w:rsid w:val="001B59EB"/>
    <w:rsid w:val="001C0D78"/>
    <w:rsid w:val="001C63A8"/>
    <w:rsid w:val="001D3181"/>
    <w:rsid w:val="001E09B7"/>
    <w:rsid w:val="001E2497"/>
    <w:rsid w:val="001E6D1E"/>
    <w:rsid w:val="001E73A6"/>
    <w:rsid w:val="001F0047"/>
    <w:rsid w:val="00200A78"/>
    <w:rsid w:val="002032E0"/>
    <w:rsid w:val="00206E98"/>
    <w:rsid w:val="00227F02"/>
    <w:rsid w:val="002303BA"/>
    <w:rsid w:val="002347C1"/>
    <w:rsid w:val="002406B9"/>
    <w:rsid w:val="002413E5"/>
    <w:rsid w:val="002425FA"/>
    <w:rsid w:val="002451BA"/>
    <w:rsid w:val="00251171"/>
    <w:rsid w:val="00253095"/>
    <w:rsid w:val="002537B3"/>
    <w:rsid w:val="002544FF"/>
    <w:rsid w:val="002554A6"/>
    <w:rsid w:val="00256BD9"/>
    <w:rsid w:val="0026202E"/>
    <w:rsid w:val="002629AC"/>
    <w:rsid w:val="002715E3"/>
    <w:rsid w:val="00284428"/>
    <w:rsid w:val="002973A2"/>
    <w:rsid w:val="002B7EAC"/>
    <w:rsid w:val="002C057A"/>
    <w:rsid w:val="002D165C"/>
    <w:rsid w:val="002D3011"/>
    <w:rsid w:val="002E06AD"/>
    <w:rsid w:val="002E2BA6"/>
    <w:rsid w:val="002E7E39"/>
    <w:rsid w:val="002F64B9"/>
    <w:rsid w:val="00301570"/>
    <w:rsid w:val="003041C6"/>
    <w:rsid w:val="00310878"/>
    <w:rsid w:val="003223C2"/>
    <w:rsid w:val="00327C4D"/>
    <w:rsid w:val="00335902"/>
    <w:rsid w:val="00341E64"/>
    <w:rsid w:val="003432C0"/>
    <w:rsid w:val="003509F9"/>
    <w:rsid w:val="00353C0F"/>
    <w:rsid w:val="003551FD"/>
    <w:rsid w:val="003609D3"/>
    <w:rsid w:val="00366A9A"/>
    <w:rsid w:val="0038097D"/>
    <w:rsid w:val="00380DF7"/>
    <w:rsid w:val="003821CE"/>
    <w:rsid w:val="00383A8F"/>
    <w:rsid w:val="00391558"/>
    <w:rsid w:val="00393BBD"/>
    <w:rsid w:val="003A497A"/>
    <w:rsid w:val="003A63DA"/>
    <w:rsid w:val="003A666B"/>
    <w:rsid w:val="003A7127"/>
    <w:rsid w:val="003B0CBF"/>
    <w:rsid w:val="003B12C4"/>
    <w:rsid w:val="003B660A"/>
    <w:rsid w:val="003B6F7E"/>
    <w:rsid w:val="003C0736"/>
    <w:rsid w:val="003C092E"/>
    <w:rsid w:val="003C4DEB"/>
    <w:rsid w:val="003C7519"/>
    <w:rsid w:val="003D7FD1"/>
    <w:rsid w:val="003F0C2D"/>
    <w:rsid w:val="003F23D8"/>
    <w:rsid w:val="003F3A39"/>
    <w:rsid w:val="004008F3"/>
    <w:rsid w:val="004071A1"/>
    <w:rsid w:val="00411B16"/>
    <w:rsid w:val="00413A0C"/>
    <w:rsid w:val="0041764C"/>
    <w:rsid w:val="004235C5"/>
    <w:rsid w:val="00432126"/>
    <w:rsid w:val="0044388D"/>
    <w:rsid w:val="004511F3"/>
    <w:rsid w:val="00451770"/>
    <w:rsid w:val="00455869"/>
    <w:rsid w:val="00461364"/>
    <w:rsid w:val="004619BF"/>
    <w:rsid w:val="00463AAA"/>
    <w:rsid w:val="0046616B"/>
    <w:rsid w:val="00467D62"/>
    <w:rsid w:val="00474EBA"/>
    <w:rsid w:val="00491E5A"/>
    <w:rsid w:val="004A683B"/>
    <w:rsid w:val="004C5749"/>
    <w:rsid w:val="004D3F73"/>
    <w:rsid w:val="004D58AA"/>
    <w:rsid w:val="004D77B8"/>
    <w:rsid w:val="004E766F"/>
    <w:rsid w:val="004F3FAB"/>
    <w:rsid w:val="0052064A"/>
    <w:rsid w:val="0052326B"/>
    <w:rsid w:val="00523474"/>
    <w:rsid w:val="005235EA"/>
    <w:rsid w:val="00524D92"/>
    <w:rsid w:val="00526E21"/>
    <w:rsid w:val="005448BC"/>
    <w:rsid w:val="00551715"/>
    <w:rsid w:val="00561CB9"/>
    <w:rsid w:val="0056313C"/>
    <w:rsid w:val="005642DC"/>
    <w:rsid w:val="005870D2"/>
    <w:rsid w:val="00590E5F"/>
    <w:rsid w:val="00593284"/>
    <w:rsid w:val="005A4E3F"/>
    <w:rsid w:val="005C144C"/>
    <w:rsid w:val="005C581A"/>
    <w:rsid w:val="005C690D"/>
    <w:rsid w:val="005D0115"/>
    <w:rsid w:val="005D6FB4"/>
    <w:rsid w:val="005E5CF7"/>
    <w:rsid w:val="005E74A0"/>
    <w:rsid w:val="005E7993"/>
    <w:rsid w:val="005E7DAC"/>
    <w:rsid w:val="005F2765"/>
    <w:rsid w:val="005F56F3"/>
    <w:rsid w:val="005F7AD0"/>
    <w:rsid w:val="00605CB6"/>
    <w:rsid w:val="00606A36"/>
    <w:rsid w:val="00620295"/>
    <w:rsid w:val="006260DA"/>
    <w:rsid w:val="006302E7"/>
    <w:rsid w:val="00636B43"/>
    <w:rsid w:val="00642467"/>
    <w:rsid w:val="0064468E"/>
    <w:rsid w:val="0064675C"/>
    <w:rsid w:val="00650915"/>
    <w:rsid w:val="006568DA"/>
    <w:rsid w:val="00657AE6"/>
    <w:rsid w:val="00661B1A"/>
    <w:rsid w:val="006736C5"/>
    <w:rsid w:val="00674718"/>
    <w:rsid w:val="006824C0"/>
    <w:rsid w:val="00683267"/>
    <w:rsid w:val="00683CAE"/>
    <w:rsid w:val="00691DA1"/>
    <w:rsid w:val="0069572C"/>
    <w:rsid w:val="006A1EF8"/>
    <w:rsid w:val="006A3A0E"/>
    <w:rsid w:val="006A7525"/>
    <w:rsid w:val="006B1B95"/>
    <w:rsid w:val="006B3944"/>
    <w:rsid w:val="006B4152"/>
    <w:rsid w:val="006B7B84"/>
    <w:rsid w:val="006C2C85"/>
    <w:rsid w:val="006C37E2"/>
    <w:rsid w:val="006E03C4"/>
    <w:rsid w:val="006E2203"/>
    <w:rsid w:val="006F20FA"/>
    <w:rsid w:val="006F342C"/>
    <w:rsid w:val="0071378D"/>
    <w:rsid w:val="007151C7"/>
    <w:rsid w:val="007156DD"/>
    <w:rsid w:val="00716A19"/>
    <w:rsid w:val="00720CD8"/>
    <w:rsid w:val="007220A8"/>
    <w:rsid w:val="007238BB"/>
    <w:rsid w:val="00740D8B"/>
    <w:rsid w:val="00771B60"/>
    <w:rsid w:val="00772448"/>
    <w:rsid w:val="00785422"/>
    <w:rsid w:val="007A57A4"/>
    <w:rsid w:val="007A767B"/>
    <w:rsid w:val="007B2DD3"/>
    <w:rsid w:val="007B3C9E"/>
    <w:rsid w:val="007B7E37"/>
    <w:rsid w:val="007C60EA"/>
    <w:rsid w:val="007D4C0D"/>
    <w:rsid w:val="007F13C5"/>
    <w:rsid w:val="007F6B7A"/>
    <w:rsid w:val="00813717"/>
    <w:rsid w:val="00816E35"/>
    <w:rsid w:val="00820F2D"/>
    <w:rsid w:val="00822A08"/>
    <w:rsid w:val="00824D03"/>
    <w:rsid w:val="00834C13"/>
    <w:rsid w:val="00862AEF"/>
    <w:rsid w:val="00866359"/>
    <w:rsid w:val="00870B1C"/>
    <w:rsid w:val="00870E14"/>
    <w:rsid w:val="00872044"/>
    <w:rsid w:val="0088105A"/>
    <w:rsid w:val="00882E96"/>
    <w:rsid w:val="008852EE"/>
    <w:rsid w:val="00887AE0"/>
    <w:rsid w:val="00890053"/>
    <w:rsid w:val="00893C16"/>
    <w:rsid w:val="008A29BB"/>
    <w:rsid w:val="008A36A1"/>
    <w:rsid w:val="008A7FE8"/>
    <w:rsid w:val="008B11BD"/>
    <w:rsid w:val="008B61CC"/>
    <w:rsid w:val="008C413A"/>
    <w:rsid w:val="008E16B1"/>
    <w:rsid w:val="008E261F"/>
    <w:rsid w:val="008E4FB8"/>
    <w:rsid w:val="008F3AB7"/>
    <w:rsid w:val="00902501"/>
    <w:rsid w:val="00904FFE"/>
    <w:rsid w:val="00920578"/>
    <w:rsid w:val="00922B55"/>
    <w:rsid w:val="00924DF4"/>
    <w:rsid w:val="00926971"/>
    <w:rsid w:val="009447EA"/>
    <w:rsid w:val="0094557E"/>
    <w:rsid w:val="00952900"/>
    <w:rsid w:val="00952ADC"/>
    <w:rsid w:val="009623C8"/>
    <w:rsid w:val="00962F89"/>
    <w:rsid w:val="00973BAD"/>
    <w:rsid w:val="00974CB9"/>
    <w:rsid w:val="00982D37"/>
    <w:rsid w:val="009A1A59"/>
    <w:rsid w:val="009A3908"/>
    <w:rsid w:val="009B6A9E"/>
    <w:rsid w:val="009B70B1"/>
    <w:rsid w:val="009B7C7D"/>
    <w:rsid w:val="009C2A11"/>
    <w:rsid w:val="009C7A62"/>
    <w:rsid w:val="009D0881"/>
    <w:rsid w:val="009D6A6B"/>
    <w:rsid w:val="009D6F32"/>
    <w:rsid w:val="009E54F0"/>
    <w:rsid w:val="009E6AF7"/>
    <w:rsid w:val="009F4193"/>
    <w:rsid w:val="00A00C4F"/>
    <w:rsid w:val="00A033AC"/>
    <w:rsid w:val="00A10198"/>
    <w:rsid w:val="00A12EC7"/>
    <w:rsid w:val="00A139E6"/>
    <w:rsid w:val="00A153FF"/>
    <w:rsid w:val="00A1776F"/>
    <w:rsid w:val="00A2219E"/>
    <w:rsid w:val="00A46999"/>
    <w:rsid w:val="00A60F37"/>
    <w:rsid w:val="00A65865"/>
    <w:rsid w:val="00A7748A"/>
    <w:rsid w:val="00A82289"/>
    <w:rsid w:val="00A93F53"/>
    <w:rsid w:val="00AB191A"/>
    <w:rsid w:val="00AB6757"/>
    <w:rsid w:val="00AD3070"/>
    <w:rsid w:val="00AD3ED3"/>
    <w:rsid w:val="00AD6EAA"/>
    <w:rsid w:val="00AE1BC2"/>
    <w:rsid w:val="00B033F7"/>
    <w:rsid w:val="00B04543"/>
    <w:rsid w:val="00B048D9"/>
    <w:rsid w:val="00B05581"/>
    <w:rsid w:val="00B159E2"/>
    <w:rsid w:val="00B178F9"/>
    <w:rsid w:val="00B1796D"/>
    <w:rsid w:val="00B344BC"/>
    <w:rsid w:val="00B3456B"/>
    <w:rsid w:val="00B36034"/>
    <w:rsid w:val="00B36C12"/>
    <w:rsid w:val="00B3765F"/>
    <w:rsid w:val="00B37EDA"/>
    <w:rsid w:val="00B40B6E"/>
    <w:rsid w:val="00B40CD8"/>
    <w:rsid w:val="00B459D0"/>
    <w:rsid w:val="00B46217"/>
    <w:rsid w:val="00B476A4"/>
    <w:rsid w:val="00B56F84"/>
    <w:rsid w:val="00B6337D"/>
    <w:rsid w:val="00B73F85"/>
    <w:rsid w:val="00B80A9E"/>
    <w:rsid w:val="00B83063"/>
    <w:rsid w:val="00B84425"/>
    <w:rsid w:val="00B87470"/>
    <w:rsid w:val="00B9216F"/>
    <w:rsid w:val="00B96DAD"/>
    <w:rsid w:val="00BB31C2"/>
    <w:rsid w:val="00BB7407"/>
    <w:rsid w:val="00BC1856"/>
    <w:rsid w:val="00BC1F42"/>
    <w:rsid w:val="00BC1FAB"/>
    <w:rsid w:val="00BC5C9E"/>
    <w:rsid w:val="00BC6988"/>
    <w:rsid w:val="00BD10B5"/>
    <w:rsid w:val="00BD2F7D"/>
    <w:rsid w:val="00BD3BF0"/>
    <w:rsid w:val="00BD47A1"/>
    <w:rsid w:val="00BE0C19"/>
    <w:rsid w:val="00BE0DE4"/>
    <w:rsid w:val="00BE2EF5"/>
    <w:rsid w:val="00BE3B5F"/>
    <w:rsid w:val="00BF4179"/>
    <w:rsid w:val="00BF5F7B"/>
    <w:rsid w:val="00C135B8"/>
    <w:rsid w:val="00C158D3"/>
    <w:rsid w:val="00C4787D"/>
    <w:rsid w:val="00C5052A"/>
    <w:rsid w:val="00C50630"/>
    <w:rsid w:val="00C62B47"/>
    <w:rsid w:val="00C66A25"/>
    <w:rsid w:val="00C67BC1"/>
    <w:rsid w:val="00C71292"/>
    <w:rsid w:val="00C750CD"/>
    <w:rsid w:val="00C86665"/>
    <w:rsid w:val="00C9041A"/>
    <w:rsid w:val="00C95B9D"/>
    <w:rsid w:val="00CA7E82"/>
    <w:rsid w:val="00CC6583"/>
    <w:rsid w:val="00CE56A2"/>
    <w:rsid w:val="00CF2761"/>
    <w:rsid w:val="00CF4DC6"/>
    <w:rsid w:val="00D02414"/>
    <w:rsid w:val="00D16A0F"/>
    <w:rsid w:val="00D20EC1"/>
    <w:rsid w:val="00D33F1F"/>
    <w:rsid w:val="00D3656D"/>
    <w:rsid w:val="00D46D73"/>
    <w:rsid w:val="00D54417"/>
    <w:rsid w:val="00D61618"/>
    <w:rsid w:val="00D7219A"/>
    <w:rsid w:val="00D75E46"/>
    <w:rsid w:val="00D77EDD"/>
    <w:rsid w:val="00D837ED"/>
    <w:rsid w:val="00D84A3E"/>
    <w:rsid w:val="00D86043"/>
    <w:rsid w:val="00D93B19"/>
    <w:rsid w:val="00D96018"/>
    <w:rsid w:val="00D9745D"/>
    <w:rsid w:val="00DA39D9"/>
    <w:rsid w:val="00DA7E98"/>
    <w:rsid w:val="00DB1546"/>
    <w:rsid w:val="00DB1DE8"/>
    <w:rsid w:val="00DB5527"/>
    <w:rsid w:val="00DC0884"/>
    <w:rsid w:val="00DC0D2A"/>
    <w:rsid w:val="00DC3CD1"/>
    <w:rsid w:val="00DC46C4"/>
    <w:rsid w:val="00DC5F2B"/>
    <w:rsid w:val="00DD3BA0"/>
    <w:rsid w:val="00DD701F"/>
    <w:rsid w:val="00DD7A44"/>
    <w:rsid w:val="00DE3F97"/>
    <w:rsid w:val="00DF1404"/>
    <w:rsid w:val="00DF54C6"/>
    <w:rsid w:val="00DF6E1E"/>
    <w:rsid w:val="00E03384"/>
    <w:rsid w:val="00E05795"/>
    <w:rsid w:val="00E079DB"/>
    <w:rsid w:val="00E114E3"/>
    <w:rsid w:val="00E26DD8"/>
    <w:rsid w:val="00E27893"/>
    <w:rsid w:val="00E4334E"/>
    <w:rsid w:val="00E4419B"/>
    <w:rsid w:val="00E60452"/>
    <w:rsid w:val="00E63D04"/>
    <w:rsid w:val="00E67571"/>
    <w:rsid w:val="00E70906"/>
    <w:rsid w:val="00E731F2"/>
    <w:rsid w:val="00E73EFC"/>
    <w:rsid w:val="00E76715"/>
    <w:rsid w:val="00E85228"/>
    <w:rsid w:val="00E85CEC"/>
    <w:rsid w:val="00E91657"/>
    <w:rsid w:val="00E91BFD"/>
    <w:rsid w:val="00E96A8E"/>
    <w:rsid w:val="00EA5BC7"/>
    <w:rsid w:val="00EC340C"/>
    <w:rsid w:val="00EC6BF4"/>
    <w:rsid w:val="00EC7EF2"/>
    <w:rsid w:val="00ED771E"/>
    <w:rsid w:val="00EF4D17"/>
    <w:rsid w:val="00EF6FF9"/>
    <w:rsid w:val="00F06001"/>
    <w:rsid w:val="00F24667"/>
    <w:rsid w:val="00F33D15"/>
    <w:rsid w:val="00F41790"/>
    <w:rsid w:val="00F455F9"/>
    <w:rsid w:val="00F45F01"/>
    <w:rsid w:val="00F55595"/>
    <w:rsid w:val="00F61739"/>
    <w:rsid w:val="00F66251"/>
    <w:rsid w:val="00F75CC8"/>
    <w:rsid w:val="00F81001"/>
    <w:rsid w:val="00F83075"/>
    <w:rsid w:val="00F90051"/>
    <w:rsid w:val="00F921FA"/>
    <w:rsid w:val="00F97592"/>
    <w:rsid w:val="00FA195B"/>
    <w:rsid w:val="00FA33E0"/>
    <w:rsid w:val="00FB13B2"/>
    <w:rsid w:val="00FD60C5"/>
    <w:rsid w:val="00FD687D"/>
    <w:rsid w:val="00FD6887"/>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ECCD1F"/>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5E46"/>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 w:type="character" w:styleId="Hyperlink">
    <w:name w:val="Hyperlink"/>
    <w:basedOn w:val="DefaultParagraphFont"/>
    <w:rsid w:val="009447EA"/>
    <w:rPr>
      <w:color w:val="23346A" w:themeColor="hyperlink"/>
      <w:u w:val="single"/>
    </w:rPr>
  </w:style>
  <w:style w:type="character" w:styleId="UnresolvedMention">
    <w:name w:val="Unresolved Mention"/>
    <w:basedOn w:val="DefaultParagraphFont"/>
    <w:uiPriority w:val="99"/>
    <w:semiHidden/>
    <w:unhideWhenUsed/>
    <w:rsid w:val="00944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USA@eurotro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08BF47B-B610-4F3E-8C34-2FE7F0BBA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1066</TotalTime>
  <Pages>7</Pages>
  <Words>1708</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7</cp:revision>
  <cp:lastPrinted>2023-02-03T18:00:00Z</cp:lastPrinted>
  <dcterms:created xsi:type="dcterms:W3CDTF">2023-02-02T21:50:00Z</dcterms:created>
  <dcterms:modified xsi:type="dcterms:W3CDTF">2023-05-09T14:55:00Z</dcterms:modified>
</cp:coreProperties>
</file>