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4DE91" w14:textId="77777777" w:rsidR="00A53D4F" w:rsidRPr="00D84A3E" w:rsidRDefault="007A79F4" w:rsidP="00A53D4F">
      <w:pPr>
        <w:pStyle w:val="Heading1"/>
      </w:pPr>
      <w:bookmarkStart w:id="0" w:name="_Hlk46397597"/>
      <w:r w:rsidRPr="00887AE0">
        <w:t>Organization</w:t>
      </w:r>
      <w:r w:rsidRPr="00D84A3E">
        <w:t>(s)</w:t>
      </w:r>
      <w:r>
        <w:t>:</w:t>
      </w:r>
    </w:p>
    <w:p w14:paraId="2224DE92" w14:textId="77777777" w:rsidR="00A53D4F" w:rsidRDefault="00A53D4F" w:rsidP="00A53D4F">
      <w:pPr>
        <w:sectPr w:rsidR="00A53D4F" w:rsidSect="00A153FF">
          <w:headerReference w:type="even" r:id="rId8"/>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272"/>
        </w:sectPr>
      </w:pPr>
    </w:p>
    <w:p w14:paraId="2224DE93" w14:textId="77777777" w:rsidR="00A53D4F" w:rsidRPr="00887AE0" w:rsidRDefault="007A79F4" w:rsidP="00A53D4F">
      <w:pPr>
        <w:ind w:right="144"/>
        <w:rPr>
          <w:rFonts w:cs="Arial"/>
        </w:rPr>
      </w:pPr>
      <w:sdt>
        <w:sdtPr>
          <w:id w:val="-761983799"/>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sidRPr="0056313C">
        <w:t xml:space="preserve"> </w:t>
      </w:r>
      <w:r w:rsidRPr="00887AE0">
        <w:rPr>
          <w:rFonts w:cs="Arial"/>
        </w:rPr>
        <w:t xml:space="preserve">North Carolina </w:t>
      </w:r>
      <w:r w:rsidRPr="00887AE0">
        <w:rPr>
          <w:rFonts w:cs="Arial"/>
        </w:rPr>
        <w:t>Baptist Hospital (NCBH)</w:t>
      </w:r>
    </w:p>
    <w:p w14:paraId="2224DE94" w14:textId="77777777" w:rsidR="00A53D4F" w:rsidRPr="00887AE0" w:rsidRDefault="007A79F4" w:rsidP="00A53D4F">
      <w:pPr>
        <w:ind w:left="540" w:right="720" w:hanging="540"/>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Lexington Medical Center (LMC)</w:t>
      </w:r>
    </w:p>
    <w:p w14:paraId="2224DE95" w14:textId="77777777" w:rsidR="00A53D4F" w:rsidRPr="00887AE0" w:rsidRDefault="007A79F4" w:rsidP="00A53D4F">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Davie Medical Center (DMC)</w:t>
      </w:r>
    </w:p>
    <w:p w14:paraId="2224DE96" w14:textId="77777777" w:rsidR="00A53D4F" w:rsidRDefault="007A79F4" w:rsidP="00A53D4F">
      <w:pPr>
        <w:ind w:right="180"/>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Wilkes Medical Center (WMC</w:t>
      </w:r>
      <w:r>
        <w:rPr>
          <w:rFonts w:cs="Arial"/>
          <w:szCs w:val="22"/>
        </w:rPr>
        <w:t>)</w:t>
      </w:r>
    </w:p>
    <w:p w14:paraId="2224DE97" w14:textId="55092F6D" w:rsidR="00A53D4F" w:rsidRPr="00887AE0" w:rsidRDefault="007A79F4" w:rsidP="00A53D4F">
      <w:pPr>
        <w:rPr>
          <w:rFonts w:cs="Arial"/>
          <w:szCs w:val="22"/>
        </w:rPr>
      </w:pPr>
      <w:sdt>
        <w:sdtPr>
          <w:rPr>
            <w:rFonts w:cs="Arial"/>
            <w:szCs w:val="22"/>
          </w:rPr>
          <w:id w:val="1225566123"/>
          <w14:checkbox>
            <w14:checked w14:val="1"/>
            <w14:checkedState w14:val="2612" w14:font="MS Gothic"/>
            <w14:uncheckedState w14:val="2610" w14:font="MS Gothic"/>
          </w14:checkbox>
        </w:sdtPr>
        <w:sdtEndPr/>
        <w:sdtContent>
          <w:r w:rsidR="00F45F34">
            <w:rPr>
              <w:rFonts w:ascii="MS Gothic" w:eastAsia="MS Gothic" w:hAnsi="MS Gothic" w:cs="MS Gothic" w:hint="eastAsia"/>
              <w:szCs w:val="22"/>
            </w:rPr>
            <w:t>☒</w:t>
          </w:r>
        </w:sdtContent>
      </w:sdt>
      <w:r w:rsidRPr="00887AE0">
        <w:rPr>
          <w:rFonts w:cs="Arial"/>
          <w:szCs w:val="22"/>
        </w:rPr>
        <w:t xml:space="preserve"> High Point Medical Center (HPMC)</w:t>
      </w:r>
    </w:p>
    <w:p w14:paraId="2224DE98" w14:textId="77777777" w:rsidR="00A53D4F" w:rsidRDefault="00A53D4F" w:rsidP="00A53D4F">
      <w:pPr>
        <w:rPr>
          <w:rFonts w:cs="Arial"/>
          <w:szCs w:val="22"/>
        </w:rPr>
      </w:pPr>
    </w:p>
    <w:p w14:paraId="2224DE99" w14:textId="77777777" w:rsidR="00A53D4F" w:rsidRPr="00887AE0" w:rsidRDefault="007A79F4" w:rsidP="00A53D4F">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Pr>
              <w:rFonts w:ascii="MS Gothic" w:eastAsia="MS Gothic" w:hAnsi="MS Gothic" w:cs="MS Gothic"/>
              <w:szCs w:val="22"/>
            </w:rPr>
            <w:t>☐</w:t>
          </w:r>
        </w:sdtContent>
      </w:sdt>
      <w:r>
        <w:rPr>
          <w:rFonts w:cs="Arial"/>
          <w:szCs w:val="22"/>
        </w:rPr>
        <w:t xml:space="preserve"> Wake Forest Health Network (WFHN)</w:t>
      </w:r>
    </w:p>
    <w:p w14:paraId="2224DE9A" w14:textId="77777777" w:rsidR="00A53D4F" w:rsidRPr="00887AE0" w:rsidRDefault="007A79F4" w:rsidP="00A53D4F">
      <w:pPr>
        <w:ind w:right="-720"/>
        <w:rPr>
          <w:rFonts w:cs="Arial"/>
          <w:szCs w:val="22"/>
        </w:rPr>
      </w:pPr>
      <w:sdt>
        <w:sdtPr>
          <w:rPr>
            <w:rFonts w:cs="Arial"/>
            <w:szCs w:val="22"/>
          </w:rPr>
          <w:id w:val="1756247588"/>
          <w14:checkbox>
            <w14:checked w14:val="0"/>
            <w14:checkedState w14:val="2612" w14:font="MS Gothic"/>
            <w14:uncheckedState w14:val="2610" w14:font="MS Gothic"/>
          </w14:checkbox>
        </w:sdtPr>
        <w:sdtEndPr/>
        <w:sdtContent>
          <w:r>
            <w:rPr>
              <w:rFonts w:ascii="MS Gothic" w:eastAsia="MS Gothic" w:hAnsi="MS Gothic" w:cs="MS Gothic" w:hint="eastAsia"/>
              <w:szCs w:val="22"/>
            </w:rPr>
            <w:t>☐</w:t>
          </w:r>
        </w:sdtContent>
      </w:sdt>
      <w:r w:rsidRPr="00887AE0">
        <w:rPr>
          <w:rFonts w:cs="Arial"/>
          <w:szCs w:val="22"/>
        </w:rPr>
        <w:t xml:space="preserve"> Wake Forest University Health Sciences (WFUHS)</w:t>
      </w:r>
    </w:p>
    <w:p w14:paraId="2224DE9B" w14:textId="77777777" w:rsidR="00A53D4F" w:rsidRPr="00887AE0" w:rsidRDefault="007A79F4" w:rsidP="00A53D4F">
      <w:pPr>
        <w:rPr>
          <w:rFonts w:cs="Arial"/>
          <w:szCs w:val="22"/>
        </w:rPr>
      </w:pPr>
      <w:sdt>
        <w:sdtPr>
          <w:rPr>
            <w:rFonts w:cs="Arial"/>
            <w:szCs w:val="22"/>
          </w:rPr>
          <w:id w:val="1543632567"/>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Wak</w:t>
      </w:r>
      <w:r w:rsidRPr="00887AE0">
        <w:rPr>
          <w:rFonts w:cs="Arial"/>
          <w:szCs w:val="22"/>
        </w:rPr>
        <w:t>e Forest University School of Medicine</w:t>
      </w:r>
    </w:p>
    <w:p w14:paraId="2224DE9C" w14:textId="77777777" w:rsidR="00A53D4F" w:rsidRPr="00887AE0" w:rsidRDefault="007A79F4" w:rsidP="00A53D4F">
      <w:pPr>
        <w:rPr>
          <w:rFonts w:cs="Arial"/>
          <w:szCs w:val="22"/>
        </w:rPr>
      </w:pPr>
      <w:sdt>
        <w:sdtPr>
          <w:rPr>
            <w:rFonts w:cs="Arial"/>
            <w:szCs w:val="22"/>
          </w:rPr>
          <w:id w:val="1584953560"/>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NCBH Outpatient Endoscopy</w:t>
      </w:r>
    </w:p>
    <w:p w14:paraId="2224DE9D" w14:textId="77777777" w:rsidR="00A53D4F" w:rsidRDefault="007A79F4" w:rsidP="00A53D4F">
      <w:pPr>
        <w:sectPr w:rsidR="00A53D4F" w:rsidSect="00DB1DB8">
          <w:type w:val="continuous"/>
          <w:pgSz w:w="12240" w:h="15840" w:code="1"/>
          <w:pgMar w:top="1440" w:right="1440" w:bottom="1440" w:left="1440" w:header="720" w:footer="720" w:gutter="0"/>
          <w:cols w:num="2" w:space="180"/>
          <w:titlePg/>
          <w:docGrid w:linePitch="272"/>
        </w:sectPr>
      </w:pPr>
      <w:sdt>
        <w:sdtPr>
          <w:rPr>
            <w:rFonts w:cs="Arial"/>
            <w:szCs w:val="22"/>
          </w:rPr>
          <w:id w:val="1155183975"/>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w:t>
      </w:r>
      <w:r w:rsidRPr="00923023">
        <w:rPr>
          <w:rFonts w:cs="Arial"/>
          <w:szCs w:val="22"/>
        </w:rPr>
        <w:t xml:space="preserve">Wake Forest </w:t>
      </w:r>
      <w:r>
        <w:rPr>
          <w:rFonts w:cs="Arial"/>
          <w:szCs w:val="22"/>
        </w:rPr>
        <w:t xml:space="preserve">Baptist </w:t>
      </w:r>
      <w:r w:rsidRPr="00923023">
        <w:rPr>
          <w:rFonts w:cs="Arial"/>
          <w:szCs w:val="22"/>
        </w:rPr>
        <w:t>Imaging</w:t>
      </w:r>
      <w:r>
        <w:rPr>
          <w:rFonts w:cs="Arial"/>
          <w:szCs w:val="22"/>
        </w:rPr>
        <w:t>, LLC</w:t>
      </w:r>
      <w:r w:rsidRPr="00923023">
        <w:rPr>
          <w:rFonts w:cs="Arial"/>
          <w:szCs w:val="22"/>
        </w:rPr>
        <w:t xml:space="preserve"> (WFBI</w:t>
      </w:r>
      <w:r>
        <w:rPr>
          <w:rFonts w:cs="Arial"/>
          <w:szCs w:val="22"/>
        </w:rPr>
        <w:t>)</w:t>
      </w:r>
    </w:p>
    <w:bookmarkEnd w:id="0"/>
    <w:p w14:paraId="2224DE9E" w14:textId="77777777" w:rsidR="00BF5F7B" w:rsidRDefault="00BF5F7B" w:rsidP="00BD3BF0"/>
    <w:p w14:paraId="2224DE9F" w14:textId="77777777" w:rsidR="008E16B1" w:rsidRDefault="007A79F4" w:rsidP="00887AE0">
      <w:pPr>
        <w:pStyle w:val="Heading1"/>
      </w:pPr>
      <w:r>
        <w:t>Purpose</w:t>
      </w:r>
    </w:p>
    <w:p w14:paraId="2224DEA0" w14:textId="77777777" w:rsidR="00BF5F7B" w:rsidRDefault="00BF5F7B" w:rsidP="00887AE0"/>
    <w:p w14:paraId="23433ACF" w14:textId="77777777" w:rsidR="00F45F34" w:rsidRDefault="007A79F4" w:rsidP="00F45F34">
      <w:r>
        <w:t>The purpose of this policy is to define</w:t>
      </w:r>
      <w:r w:rsidRPr="00853232">
        <w:t xml:space="preserve"> the proficiency testing (PT) program to include the following areas: selection of approved PT materials for regulated analytes, appropriate handling of samples, sample analysis, results reporting, event results review and employee training/competency asse</w:t>
      </w:r>
      <w:r w:rsidRPr="00853232">
        <w:t>ssments. For purposes of photograph/image identification in CAP PT Programs, it is strongly recommended that current educational resources be available to the bench technologist. Examples include bench top resource guides, color atlases and glossaries prov</w:t>
      </w:r>
      <w:r w:rsidRPr="00853232">
        <w:t>ided as part of the survey.</w:t>
      </w:r>
    </w:p>
    <w:p w14:paraId="2224DEA2" w14:textId="77777777" w:rsidR="0056313C" w:rsidRDefault="0056313C" w:rsidP="00887AE0"/>
    <w:p w14:paraId="2224DEA3" w14:textId="77777777" w:rsidR="00B048D9" w:rsidRDefault="007A79F4" w:rsidP="00887AE0">
      <w:pPr>
        <w:pStyle w:val="Heading1"/>
      </w:pPr>
      <w:r>
        <w:t>Scope</w:t>
      </w:r>
    </w:p>
    <w:p w14:paraId="2224DEA4" w14:textId="77777777" w:rsidR="0056313C" w:rsidRDefault="0056313C" w:rsidP="0056313C"/>
    <w:p w14:paraId="051F004B" w14:textId="77777777" w:rsidR="00F45F34" w:rsidRPr="0056313C" w:rsidRDefault="007A79F4" w:rsidP="00F45F34">
      <w:r>
        <w:t xml:space="preserve">This procedure applies to </w:t>
      </w:r>
      <w:r w:rsidRPr="00D572CE">
        <w:t>all WFBMC Department of Laboratory Med</w:t>
      </w:r>
      <w:r>
        <w:t>icine and Pathology employees, f</w:t>
      </w:r>
      <w:r w:rsidRPr="00D572CE">
        <w:t>aculty and staff</w:t>
      </w:r>
      <w:r>
        <w:t xml:space="preserve">. </w:t>
      </w:r>
    </w:p>
    <w:p w14:paraId="2224DEA6" w14:textId="77777777" w:rsidR="002451BA" w:rsidRPr="00B3765F" w:rsidRDefault="002451BA" w:rsidP="0056313C"/>
    <w:p w14:paraId="2224DEA7" w14:textId="77777777" w:rsidR="00B048D9" w:rsidRDefault="007A79F4" w:rsidP="00887AE0">
      <w:pPr>
        <w:pStyle w:val="Heading1"/>
      </w:pPr>
      <w:r>
        <w:t>Definitions</w:t>
      </w:r>
    </w:p>
    <w:p w14:paraId="2224DEA8" w14:textId="77777777" w:rsidR="00BF5F7B" w:rsidRPr="00BF5F7B" w:rsidRDefault="00BF5F7B" w:rsidP="00BF5F7B"/>
    <w:p w14:paraId="7F50A797" w14:textId="77777777" w:rsidR="00F45F34" w:rsidRDefault="007A79F4" w:rsidP="00F45F34">
      <w:pPr>
        <w:pStyle w:val="ListParagraph"/>
      </w:pPr>
      <w:r w:rsidRPr="00C63E5D">
        <w:rPr>
          <w:b/>
          <w:i/>
        </w:rPr>
        <w:t>Alternative performance assessment</w:t>
      </w:r>
      <w:r>
        <w:t xml:space="preserve">: A system for determining the reliability of laboratory </w:t>
      </w:r>
      <w:r>
        <w:t>examinations for which no commercial proficiency testing products are available, are not appropriate for the method or patient population served by the laboratory, or participation is not required by the accrediting organization.</w:t>
      </w:r>
    </w:p>
    <w:p w14:paraId="543A3FFE" w14:textId="77777777" w:rsidR="00F45F34" w:rsidRPr="00C63E5D" w:rsidRDefault="00F45F34" w:rsidP="00F45F34"/>
    <w:p w14:paraId="59B5E217" w14:textId="77777777" w:rsidR="00F45F34" w:rsidRDefault="007A79F4" w:rsidP="00F45F34">
      <w:pPr>
        <w:pStyle w:val="ListParagraph"/>
      </w:pPr>
      <w:r w:rsidRPr="00CD7420">
        <w:rPr>
          <w:b/>
          <w:i/>
        </w:rPr>
        <w:t>Policy:</w:t>
      </w:r>
      <w:r>
        <w:t xml:space="preserve"> </w:t>
      </w:r>
      <w:r w:rsidRPr="00887AE0">
        <w:t xml:space="preserve"> </w:t>
      </w:r>
      <w:r>
        <w:t>A statement of p</w:t>
      </w:r>
      <w:r>
        <w:t>rinciple that is developed for the purpose of guiding decisions and activities related to governance, administration, or management of care, treatment, services or other activities.  A policy may help to ensure compliance with applicable laws and regulatio</w:t>
      </w:r>
      <w:r>
        <w:t>ns, promote one or more missions, contain guidelines for governance, and set parameters within which faculty, staff, students, visitors and others are expected to operate.</w:t>
      </w:r>
    </w:p>
    <w:p w14:paraId="31AF7EFF" w14:textId="77777777" w:rsidR="00F45F34" w:rsidRPr="00C63E5D" w:rsidRDefault="00F45F34" w:rsidP="00F45F34"/>
    <w:p w14:paraId="2224DEAC" w14:textId="144B057E" w:rsidR="00A2219E" w:rsidRDefault="007A79F4" w:rsidP="00F45F34">
      <w:pPr>
        <w:pStyle w:val="ListParagraph"/>
      </w:pPr>
      <w:r w:rsidRPr="00F45F34">
        <w:rPr>
          <w:b/>
          <w:i/>
        </w:rPr>
        <w:t>Proficiency Testing (PT): Evaluation of participant (laboratory or individual) perf</w:t>
      </w:r>
      <w:r w:rsidRPr="00F45F34">
        <w:rPr>
          <w:b/>
          <w:i/>
        </w:rPr>
        <w:t>ormance</w:t>
      </w:r>
      <w:r w:rsidRPr="00C63E5D">
        <w:t xml:space="preserve"> against pre-established criteria by means of interlaboratory comparisons. In some countries, the PT programs for clinical laboratories are called "external quality assessment" programs</w:t>
      </w:r>
    </w:p>
    <w:p w14:paraId="61D517E8" w14:textId="77777777" w:rsidR="00F45F34" w:rsidRPr="00CD7420" w:rsidRDefault="00F45F34" w:rsidP="00F45F34"/>
    <w:p w14:paraId="47030675" w14:textId="77777777" w:rsidR="00F45F34" w:rsidRDefault="007A79F4" w:rsidP="00F45F34">
      <w:pPr>
        <w:pStyle w:val="ListParagraph"/>
      </w:pPr>
      <w:r w:rsidRPr="0059273D">
        <w:rPr>
          <w:b/>
          <w:i/>
        </w:rPr>
        <w:lastRenderedPageBreak/>
        <w:t>Regulated Analytes:</w:t>
      </w:r>
      <w:r>
        <w:t xml:space="preserve"> Analytes, that according to CLIA federal r</w:t>
      </w:r>
      <w:r>
        <w:t>egulations require a laboratory to enroll in and successfully participate in a CMS approved proficiency testing program.</w:t>
      </w:r>
    </w:p>
    <w:p w14:paraId="5A1B94EA" w14:textId="77777777" w:rsidR="00F45F34" w:rsidRPr="00853232" w:rsidRDefault="00F45F34" w:rsidP="00F45F34"/>
    <w:p w14:paraId="6F2CA9C0" w14:textId="77777777" w:rsidR="00F45F34" w:rsidRDefault="007A79F4" w:rsidP="00F45F34">
      <w:pPr>
        <w:pStyle w:val="ListParagraph"/>
      </w:pPr>
      <w:r w:rsidRPr="0059273D">
        <w:rPr>
          <w:b/>
          <w:i/>
        </w:rPr>
        <w:t>Unregulated Analytes:</w:t>
      </w:r>
      <w:r>
        <w:t xml:space="preserve"> Analytes performed by a laboratory that are not included in the regulated listing found in the Federal Regulatio</w:t>
      </w:r>
      <w:r>
        <w:t>ns Subpart I.</w:t>
      </w:r>
    </w:p>
    <w:p w14:paraId="1F79154D" w14:textId="77777777" w:rsidR="00F45F34" w:rsidRDefault="00F45F34" w:rsidP="00F45F34"/>
    <w:p w14:paraId="0332E9D7" w14:textId="77777777" w:rsidR="00F45F34" w:rsidRDefault="007A79F4" w:rsidP="00F45F34">
      <w:pPr>
        <w:pStyle w:val="ListParagraph"/>
      </w:pPr>
      <w:r w:rsidRPr="00B31A6D">
        <w:rPr>
          <w:b/>
          <w:bCs/>
          <w:i/>
          <w:iCs/>
        </w:rPr>
        <w:t>PT Event:</w:t>
      </w:r>
      <w:r w:rsidRPr="009D69D9">
        <w:t xml:space="preserve"> May contain one or more test samples from different analyte samples or multiple samples for the same test.</w:t>
      </w:r>
    </w:p>
    <w:p w14:paraId="53419FCA" w14:textId="77777777" w:rsidR="00F45F34" w:rsidRPr="00B31A6D" w:rsidRDefault="00F45F34" w:rsidP="00F45F34"/>
    <w:p w14:paraId="179BFB8D" w14:textId="77777777" w:rsidR="00F45F34" w:rsidRPr="009D69D9" w:rsidRDefault="007A79F4" w:rsidP="00F45F34">
      <w:pPr>
        <w:pStyle w:val="ListParagraph"/>
      </w:pPr>
      <w:r w:rsidRPr="00B31A6D">
        <w:rPr>
          <w:b/>
          <w:bCs/>
          <w:i/>
          <w:iCs/>
        </w:rPr>
        <w:t>Sample:</w:t>
      </w:r>
      <w:r w:rsidRPr="009D69D9">
        <w:t xml:space="preserve"> One part of an entire PT event that should be tested by one individual when possible unless routine patient testing requires more than one tech to complete the result.</w:t>
      </w:r>
    </w:p>
    <w:p w14:paraId="560E21AB" w14:textId="77777777" w:rsidR="00F45F34" w:rsidRDefault="00F45F34" w:rsidP="00F45F34"/>
    <w:p w14:paraId="772E87F7" w14:textId="77777777" w:rsidR="00F45F34" w:rsidRDefault="007A79F4" w:rsidP="00F45F34">
      <w:pPr>
        <w:pStyle w:val="ListParagraph"/>
      </w:pPr>
      <w:r w:rsidRPr="00CD7420">
        <w:rPr>
          <w:b/>
          <w:i/>
        </w:rPr>
        <w:t>WFBH Lab System:</w:t>
      </w:r>
      <w:r w:rsidRPr="00BF5F7B">
        <w:t xml:space="preserve">  Wake </w:t>
      </w:r>
      <w:r>
        <w:t>Forest Baptist Lab System</w:t>
      </w:r>
      <w:r w:rsidRPr="00BF5F7B">
        <w:t xml:space="preserve"> is a health system that includes Wake</w:t>
      </w:r>
      <w:r w:rsidRPr="00BF5F7B">
        <w:t xml:space="preserve"> Forest Baptist Medical Center and all affiliated organizations including Wake Forest University Health Sciences (WFUHS), North Carolina Baptist Hospital (NCBH), Lexington Medical Center (LMC), Davie Medical Center (DMC), Wilkes Medical Center (WMC), High </w:t>
      </w:r>
      <w:r w:rsidRPr="00BF5F7B">
        <w:t xml:space="preserve">Point Medical Center (HPMC), </w:t>
      </w:r>
      <w:r>
        <w:t>Lab at Westchester and Lab at Clemmons.</w:t>
      </w:r>
    </w:p>
    <w:p w14:paraId="1D1E723D" w14:textId="77777777" w:rsidR="00F45F34" w:rsidRPr="00F45F34" w:rsidRDefault="00F45F34" w:rsidP="00F45F34"/>
    <w:p w14:paraId="2224DEAD" w14:textId="77777777" w:rsidR="00AC1232" w:rsidRPr="00B3765F" w:rsidRDefault="00AC1232" w:rsidP="0056313C"/>
    <w:p w14:paraId="2224DEAE" w14:textId="77777777" w:rsidR="00B048D9" w:rsidRDefault="007A79F4" w:rsidP="00887AE0">
      <w:pPr>
        <w:pStyle w:val="Heading1"/>
      </w:pPr>
      <w:r>
        <w:t>Policy</w:t>
      </w:r>
      <w:r w:rsidR="008E16B1">
        <w:t xml:space="preserve"> </w:t>
      </w:r>
      <w:r w:rsidR="003B660A">
        <w:t>Guidelines</w:t>
      </w:r>
    </w:p>
    <w:p w14:paraId="2224DEB5" w14:textId="10585045" w:rsidR="00353C0F" w:rsidRDefault="00353C0F" w:rsidP="0056313C"/>
    <w:p w14:paraId="269D58FE" w14:textId="77777777" w:rsidR="00F45F34" w:rsidRDefault="007A79F4" w:rsidP="00F45F34">
      <w:r w:rsidRPr="00853232">
        <w:t xml:space="preserve">It is the policy of the Department of Pathology and any other laboratory area performing lab testing subject to proficiency testing requirements under CLIA (Clinical </w:t>
      </w:r>
      <w:r w:rsidRPr="00853232">
        <w:t>Laboratory Improvement Amendments), to adhere to all proficiency testing standards or regulations of CLIA and/or other accrediting laboratory agencies such as: College of American Pathology (CAP), American Association of Blood Banks (AABB), American Societ</w:t>
      </w:r>
      <w:r w:rsidRPr="00853232">
        <w:t xml:space="preserve">y of Histocompatibility and </w:t>
      </w:r>
      <w:r>
        <w:t>I</w:t>
      </w:r>
      <w:r w:rsidRPr="00853232">
        <w:t>mmunogenetics (ASHI), Commission on Office Laboratory Accreditation (COLA) and The Joint Commission (TJC).</w:t>
      </w:r>
    </w:p>
    <w:p w14:paraId="7D6BC197" w14:textId="77777777" w:rsidR="00F45F34" w:rsidRDefault="00F45F34" w:rsidP="00F45F34"/>
    <w:p w14:paraId="38EFE97D" w14:textId="77777777" w:rsidR="00F45F34" w:rsidRDefault="007A79F4" w:rsidP="00F45F34">
      <w:pPr>
        <w:pStyle w:val="ListParagraph"/>
        <w:numPr>
          <w:ilvl w:val="0"/>
          <w:numId w:val="14"/>
        </w:numPr>
        <w:rPr>
          <w:b/>
        </w:rPr>
      </w:pPr>
      <w:r>
        <w:rPr>
          <w:b/>
        </w:rPr>
        <w:t>PT Participation (</w:t>
      </w:r>
      <w:r w:rsidRPr="00287164">
        <w:rPr>
          <w:b/>
          <w:i/>
        </w:rPr>
        <w:t>CAP COM.01300</w:t>
      </w:r>
      <w:r>
        <w:rPr>
          <w:b/>
        </w:rPr>
        <w:t xml:space="preserve">) - </w:t>
      </w:r>
      <w:r w:rsidRPr="00247A03">
        <w:rPr>
          <w:b/>
        </w:rPr>
        <w:t>Selection of Material</w:t>
      </w:r>
      <w:r>
        <w:rPr>
          <w:b/>
        </w:rPr>
        <w:t>s</w:t>
      </w:r>
      <w:r w:rsidRPr="00247A03">
        <w:rPr>
          <w:b/>
        </w:rPr>
        <w:t>:</w:t>
      </w:r>
    </w:p>
    <w:p w14:paraId="66DD42CA" w14:textId="77777777" w:rsidR="00F45F34" w:rsidRDefault="00F45F34" w:rsidP="00F45F34">
      <w:pPr>
        <w:ind w:left="360"/>
        <w:rPr>
          <w:szCs w:val="22"/>
        </w:rPr>
      </w:pPr>
    </w:p>
    <w:p w14:paraId="51582C2E" w14:textId="77777777" w:rsidR="00F45F34" w:rsidRDefault="007A79F4" w:rsidP="00F45F34">
      <w:pPr>
        <w:ind w:left="360"/>
        <w:rPr>
          <w:rFonts w:cs="Arial"/>
          <w:color w:val="0070C0"/>
          <w:szCs w:val="22"/>
          <w:shd w:val="clear" w:color="auto" w:fill="FFFFFF"/>
        </w:rPr>
      </w:pPr>
      <w:r>
        <w:rPr>
          <w:szCs w:val="22"/>
        </w:rPr>
        <w:t xml:space="preserve">PT materials are to be ordered from CMS approved PT Programs. These programs are evaluated and re-approved by the Centers for Medicare &amp; Medicaid Services (CMS) annually. </w:t>
      </w:r>
      <w:r w:rsidRPr="00B24E08">
        <w:rPr>
          <w:rFonts w:cs="Arial"/>
          <w:color w:val="333333"/>
          <w:szCs w:val="22"/>
          <w:shd w:val="clear" w:color="auto" w:fill="FFFFFF"/>
        </w:rPr>
        <w:t>A detailed listing of the</w:t>
      </w:r>
      <w:r>
        <w:rPr>
          <w:rFonts w:cs="Arial"/>
          <w:color w:val="333333"/>
          <w:szCs w:val="22"/>
          <w:shd w:val="clear" w:color="auto" w:fill="FFFFFF"/>
        </w:rPr>
        <w:t xml:space="preserve"> current approved PT</w:t>
      </w:r>
      <w:r w:rsidRPr="00B24E08">
        <w:rPr>
          <w:rFonts w:cs="Arial"/>
          <w:color w:val="333333"/>
          <w:szCs w:val="22"/>
          <w:shd w:val="clear" w:color="auto" w:fill="FFFFFF"/>
        </w:rPr>
        <w:t xml:space="preserve"> programs along with their contact infor</w:t>
      </w:r>
      <w:r w:rsidRPr="00B24E08">
        <w:rPr>
          <w:rFonts w:cs="Arial"/>
          <w:color w:val="333333"/>
          <w:szCs w:val="22"/>
          <w:shd w:val="clear" w:color="auto" w:fill="FFFFFF"/>
        </w:rPr>
        <w:t>mation and the tests for which</w:t>
      </w:r>
      <w:r>
        <w:rPr>
          <w:rFonts w:cs="Arial"/>
          <w:color w:val="333333"/>
          <w:szCs w:val="22"/>
          <w:shd w:val="clear" w:color="auto" w:fill="FFFFFF"/>
        </w:rPr>
        <w:t xml:space="preserve"> they are approved is available in the CMS CLIA website. Click on the link </w:t>
      </w:r>
      <w:hyperlink r:id="rId13" w:tooltip="CLIA Approved Proficiency Testing Programs" w:history="1">
        <w:r w:rsidRPr="00B24E08">
          <w:rPr>
            <w:rFonts w:cs="Arial"/>
            <w:color w:val="0070C0"/>
            <w:szCs w:val="22"/>
            <w:u w:val="single"/>
            <w:shd w:val="clear" w:color="auto" w:fill="FFFFFF"/>
          </w:rPr>
          <w:t>CLIA Approved Proficiency Testing Programs</w:t>
        </w:r>
      </w:hyperlink>
      <w:r w:rsidRPr="00B24E08">
        <w:rPr>
          <w:rFonts w:cs="Arial"/>
          <w:color w:val="0070C0"/>
          <w:szCs w:val="22"/>
          <w:shd w:val="clear" w:color="auto" w:fill="FFFFFF"/>
        </w:rPr>
        <w:t xml:space="preserve">. </w:t>
      </w:r>
    </w:p>
    <w:p w14:paraId="3EA3B0A9" w14:textId="77777777" w:rsidR="00F45F34" w:rsidRDefault="00F45F34" w:rsidP="00F45F34">
      <w:pPr>
        <w:ind w:left="360"/>
        <w:rPr>
          <w:szCs w:val="22"/>
        </w:rPr>
      </w:pPr>
    </w:p>
    <w:p w14:paraId="28BD15F8" w14:textId="77777777" w:rsidR="00F45F34" w:rsidRPr="00B24E08" w:rsidRDefault="007A79F4" w:rsidP="00F45F34">
      <w:pPr>
        <w:ind w:left="360"/>
        <w:rPr>
          <w:szCs w:val="22"/>
        </w:rPr>
      </w:pPr>
      <w:r>
        <w:rPr>
          <w:szCs w:val="22"/>
        </w:rPr>
        <w:t>The primary PT Program(s) that the AH WFBMC Department o</w:t>
      </w:r>
      <w:r>
        <w:rPr>
          <w:szCs w:val="22"/>
        </w:rPr>
        <w:t>f Pathology subscribe to is the College of American Pathologist (CAP) and American Society for Clinical Pathology (ASCP).</w:t>
      </w:r>
    </w:p>
    <w:p w14:paraId="79008503" w14:textId="77777777" w:rsidR="00F45F34" w:rsidRDefault="00F45F34" w:rsidP="00F45F34"/>
    <w:p w14:paraId="23FBAD97" w14:textId="77777777" w:rsidR="00F45F34" w:rsidRDefault="007A79F4" w:rsidP="00F45F34">
      <w:pPr>
        <w:pStyle w:val="Style1"/>
      </w:pPr>
      <w:r w:rsidRPr="0059273D">
        <w:rPr>
          <w:b/>
        </w:rPr>
        <w:t>Regulated Analytes</w:t>
      </w:r>
      <w:r>
        <w:rPr>
          <w:b/>
        </w:rPr>
        <w:t xml:space="preserve">: </w:t>
      </w:r>
    </w:p>
    <w:p w14:paraId="093F4A1B" w14:textId="77777777" w:rsidR="00F45F34" w:rsidRDefault="00F45F34" w:rsidP="00F45F34">
      <w:pPr>
        <w:pStyle w:val="ListParagraph"/>
        <w:numPr>
          <w:ilvl w:val="0"/>
          <w:numId w:val="0"/>
        </w:numPr>
        <w:ind w:left="720"/>
        <w:rPr>
          <w:i/>
        </w:rPr>
      </w:pPr>
    </w:p>
    <w:p w14:paraId="5C0AB5E3" w14:textId="77777777" w:rsidR="00F45F34" w:rsidRDefault="007A79F4" w:rsidP="00F45F34">
      <w:pPr>
        <w:pStyle w:val="ListParagraph"/>
        <w:numPr>
          <w:ilvl w:val="0"/>
          <w:numId w:val="0"/>
        </w:numPr>
        <w:ind w:left="720"/>
        <w:rPr>
          <w:b/>
          <w:i/>
        </w:rPr>
      </w:pPr>
      <w:r>
        <w:t xml:space="preserve">These are analytes that according to CLIA </w:t>
      </w:r>
      <w:r w:rsidRPr="00C86767">
        <w:t>require a laboratory to enroll in and successfully participate in a C</w:t>
      </w:r>
      <w:r w:rsidRPr="00C86767">
        <w:t>MS approved proficiency testing program</w:t>
      </w:r>
      <w:r>
        <w:t>. For the list of regulated analytes, r</w:t>
      </w:r>
      <w:r w:rsidRPr="00B24E08">
        <w:t xml:space="preserve">efer to </w:t>
      </w:r>
      <w:r w:rsidRPr="00804CAE">
        <w:rPr>
          <w:i/>
        </w:rPr>
        <w:t>Attachment C:</w:t>
      </w:r>
      <w:r w:rsidRPr="00B24E08">
        <w:rPr>
          <w:i/>
        </w:rPr>
        <w:t xml:space="preserve"> List of Non-Waived Testing for Which PT is Required</w:t>
      </w:r>
      <w:r>
        <w:t xml:space="preserve">. </w:t>
      </w:r>
    </w:p>
    <w:p w14:paraId="21F0BBA1" w14:textId="77777777" w:rsidR="00F45F34" w:rsidRDefault="00F45F34" w:rsidP="00F45F34">
      <w:pPr>
        <w:pStyle w:val="ListParagraph"/>
        <w:numPr>
          <w:ilvl w:val="0"/>
          <w:numId w:val="0"/>
        </w:numPr>
        <w:ind w:left="720"/>
        <w:rPr>
          <w:b/>
          <w:i/>
        </w:rPr>
      </w:pPr>
    </w:p>
    <w:p w14:paraId="2B5AD420" w14:textId="77777777" w:rsidR="00F45F34" w:rsidRPr="0085714B" w:rsidRDefault="007A79F4" w:rsidP="00F45F34">
      <w:pPr>
        <w:pStyle w:val="ListParagraph"/>
        <w:numPr>
          <w:ilvl w:val="0"/>
          <w:numId w:val="0"/>
        </w:numPr>
        <w:ind w:left="720"/>
        <w:rPr>
          <w:b/>
        </w:rPr>
      </w:pPr>
      <w:r w:rsidRPr="0085714B">
        <w:rPr>
          <w:b/>
          <w:i/>
        </w:rPr>
        <w:t>***If PT materials are available to be purchased for regulated analytes, then purchase is required vs</w:t>
      </w:r>
      <w:r w:rsidRPr="0085714B">
        <w:rPr>
          <w:b/>
          <w:i/>
        </w:rPr>
        <w:t>. an alternative assessment.</w:t>
      </w:r>
    </w:p>
    <w:p w14:paraId="568891C9" w14:textId="1B852FCC" w:rsidR="00F45F34" w:rsidRDefault="007A79F4" w:rsidP="00F45F34">
      <w:pPr>
        <w:pStyle w:val="Style1"/>
      </w:pPr>
      <w:r>
        <w:lastRenderedPageBreak/>
        <w:t>Annually (by December 1) all purchased PT materials for regulated analytes will be reviewed by Section Managers and Section Medical Directors to ensure ALL tests performed are accounted for.</w:t>
      </w:r>
    </w:p>
    <w:p w14:paraId="5F8767A5" w14:textId="77777777" w:rsidR="00F44E83" w:rsidRDefault="00F44E83" w:rsidP="00F44E83">
      <w:pPr>
        <w:pStyle w:val="Style1"/>
        <w:numPr>
          <w:ilvl w:val="0"/>
          <w:numId w:val="0"/>
        </w:numPr>
        <w:ind w:left="720"/>
      </w:pPr>
    </w:p>
    <w:p w14:paraId="3D35DD52" w14:textId="77777777" w:rsidR="00F45F34" w:rsidRDefault="007A79F4" w:rsidP="00F45F34">
      <w:pPr>
        <w:pStyle w:val="Style1"/>
      </w:pPr>
      <w:r w:rsidRPr="0085714B">
        <w:rPr>
          <w:b/>
        </w:rPr>
        <w:t>Unregulated Analytes:</w:t>
      </w:r>
      <w:r>
        <w:t xml:space="preserve"> </w:t>
      </w:r>
    </w:p>
    <w:p w14:paraId="567866C8" w14:textId="77777777" w:rsidR="00F45F34" w:rsidRDefault="00F45F34" w:rsidP="00F45F34">
      <w:pPr>
        <w:pStyle w:val="ListParagraph"/>
        <w:numPr>
          <w:ilvl w:val="0"/>
          <w:numId w:val="0"/>
        </w:numPr>
        <w:ind w:left="360"/>
      </w:pPr>
    </w:p>
    <w:p w14:paraId="640BF83F" w14:textId="77777777" w:rsidR="00F45F34" w:rsidRDefault="007A79F4" w:rsidP="00F45F34">
      <w:pPr>
        <w:pStyle w:val="Style1"/>
        <w:numPr>
          <w:ilvl w:val="0"/>
          <w:numId w:val="0"/>
        </w:numPr>
        <w:ind w:left="720"/>
      </w:pPr>
      <w:r>
        <w:t>PT provider</w:t>
      </w:r>
      <w:r>
        <w:t xml:space="preserve">s or PT Programs may offer purchased materials for some unregulated analytes as well. If any areas choose to purchase these materials for unregulated tests they may do so at the same time. </w:t>
      </w:r>
    </w:p>
    <w:p w14:paraId="3A3F70D0" w14:textId="77777777" w:rsidR="00F45F34" w:rsidRDefault="00F45F34" w:rsidP="00F45F34">
      <w:pPr>
        <w:pStyle w:val="ListParagraph"/>
        <w:numPr>
          <w:ilvl w:val="0"/>
          <w:numId w:val="0"/>
        </w:numPr>
        <w:ind w:left="360"/>
      </w:pPr>
    </w:p>
    <w:p w14:paraId="2ED7B2EE" w14:textId="77777777" w:rsidR="00F45F34" w:rsidRPr="00287164" w:rsidRDefault="007A79F4" w:rsidP="00F45F34">
      <w:pPr>
        <w:pStyle w:val="Style1"/>
        <w:rPr>
          <w:b/>
        </w:rPr>
      </w:pPr>
      <w:r w:rsidRPr="00287164">
        <w:rPr>
          <w:b/>
        </w:rPr>
        <w:t>PT order forms:</w:t>
      </w:r>
    </w:p>
    <w:p w14:paraId="23F8265C" w14:textId="77777777" w:rsidR="00F45F34" w:rsidRDefault="00F45F34" w:rsidP="00F45F34">
      <w:pPr>
        <w:pStyle w:val="ListParagraph"/>
        <w:numPr>
          <w:ilvl w:val="0"/>
          <w:numId w:val="0"/>
        </w:numPr>
        <w:ind w:left="360"/>
      </w:pPr>
    </w:p>
    <w:p w14:paraId="01E45F5B" w14:textId="77777777" w:rsidR="00F45F34" w:rsidRDefault="007A79F4" w:rsidP="00F45F34">
      <w:pPr>
        <w:pStyle w:val="Style2"/>
        <w:numPr>
          <w:ilvl w:val="0"/>
          <w:numId w:val="17"/>
        </w:numPr>
      </w:pPr>
      <w:r>
        <w:t xml:space="preserve">All purchased PT orders will be prepared by the </w:t>
      </w:r>
      <w:r>
        <w:t xml:space="preserve">Section Manager. </w:t>
      </w:r>
    </w:p>
    <w:p w14:paraId="312AE7EC" w14:textId="77777777" w:rsidR="00F45F34" w:rsidRDefault="00F45F34" w:rsidP="00F44E83">
      <w:pPr>
        <w:pStyle w:val="Style2"/>
        <w:numPr>
          <w:ilvl w:val="0"/>
          <w:numId w:val="0"/>
        </w:numPr>
        <w:ind w:left="1080"/>
      </w:pPr>
    </w:p>
    <w:p w14:paraId="5610159D" w14:textId="77777777" w:rsidR="00F45F34" w:rsidRDefault="007A79F4" w:rsidP="00F45F34">
      <w:pPr>
        <w:pStyle w:val="Style2"/>
        <w:numPr>
          <w:ilvl w:val="0"/>
          <w:numId w:val="17"/>
        </w:numPr>
      </w:pPr>
      <w:r>
        <w:t xml:space="preserve">After order forms are completed, they should be forwarded to the </w:t>
      </w:r>
      <w:r w:rsidRPr="001A06E4">
        <w:t>Senior Administrative Assistant</w:t>
      </w:r>
      <w:r w:rsidRPr="00287164">
        <w:t xml:space="preserve"> in Lab Administration.</w:t>
      </w:r>
      <w:r>
        <w:t xml:space="preserve"> She will be responsible for processing the requests for payment and ensuring that each order is applied to the appropriate lab department for budget purposes. </w:t>
      </w:r>
    </w:p>
    <w:p w14:paraId="421A0073" w14:textId="77777777" w:rsidR="00F45F34" w:rsidRDefault="00F45F34" w:rsidP="00F45F34">
      <w:pPr>
        <w:pStyle w:val="ListParagraph"/>
        <w:numPr>
          <w:ilvl w:val="0"/>
          <w:numId w:val="0"/>
        </w:numPr>
        <w:ind w:left="360"/>
      </w:pPr>
    </w:p>
    <w:p w14:paraId="7A902280" w14:textId="77777777" w:rsidR="00F45F34" w:rsidRDefault="007A79F4" w:rsidP="00F45F34">
      <w:pPr>
        <w:pStyle w:val="Style2"/>
        <w:numPr>
          <w:ilvl w:val="0"/>
          <w:numId w:val="17"/>
        </w:numPr>
      </w:pPr>
      <w:r>
        <w:t xml:space="preserve">Section Manager will review the </w:t>
      </w:r>
      <w:r w:rsidRPr="001A06E4">
        <w:t>order</w:t>
      </w:r>
      <w:r w:rsidRPr="002B2FFF">
        <w:t xml:space="preserve"> for accuracy and completeness </w:t>
      </w:r>
      <w:r>
        <w:t xml:space="preserve">after the orders has been </w:t>
      </w:r>
      <w:r>
        <w:t xml:space="preserve">placed and will provide a copy of the completed PT order form to </w:t>
      </w:r>
      <w:r w:rsidRPr="00354570">
        <w:t>the Quality, Safety &amp; Accreditation Director, or</w:t>
      </w:r>
      <w:r>
        <w:t xml:space="preserve"> their delegate.</w:t>
      </w:r>
    </w:p>
    <w:p w14:paraId="068889D4" w14:textId="77777777" w:rsidR="00F45F34" w:rsidRDefault="00F45F34" w:rsidP="00F45F34">
      <w:pPr>
        <w:pStyle w:val="ListParagraph"/>
        <w:numPr>
          <w:ilvl w:val="0"/>
          <w:numId w:val="0"/>
        </w:numPr>
        <w:ind w:left="360"/>
      </w:pPr>
    </w:p>
    <w:p w14:paraId="3F1C5146" w14:textId="77777777" w:rsidR="00F45F34" w:rsidRPr="00D340EE" w:rsidRDefault="007A79F4" w:rsidP="00F45F34">
      <w:pPr>
        <w:pStyle w:val="Style1"/>
      </w:pPr>
      <w:r w:rsidRPr="00D340EE">
        <w:t>For Predictive Marker testing using immunohistochemistry and in situ hybridization</w:t>
      </w:r>
    </w:p>
    <w:p w14:paraId="3C66BA4E" w14:textId="77777777" w:rsidR="00F45F34" w:rsidRDefault="007A79F4" w:rsidP="00F44E83">
      <w:pPr>
        <w:pStyle w:val="Style2"/>
        <w:numPr>
          <w:ilvl w:val="0"/>
          <w:numId w:val="0"/>
        </w:numPr>
        <w:ind w:left="720"/>
        <w:rPr>
          <w:i/>
        </w:rPr>
      </w:pPr>
      <w:r w:rsidRPr="00D340EE">
        <w:t xml:space="preserve">methods, refer to </w:t>
      </w:r>
      <w:r w:rsidRPr="00AE6A3C">
        <w:t>CAP Standard</w:t>
      </w:r>
      <w:r>
        <w:t xml:space="preserve"> </w:t>
      </w:r>
      <w:r w:rsidRPr="00287164">
        <w:rPr>
          <w:i/>
        </w:rPr>
        <w:t>COM.01520</w:t>
      </w:r>
      <w:r>
        <w:t xml:space="preserve"> </w:t>
      </w:r>
      <w:r w:rsidRPr="00064A9A">
        <w:rPr>
          <w:i/>
        </w:rPr>
        <w:t xml:space="preserve"> </w:t>
      </w:r>
      <w:r w:rsidRPr="00D340EE">
        <w:t xml:space="preserve">for PT </w:t>
      </w:r>
      <w:r>
        <w:t xml:space="preserve">or </w:t>
      </w:r>
      <w:r w:rsidRPr="00D340EE">
        <w:t>alternative performance assessment requirements</w:t>
      </w:r>
      <w:r>
        <w:t xml:space="preserve">, </w:t>
      </w:r>
      <w:r w:rsidRPr="00287164">
        <w:t>see</w:t>
      </w:r>
      <w:r>
        <w:rPr>
          <w:i/>
        </w:rPr>
        <w:t xml:space="preserve"> </w:t>
      </w:r>
      <w:hyperlink w:anchor="Predictivearker" w:history="1">
        <w:r w:rsidRPr="00247A03">
          <w:rPr>
            <w:rStyle w:val="Hyperlink"/>
            <w:i/>
          </w:rPr>
          <w:t>section B #</w:t>
        </w:r>
      </w:hyperlink>
      <w:r>
        <w:rPr>
          <w:rStyle w:val="Hyperlink"/>
          <w:i/>
        </w:rPr>
        <w:t>6</w:t>
      </w:r>
      <w:r>
        <w:rPr>
          <w:i/>
        </w:rPr>
        <w:t xml:space="preserve"> </w:t>
      </w:r>
      <w:r w:rsidRPr="00287164">
        <w:t>below</w:t>
      </w:r>
      <w:r>
        <w:rPr>
          <w:i/>
        </w:rPr>
        <w:t>.</w:t>
      </w:r>
    </w:p>
    <w:p w14:paraId="4C060DF0" w14:textId="77777777" w:rsidR="00F45F34" w:rsidRDefault="00F45F34" w:rsidP="00E04AAB">
      <w:pPr>
        <w:pStyle w:val="Style2"/>
        <w:numPr>
          <w:ilvl w:val="0"/>
          <w:numId w:val="0"/>
        </w:numPr>
        <w:ind w:left="1080"/>
      </w:pPr>
    </w:p>
    <w:p w14:paraId="1F519498" w14:textId="77777777" w:rsidR="00F45F34" w:rsidRDefault="007A79F4" w:rsidP="00F45F34">
      <w:pPr>
        <w:pStyle w:val="ListParagraph"/>
        <w:numPr>
          <w:ilvl w:val="0"/>
          <w:numId w:val="14"/>
        </w:numPr>
        <w:rPr>
          <w:b/>
        </w:rPr>
      </w:pPr>
      <w:bookmarkStart w:id="1" w:name="AlternativePT"/>
      <w:bookmarkEnd w:id="1"/>
      <w:r w:rsidRPr="005C0EB7">
        <w:rPr>
          <w:b/>
        </w:rPr>
        <w:t xml:space="preserve">Acceptable </w:t>
      </w:r>
      <w:r>
        <w:rPr>
          <w:b/>
        </w:rPr>
        <w:t>A</w:t>
      </w:r>
      <w:r w:rsidRPr="005C0EB7">
        <w:rPr>
          <w:b/>
        </w:rPr>
        <w:t>lternative PT methods (</w:t>
      </w:r>
      <w:r w:rsidRPr="00287164">
        <w:rPr>
          <w:b/>
          <w:i/>
        </w:rPr>
        <w:t>CAP COM.01500</w:t>
      </w:r>
      <w:r w:rsidRPr="005C0EB7">
        <w:rPr>
          <w:b/>
        </w:rPr>
        <w:t>):</w:t>
      </w:r>
    </w:p>
    <w:p w14:paraId="17BE4DFC" w14:textId="77777777" w:rsidR="00F45F34" w:rsidRDefault="00F45F34" w:rsidP="00F45F34">
      <w:pPr>
        <w:pStyle w:val="ListParagraph"/>
        <w:numPr>
          <w:ilvl w:val="0"/>
          <w:numId w:val="0"/>
        </w:numPr>
        <w:ind w:left="360"/>
        <w:rPr>
          <w:b/>
        </w:rPr>
      </w:pPr>
    </w:p>
    <w:p w14:paraId="7AC269F3" w14:textId="77777777" w:rsidR="00F45F34" w:rsidRPr="005C0EB7" w:rsidRDefault="007A79F4" w:rsidP="00F45F34">
      <w:pPr>
        <w:pStyle w:val="Style1"/>
        <w:numPr>
          <w:ilvl w:val="0"/>
          <w:numId w:val="0"/>
        </w:numPr>
        <w:ind w:left="360"/>
        <w:rPr>
          <w:b/>
        </w:rPr>
      </w:pPr>
      <w:r w:rsidRPr="00287164">
        <w:t xml:space="preserve">Semiannual alternative performance assessment must </w:t>
      </w:r>
      <w:r>
        <w:t xml:space="preserve">be performed on tests for which </w:t>
      </w:r>
      <w:r w:rsidRPr="00287164">
        <w:t>ex</w:t>
      </w:r>
      <w:r w:rsidRPr="00287164">
        <w:t>ternal PT is not available.</w:t>
      </w:r>
      <w:r>
        <w:t xml:space="preserve"> This</w:t>
      </w:r>
      <w:r w:rsidRPr="00287164">
        <w:t xml:space="preserve"> requirement applies to both waived and nonwaived tests.</w:t>
      </w:r>
      <w:r>
        <w:t xml:space="preserve"> Acceptable alternative assessment includes:</w:t>
      </w:r>
    </w:p>
    <w:p w14:paraId="0F679255" w14:textId="77777777" w:rsidR="00F45F34" w:rsidRDefault="00F45F34" w:rsidP="00F93401">
      <w:pPr>
        <w:pStyle w:val="Style2"/>
        <w:numPr>
          <w:ilvl w:val="0"/>
          <w:numId w:val="0"/>
        </w:numPr>
        <w:ind w:left="720"/>
      </w:pPr>
    </w:p>
    <w:p w14:paraId="13656E85" w14:textId="77777777" w:rsidR="00F45F34" w:rsidRDefault="007A79F4" w:rsidP="00F45F34">
      <w:pPr>
        <w:pStyle w:val="Style1"/>
        <w:numPr>
          <w:ilvl w:val="0"/>
          <w:numId w:val="16"/>
        </w:numPr>
      </w:pPr>
      <w:r w:rsidRPr="0055446D">
        <w:rPr>
          <w:b/>
        </w:rPr>
        <w:t>Duplicate/Split Sample testing</w:t>
      </w:r>
      <w:r>
        <w:t xml:space="preserve"> – In which a single sample is divided into aliquots where one aliquot is tested on a partic</w:t>
      </w:r>
      <w:r>
        <w:t>ular assay system or by a particular analyst, other aliquots are tested on other instruments or by other analysts and the results are compared.</w:t>
      </w:r>
    </w:p>
    <w:p w14:paraId="354D9B2A" w14:textId="77777777" w:rsidR="00F45F34" w:rsidRDefault="00F45F34" w:rsidP="00F93401">
      <w:pPr>
        <w:pStyle w:val="Style2"/>
        <w:numPr>
          <w:ilvl w:val="0"/>
          <w:numId w:val="0"/>
        </w:numPr>
        <w:ind w:left="720"/>
      </w:pPr>
    </w:p>
    <w:p w14:paraId="7D467298" w14:textId="77777777" w:rsidR="00F45F34" w:rsidRPr="0055446D" w:rsidRDefault="007A79F4" w:rsidP="00F45F34">
      <w:pPr>
        <w:pStyle w:val="Style1"/>
        <w:numPr>
          <w:ilvl w:val="0"/>
          <w:numId w:val="16"/>
        </w:numPr>
        <w:rPr>
          <w:b/>
        </w:rPr>
      </w:pPr>
      <w:r w:rsidRPr="0055446D">
        <w:rPr>
          <w:b/>
        </w:rPr>
        <w:t>CLIA Certified Lab to Lab Comparison</w:t>
      </w:r>
    </w:p>
    <w:p w14:paraId="12A73758" w14:textId="77777777" w:rsidR="00F45F34" w:rsidRDefault="007A79F4" w:rsidP="00F93401">
      <w:pPr>
        <w:pStyle w:val="Style2"/>
        <w:numPr>
          <w:ilvl w:val="0"/>
          <w:numId w:val="0"/>
        </w:numPr>
        <w:ind w:left="720"/>
      </w:pPr>
      <w:r>
        <w:t xml:space="preserve">Every six months, the laboratory sends five specimens to a CLIA-certified </w:t>
      </w:r>
      <w:r>
        <w:t>reference laboratory to compare results with its own laboratory.</w:t>
      </w:r>
    </w:p>
    <w:p w14:paraId="3402E3D7" w14:textId="77777777" w:rsidR="00F45F34" w:rsidRDefault="00F45F34" w:rsidP="00F93401">
      <w:pPr>
        <w:pStyle w:val="Style2"/>
        <w:numPr>
          <w:ilvl w:val="0"/>
          <w:numId w:val="0"/>
        </w:numPr>
        <w:ind w:left="720"/>
      </w:pPr>
    </w:p>
    <w:p w14:paraId="6DEB83C6" w14:textId="77777777" w:rsidR="00F45F34" w:rsidRPr="00AE6A3C" w:rsidRDefault="007A79F4" w:rsidP="00F45F34">
      <w:pPr>
        <w:pStyle w:val="Style1"/>
        <w:numPr>
          <w:ilvl w:val="0"/>
          <w:numId w:val="16"/>
        </w:numPr>
        <w:rPr>
          <w:b/>
        </w:rPr>
      </w:pPr>
      <w:r w:rsidRPr="00AE6A3C">
        <w:rPr>
          <w:b/>
        </w:rPr>
        <w:t>Interlaboratory Quality Control comparison</w:t>
      </w:r>
    </w:p>
    <w:p w14:paraId="7F2B2682" w14:textId="77777777" w:rsidR="00F45F34" w:rsidRDefault="007A79F4" w:rsidP="00F45F34">
      <w:pPr>
        <w:ind w:left="720"/>
      </w:pPr>
      <w:r w:rsidRPr="00372D6D">
        <w:t xml:space="preserve">Interlaboratory quality control results are used to verify the </w:t>
      </w:r>
      <w:r>
        <w:t>c</w:t>
      </w:r>
      <w:r w:rsidRPr="00372D6D">
        <w:t>ontinuing</w:t>
      </w:r>
      <w:r>
        <w:t xml:space="preserve"> </w:t>
      </w:r>
      <w:r w:rsidRPr="00372D6D">
        <w:t xml:space="preserve">reliability of the tests not included in the proficiency testing program </w:t>
      </w:r>
      <w:r w:rsidRPr="00372D6D">
        <w:t>(for example, peer comparisons).</w:t>
      </w:r>
    </w:p>
    <w:p w14:paraId="35713280" w14:textId="77777777" w:rsidR="00F45F34" w:rsidRDefault="00F45F34" w:rsidP="00F45F34"/>
    <w:p w14:paraId="52AB3A48" w14:textId="77777777" w:rsidR="00F45F34" w:rsidRPr="00FA3DD3" w:rsidRDefault="007A79F4" w:rsidP="00F45F34">
      <w:pPr>
        <w:pStyle w:val="Style1"/>
        <w:numPr>
          <w:ilvl w:val="0"/>
          <w:numId w:val="16"/>
        </w:numPr>
      </w:pPr>
      <w:r w:rsidRPr="00FA3DD3">
        <w:rPr>
          <w:b/>
        </w:rPr>
        <w:t>Microscopic Testing</w:t>
      </w:r>
    </w:p>
    <w:p w14:paraId="0DE7B792" w14:textId="77777777" w:rsidR="00F45F34" w:rsidRDefault="007A79F4" w:rsidP="00F45F34">
      <w:pPr>
        <w:ind w:left="720"/>
      </w:pPr>
      <w:r w:rsidRPr="00372D6D">
        <w:t>The technical supervisor of the lab retests random samples</w:t>
      </w:r>
      <w:r>
        <w:t xml:space="preserve"> </w:t>
      </w:r>
      <w:r w:rsidRPr="00372D6D">
        <w:t>throughout the year to cover all testing staff.</w:t>
      </w:r>
    </w:p>
    <w:p w14:paraId="0D7A2699" w14:textId="77777777" w:rsidR="00F45F34" w:rsidRDefault="00F45F34" w:rsidP="00F93401">
      <w:pPr>
        <w:pStyle w:val="Style2"/>
        <w:numPr>
          <w:ilvl w:val="0"/>
          <w:numId w:val="0"/>
        </w:numPr>
        <w:ind w:left="720"/>
      </w:pPr>
    </w:p>
    <w:p w14:paraId="222764CB" w14:textId="77777777" w:rsidR="00F45F34" w:rsidRDefault="007A79F4" w:rsidP="00F45F34">
      <w:pPr>
        <w:pStyle w:val="Style1"/>
        <w:numPr>
          <w:ilvl w:val="0"/>
          <w:numId w:val="16"/>
        </w:numPr>
        <w:rPr>
          <w:b/>
        </w:rPr>
      </w:pPr>
      <w:r w:rsidRPr="00FA3DD3">
        <w:rPr>
          <w:b/>
        </w:rPr>
        <w:t>Anatomical Pathology</w:t>
      </w:r>
    </w:p>
    <w:p w14:paraId="5C5295D6" w14:textId="77777777" w:rsidR="00F45F34" w:rsidRPr="00FA3DD3" w:rsidRDefault="00F45F34" w:rsidP="00F45F34">
      <w:pPr>
        <w:pStyle w:val="Style1"/>
        <w:numPr>
          <w:ilvl w:val="0"/>
          <w:numId w:val="0"/>
        </w:numPr>
        <w:ind w:left="720"/>
        <w:rPr>
          <w:b/>
        </w:rPr>
      </w:pPr>
    </w:p>
    <w:p w14:paraId="674B27A1" w14:textId="77777777" w:rsidR="00F45F34" w:rsidRDefault="007A79F4" w:rsidP="00F45F34">
      <w:pPr>
        <w:pStyle w:val="Style2"/>
        <w:numPr>
          <w:ilvl w:val="0"/>
          <w:numId w:val="18"/>
        </w:numPr>
      </w:pPr>
      <w:r w:rsidRPr="00E873C0">
        <w:t>Peer review of interpretation of slides</w:t>
      </w:r>
    </w:p>
    <w:p w14:paraId="493C331D" w14:textId="77777777" w:rsidR="00F45F34" w:rsidRPr="00E873C0" w:rsidRDefault="00F45F34" w:rsidP="00F93401">
      <w:pPr>
        <w:pStyle w:val="Style2"/>
        <w:numPr>
          <w:ilvl w:val="0"/>
          <w:numId w:val="0"/>
        </w:numPr>
        <w:ind w:left="1080"/>
      </w:pPr>
    </w:p>
    <w:p w14:paraId="2581C165" w14:textId="7A7FC090" w:rsidR="00F45F34" w:rsidRDefault="007A79F4" w:rsidP="00F45F34">
      <w:pPr>
        <w:pStyle w:val="Style2"/>
        <w:numPr>
          <w:ilvl w:val="0"/>
          <w:numId w:val="18"/>
        </w:numPr>
      </w:pPr>
      <w:r w:rsidRPr="00E873C0">
        <w:t>Peer review at case level inclu</w:t>
      </w:r>
      <w:r w:rsidRPr="00E873C0">
        <w:t xml:space="preserve">ding diagnosis </w:t>
      </w:r>
    </w:p>
    <w:p w14:paraId="120B5DE2" w14:textId="77777777" w:rsidR="00E04AAB" w:rsidRDefault="00E04AAB" w:rsidP="00E04AAB">
      <w:pPr>
        <w:pStyle w:val="Style2"/>
        <w:numPr>
          <w:ilvl w:val="0"/>
          <w:numId w:val="0"/>
        </w:numPr>
        <w:ind w:left="1080"/>
      </w:pPr>
    </w:p>
    <w:p w14:paraId="7DE4FBB5" w14:textId="77777777" w:rsidR="00F45F34" w:rsidRDefault="007A79F4" w:rsidP="00F45F34">
      <w:pPr>
        <w:pStyle w:val="Style1"/>
      </w:pPr>
      <w:bookmarkStart w:id="2" w:name="Predictivearker"/>
      <w:bookmarkEnd w:id="2"/>
      <w:r w:rsidRPr="00287164">
        <w:rPr>
          <w:b/>
        </w:rPr>
        <w:t xml:space="preserve">IHC and ISH Predictive Marker PT and Alternative Performance Assessment </w:t>
      </w:r>
      <w:r w:rsidRPr="005C7461">
        <w:rPr>
          <w:b/>
        </w:rPr>
        <w:t>(</w:t>
      </w:r>
      <w:r w:rsidRPr="00287164">
        <w:rPr>
          <w:b/>
          <w:i/>
        </w:rPr>
        <w:t>CAP COM.01520</w:t>
      </w:r>
      <w:r w:rsidRPr="005C7461">
        <w:rPr>
          <w:b/>
        </w:rPr>
        <w:t>):</w:t>
      </w:r>
    </w:p>
    <w:p w14:paraId="54993B8D" w14:textId="77777777" w:rsidR="00F45F34" w:rsidRPr="00AD6497" w:rsidRDefault="00F45F34" w:rsidP="00F45F34">
      <w:pPr>
        <w:pStyle w:val="Style1"/>
        <w:numPr>
          <w:ilvl w:val="0"/>
          <w:numId w:val="0"/>
        </w:numPr>
        <w:ind w:left="720"/>
        <w:rPr>
          <w:b/>
        </w:rPr>
      </w:pPr>
    </w:p>
    <w:p w14:paraId="158E602D" w14:textId="77777777" w:rsidR="00F45F34" w:rsidRDefault="007A79F4" w:rsidP="00F45F34">
      <w:pPr>
        <w:pStyle w:val="Style1"/>
        <w:numPr>
          <w:ilvl w:val="0"/>
          <w:numId w:val="0"/>
        </w:numPr>
        <w:ind w:left="720"/>
      </w:pPr>
      <w:r>
        <w:t xml:space="preserve">The term predictive marker is used to refer to </w:t>
      </w:r>
      <w:r w:rsidRPr="00760894">
        <w:t xml:space="preserve">immunohistochemical </w:t>
      </w:r>
      <w:r>
        <w:t xml:space="preserve">(IHC), immunocytochemical, and </w:t>
      </w:r>
      <w:r w:rsidRPr="00E5047D">
        <w:t xml:space="preserve">in situ hybridization </w:t>
      </w:r>
      <w:r>
        <w:t>(ISH) tests used to predict r</w:t>
      </w:r>
      <w:r>
        <w:t>esponsiveness to a specific treatment independent of other histopathologic findings. Rather than confirming a specific diagnosis, these tests differentiate predicted responsiveness to a target therapy.</w:t>
      </w:r>
      <w:r w:rsidRPr="00CD4F7C">
        <w:t xml:space="preserve">  </w:t>
      </w:r>
    </w:p>
    <w:p w14:paraId="120C4A8F" w14:textId="77777777" w:rsidR="00F45F34" w:rsidRDefault="00F45F34" w:rsidP="00F45F34">
      <w:pPr>
        <w:pStyle w:val="Style1"/>
        <w:numPr>
          <w:ilvl w:val="0"/>
          <w:numId w:val="0"/>
        </w:numPr>
        <w:ind w:left="720"/>
      </w:pPr>
    </w:p>
    <w:p w14:paraId="7C9509DE" w14:textId="77777777" w:rsidR="00F45F34" w:rsidRDefault="007A79F4" w:rsidP="00F45F34">
      <w:pPr>
        <w:pStyle w:val="Style1"/>
        <w:numPr>
          <w:ilvl w:val="0"/>
          <w:numId w:val="0"/>
        </w:numPr>
        <w:ind w:left="720"/>
      </w:pPr>
      <w:r w:rsidRPr="00CD4F7C">
        <w:t>The following requirements for participation in pro</w:t>
      </w:r>
      <w:r w:rsidRPr="00CD4F7C">
        <w:t xml:space="preserve">ficiency testing or alternative performance assessment must be followed: </w:t>
      </w:r>
    </w:p>
    <w:p w14:paraId="7CA87325" w14:textId="77777777" w:rsidR="00F45F34" w:rsidRDefault="00F45F34" w:rsidP="00F45F34">
      <w:pPr>
        <w:pStyle w:val="Style1"/>
        <w:numPr>
          <w:ilvl w:val="0"/>
          <w:numId w:val="0"/>
        </w:numPr>
        <w:ind w:left="720"/>
      </w:pPr>
    </w:p>
    <w:p w14:paraId="6556490D" w14:textId="77777777" w:rsidR="00F45F34" w:rsidRDefault="007A79F4" w:rsidP="00F45F34">
      <w:pPr>
        <w:pStyle w:val="Style2"/>
        <w:numPr>
          <w:ilvl w:val="0"/>
          <w:numId w:val="30"/>
        </w:numPr>
      </w:pPr>
      <w:r>
        <w:t>Predictive marker IHC interpretation - For analytes where participation in CAP</w:t>
      </w:r>
    </w:p>
    <w:p w14:paraId="3A3D663E" w14:textId="77777777" w:rsidR="00F45F34" w:rsidRDefault="007A79F4" w:rsidP="00F93401">
      <w:pPr>
        <w:pStyle w:val="Style2"/>
        <w:numPr>
          <w:ilvl w:val="0"/>
          <w:numId w:val="0"/>
        </w:numPr>
        <w:ind w:left="1080"/>
      </w:pPr>
      <w:r>
        <w:t xml:space="preserve">Surveys or CAP-accepted PT programs is required, IHC slides may be sent to another facility for </w:t>
      </w:r>
      <w:r>
        <w:t>staining only (if needed) and be interpreted at the originating laboratory.</w:t>
      </w:r>
      <w:r w:rsidRPr="00CD4F7C">
        <w:t xml:space="preserve"> </w:t>
      </w:r>
    </w:p>
    <w:p w14:paraId="60882F4A" w14:textId="77777777" w:rsidR="00F45F34" w:rsidRDefault="00F45F34" w:rsidP="00F93401">
      <w:pPr>
        <w:pStyle w:val="Style2"/>
        <w:numPr>
          <w:ilvl w:val="0"/>
          <w:numId w:val="0"/>
        </w:numPr>
        <w:ind w:left="1080"/>
      </w:pPr>
    </w:p>
    <w:p w14:paraId="638B10C2" w14:textId="77777777" w:rsidR="00F45F34" w:rsidRDefault="007A79F4" w:rsidP="00F45F34">
      <w:pPr>
        <w:pStyle w:val="Style2"/>
        <w:numPr>
          <w:ilvl w:val="0"/>
          <w:numId w:val="30"/>
        </w:numPr>
      </w:pPr>
      <w:r>
        <w:t>Predictive marker ISH interpretation - For analytes where participation in</w:t>
      </w:r>
    </w:p>
    <w:p w14:paraId="690ECB60" w14:textId="77777777" w:rsidR="00F45F34" w:rsidRDefault="007A79F4" w:rsidP="00F93401">
      <w:pPr>
        <w:pStyle w:val="Style2"/>
        <w:numPr>
          <w:ilvl w:val="0"/>
          <w:numId w:val="0"/>
        </w:numPr>
        <w:ind w:left="1080"/>
      </w:pPr>
      <w:r>
        <w:t>CAP Surveys or CAP-accepted PT programs is required, hybridization (ISH)</w:t>
      </w:r>
    </w:p>
    <w:p w14:paraId="779D071A" w14:textId="77777777" w:rsidR="00F45F34" w:rsidRDefault="007A79F4" w:rsidP="00F93401">
      <w:pPr>
        <w:pStyle w:val="Style2"/>
        <w:numPr>
          <w:ilvl w:val="0"/>
          <w:numId w:val="0"/>
        </w:numPr>
        <w:ind w:left="1080"/>
      </w:pPr>
      <w:r>
        <w:t xml:space="preserve">must be performed at the same </w:t>
      </w:r>
      <w:r>
        <w:t>laboratory performing the interpretation. If hybridization and interpretation are performed at different laboratories, the interpreting laboratory must perform alternative performance assessment at least semiannually and must not participate in formal (ext</w:t>
      </w:r>
      <w:r>
        <w:t>ernal) PT.</w:t>
      </w:r>
      <w:r w:rsidRPr="00CD4F7C">
        <w:t xml:space="preserve">  </w:t>
      </w:r>
    </w:p>
    <w:p w14:paraId="5E26597E" w14:textId="77777777" w:rsidR="00F45F34" w:rsidRDefault="00F45F34" w:rsidP="00F93401">
      <w:pPr>
        <w:pStyle w:val="Style2"/>
        <w:numPr>
          <w:ilvl w:val="0"/>
          <w:numId w:val="0"/>
        </w:numPr>
        <w:ind w:left="1080"/>
      </w:pPr>
    </w:p>
    <w:p w14:paraId="00442A18" w14:textId="77777777" w:rsidR="00F45F34" w:rsidRDefault="007A79F4" w:rsidP="00F45F34">
      <w:pPr>
        <w:pStyle w:val="Style2"/>
        <w:numPr>
          <w:ilvl w:val="0"/>
          <w:numId w:val="30"/>
        </w:numPr>
      </w:pPr>
      <w:r w:rsidRPr="00CD4F7C">
        <w:t>HER2 breast predictive marker ISH interpretation Participation in CAP Surveys or CAP-accepted PT programs is required, unless hybridization (ISH) is performed at a different laboratory (different CAP/CLIA number). If hybridization and interpr</w:t>
      </w:r>
      <w:r w:rsidRPr="00CD4F7C">
        <w:t xml:space="preserve">etation are performed at different laboratories, the interpreting laboratory must perform alternative performance assessment at least semi-annually and must not participate in formal (external) PT. </w:t>
      </w:r>
    </w:p>
    <w:p w14:paraId="520F7CBC" w14:textId="77777777" w:rsidR="00F45F34" w:rsidRDefault="00F45F34" w:rsidP="00F45F34">
      <w:pPr>
        <w:pStyle w:val="ListParagraph"/>
        <w:numPr>
          <w:ilvl w:val="0"/>
          <w:numId w:val="0"/>
        </w:numPr>
        <w:ind w:left="360"/>
      </w:pPr>
    </w:p>
    <w:p w14:paraId="373123F9" w14:textId="77777777" w:rsidR="00F45F34" w:rsidRDefault="007A79F4" w:rsidP="00F45F34">
      <w:pPr>
        <w:pStyle w:val="Style2"/>
        <w:numPr>
          <w:ilvl w:val="0"/>
          <w:numId w:val="30"/>
        </w:numPr>
      </w:pPr>
      <w:r w:rsidRPr="00CD4F7C">
        <w:t>HER2 PT for breast predictive marker testing is method s</w:t>
      </w:r>
      <w:r w:rsidRPr="00CD4F7C">
        <w:t>pecific. Laboratories interpreting HER2 results performed by multiple methods must participate in the required PT or perform alternative performance assessment as described above for each method.</w:t>
      </w:r>
    </w:p>
    <w:p w14:paraId="733DC9FE" w14:textId="77777777" w:rsidR="00F45F34" w:rsidRDefault="00F45F34" w:rsidP="00F45F34">
      <w:pPr>
        <w:pStyle w:val="ListParagraph"/>
        <w:numPr>
          <w:ilvl w:val="0"/>
          <w:numId w:val="0"/>
        </w:numPr>
        <w:ind w:left="360"/>
      </w:pPr>
    </w:p>
    <w:p w14:paraId="247AFA81" w14:textId="77777777" w:rsidR="00F45F34" w:rsidRDefault="007A79F4" w:rsidP="00F45F34">
      <w:pPr>
        <w:pStyle w:val="Style2"/>
        <w:numPr>
          <w:ilvl w:val="0"/>
          <w:numId w:val="30"/>
        </w:numPr>
      </w:pPr>
      <w:r>
        <w:t>Semiannual alternative performance assessment is required f</w:t>
      </w:r>
      <w:r>
        <w:t>or other predictive marker tests for which CAP does not require proficiency testing.</w:t>
      </w:r>
    </w:p>
    <w:p w14:paraId="1CE8E9A0" w14:textId="77777777" w:rsidR="00F45F34" w:rsidRDefault="00F45F34" w:rsidP="00F45F34">
      <w:pPr>
        <w:pStyle w:val="ListParagraph"/>
        <w:numPr>
          <w:ilvl w:val="0"/>
          <w:numId w:val="0"/>
        </w:numPr>
        <w:ind w:left="360"/>
      </w:pPr>
    </w:p>
    <w:p w14:paraId="2E5772E5" w14:textId="77777777" w:rsidR="00F45F34" w:rsidRDefault="007A79F4" w:rsidP="00F93401">
      <w:pPr>
        <w:pStyle w:val="Style2"/>
        <w:numPr>
          <w:ilvl w:val="0"/>
          <w:numId w:val="0"/>
        </w:numPr>
        <w:ind w:left="1080"/>
      </w:pPr>
      <w:r>
        <w:t>Examples of alternative performance assessment include but are not limited to:</w:t>
      </w:r>
    </w:p>
    <w:p w14:paraId="6BDF97E0" w14:textId="77777777" w:rsidR="00F45F34" w:rsidRDefault="00F45F34" w:rsidP="00F93401">
      <w:pPr>
        <w:pStyle w:val="Style2"/>
        <w:numPr>
          <w:ilvl w:val="0"/>
          <w:numId w:val="0"/>
        </w:numPr>
        <w:ind w:left="720"/>
      </w:pPr>
    </w:p>
    <w:p w14:paraId="7BD260A9" w14:textId="77777777" w:rsidR="00F45F34" w:rsidRDefault="007A79F4" w:rsidP="00F45F34">
      <w:pPr>
        <w:pStyle w:val="Style2"/>
        <w:numPr>
          <w:ilvl w:val="0"/>
          <w:numId w:val="19"/>
        </w:numPr>
      </w:pPr>
      <w:r>
        <w:t>Participation in a PT or external assessment program if available (e.g., PD-L1);</w:t>
      </w:r>
    </w:p>
    <w:p w14:paraId="50D33000" w14:textId="77777777" w:rsidR="00F45F34" w:rsidRDefault="00F45F34" w:rsidP="00F93401">
      <w:pPr>
        <w:pStyle w:val="Style2"/>
        <w:numPr>
          <w:ilvl w:val="0"/>
          <w:numId w:val="0"/>
        </w:numPr>
        <w:ind w:left="1440"/>
      </w:pPr>
    </w:p>
    <w:p w14:paraId="50E54C89" w14:textId="77777777" w:rsidR="00F45F34" w:rsidRDefault="007A79F4" w:rsidP="00F45F34">
      <w:pPr>
        <w:pStyle w:val="Style2"/>
        <w:numPr>
          <w:ilvl w:val="0"/>
          <w:numId w:val="19"/>
        </w:numPr>
      </w:pPr>
      <w:r>
        <w:t xml:space="preserve">Split </w:t>
      </w:r>
      <w:r>
        <w:t>sample analysis with another method or another laboratory;</w:t>
      </w:r>
    </w:p>
    <w:p w14:paraId="07B60A20" w14:textId="77777777" w:rsidR="00F45F34" w:rsidRDefault="00F45F34" w:rsidP="00F45F34">
      <w:pPr>
        <w:pStyle w:val="ListParagraph"/>
        <w:numPr>
          <w:ilvl w:val="0"/>
          <w:numId w:val="0"/>
        </w:numPr>
        <w:ind w:left="360"/>
      </w:pPr>
    </w:p>
    <w:p w14:paraId="6DAF25BE" w14:textId="77777777" w:rsidR="00F45F34" w:rsidRPr="00887AE0" w:rsidRDefault="007A79F4" w:rsidP="00F45F34">
      <w:pPr>
        <w:pStyle w:val="Style2"/>
        <w:numPr>
          <w:ilvl w:val="0"/>
          <w:numId w:val="19"/>
        </w:numPr>
      </w:pPr>
      <w:r>
        <w:t>Use of assayed materials, or clinical validation by chart review.</w:t>
      </w:r>
    </w:p>
    <w:p w14:paraId="7347EC19" w14:textId="77777777" w:rsidR="00F45F34" w:rsidRPr="00887AE0" w:rsidRDefault="00F45F34" w:rsidP="00F45F34"/>
    <w:p w14:paraId="29396183" w14:textId="77777777" w:rsidR="00F45F34" w:rsidRDefault="007A79F4" w:rsidP="00F45F34">
      <w:pPr>
        <w:pStyle w:val="Style2"/>
        <w:numPr>
          <w:ilvl w:val="0"/>
          <w:numId w:val="30"/>
        </w:numPr>
      </w:pPr>
      <w:r w:rsidRPr="00E5047D">
        <w:t>For predictive markers performed by methods other than IHC,</w:t>
      </w:r>
      <w:r>
        <w:t xml:space="preserve"> </w:t>
      </w:r>
      <w:r w:rsidRPr="00E5047D">
        <w:t xml:space="preserve">immunocytochemistry, and ISH, refer to </w:t>
      </w:r>
      <w:r w:rsidRPr="00287164">
        <w:rPr>
          <w:i/>
        </w:rPr>
        <w:t>COM.01300 and COM.01500</w:t>
      </w:r>
      <w:r w:rsidRPr="00E5047D">
        <w:t xml:space="preserve">. </w:t>
      </w:r>
    </w:p>
    <w:p w14:paraId="195E9DC2" w14:textId="77777777" w:rsidR="00F45F34" w:rsidRPr="00B40CD8" w:rsidRDefault="00F45F34" w:rsidP="00F45F34"/>
    <w:p w14:paraId="5DD6D3AC" w14:textId="77777777" w:rsidR="00F45F34" w:rsidRDefault="007A79F4" w:rsidP="00F45F34">
      <w:pPr>
        <w:pStyle w:val="Style1"/>
      </w:pPr>
      <w:r w:rsidRPr="00EC1026">
        <w:t>Documentation of the unregulated test</w:t>
      </w:r>
      <w:r>
        <w:t xml:space="preserve"> and </w:t>
      </w:r>
      <w:r w:rsidRPr="00EC1026">
        <w:t xml:space="preserve">method of alternative PT being utilized must clearly </w:t>
      </w:r>
      <w:r>
        <w:t xml:space="preserve">be </w:t>
      </w:r>
      <w:r w:rsidRPr="00EC1026">
        <w:t xml:space="preserve">documented in writing and held in each section. </w:t>
      </w:r>
    </w:p>
    <w:p w14:paraId="1583502B" w14:textId="77777777" w:rsidR="00F45F34" w:rsidRDefault="00F45F34" w:rsidP="00F45F34">
      <w:pPr>
        <w:pStyle w:val="Style1"/>
        <w:numPr>
          <w:ilvl w:val="0"/>
          <w:numId w:val="0"/>
        </w:numPr>
        <w:ind w:left="720"/>
      </w:pPr>
    </w:p>
    <w:p w14:paraId="69A73D90" w14:textId="77777777" w:rsidR="00F45F34" w:rsidRDefault="007A79F4" w:rsidP="00F45F34">
      <w:pPr>
        <w:pStyle w:val="Style1"/>
        <w:numPr>
          <w:ilvl w:val="0"/>
          <w:numId w:val="0"/>
        </w:numPr>
        <w:ind w:left="720"/>
      </w:pPr>
      <w:r w:rsidRPr="00EC1026">
        <w:t xml:space="preserve">*** </w:t>
      </w:r>
      <w:r w:rsidRPr="00287164">
        <w:rPr>
          <w:i/>
        </w:rPr>
        <w:t>Alternative Performance Assessment (APA) Test List</w:t>
      </w:r>
      <w:r w:rsidRPr="00EC1026">
        <w:t xml:space="preserve"> developed by CAP may be used to help laboratories kee</w:t>
      </w:r>
      <w:r w:rsidRPr="00EC1026">
        <w:t>p track of this information</w:t>
      </w:r>
      <w:r>
        <w:t xml:space="preserve">, refer to </w:t>
      </w:r>
      <w:r w:rsidRPr="00287164">
        <w:rPr>
          <w:i/>
        </w:rPr>
        <w:t>CAP COM.01500</w:t>
      </w:r>
      <w:r w:rsidRPr="00EC1026">
        <w:t xml:space="preserve">. This form can be found located on the CAP.org website under e-LAB Solutions Suite and will serve as appropriate documentation. </w:t>
      </w:r>
    </w:p>
    <w:p w14:paraId="4FF1A324" w14:textId="77777777" w:rsidR="00F45F34" w:rsidRDefault="00F45F34" w:rsidP="00F45F34">
      <w:pPr>
        <w:pStyle w:val="Style1"/>
        <w:numPr>
          <w:ilvl w:val="0"/>
          <w:numId w:val="0"/>
        </w:numPr>
        <w:ind w:left="720"/>
      </w:pPr>
    </w:p>
    <w:p w14:paraId="040C7027" w14:textId="77777777" w:rsidR="00F45F34" w:rsidRDefault="007A79F4" w:rsidP="00F45F34">
      <w:pPr>
        <w:pStyle w:val="Style1"/>
      </w:pPr>
      <w:r w:rsidRPr="00EC1026">
        <w:t>Documentation of alternative assessments chosen should be documented in th</w:t>
      </w:r>
      <w:r w:rsidRPr="00EC1026">
        <w:t>e procedure manual along with a method of evaluation of results and defined limits of acceptability for the performance. Corrective actions in response to unacceptable performance to alternative assessments must also be documented and maintained in the sam</w:t>
      </w:r>
      <w:r w:rsidRPr="00EC1026">
        <w:t xml:space="preserve">e manner as purchased PT surveys. </w:t>
      </w:r>
    </w:p>
    <w:p w14:paraId="6C373400" w14:textId="77777777" w:rsidR="00F45F34" w:rsidRDefault="00F45F34" w:rsidP="00F45F34">
      <w:pPr>
        <w:pStyle w:val="Style1"/>
        <w:numPr>
          <w:ilvl w:val="0"/>
          <w:numId w:val="0"/>
        </w:numPr>
        <w:ind w:left="720"/>
      </w:pPr>
    </w:p>
    <w:p w14:paraId="1CD2C7CF" w14:textId="77777777" w:rsidR="00F45F34" w:rsidRDefault="007A79F4" w:rsidP="00F45F34">
      <w:pPr>
        <w:pStyle w:val="Style1"/>
      </w:pPr>
      <w:r w:rsidRPr="00EC1026">
        <w:t>The CLIA Lab Director in conjunction with the Section Medical Director will be responsible for determining the acceptable differences allowed when evaluating the results obtained using alternative assessment methods.</w:t>
      </w:r>
    </w:p>
    <w:p w14:paraId="5D480193" w14:textId="77777777" w:rsidR="00F45F34" w:rsidRDefault="00F45F34" w:rsidP="00F45F34">
      <w:pPr>
        <w:pStyle w:val="Style1"/>
        <w:numPr>
          <w:ilvl w:val="0"/>
          <w:numId w:val="0"/>
        </w:numPr>
        <w:ind w:left="720"/>
      </w:pPr>
    </w:p>
    <w:p w14:paraId="2E715924" w14:textId="77777777" w:rsidR="00F45F34" w:rsidRDefault="007A79F4" w:rsidP="00F45F34">
      <w:pPr>
        <w:pStyle w:val="Style1"/>
      </w:pPr>
      <w:r w:rsidRPr="007B57FD">
        <w:t>As</w:t>
      </w:r>
      <w:r w:rsidRPr="007B57FD">
        <w:t>sessment of the results can take place by utilizing various methods, but a commonly suggested method paired with split sample testing would include: agreement across the range of results by plotting results on a two dimensional graph. The lab referenced to</w:t>
      </w:r>
      <w:r w:rsidRPr="007B57FD">
        <w:t xml:space="preserve"> would represent the X axis and your lab the Y axis. A line of agreement is drawn in the body of the graph (Y=X). Upon visual assessments of the graph any trends or bias should be easily identified. Documentation of the acceptability of the results should </w:t>
      </w:r>
      <w:r w:rsidRPr="007B57FD">
        <w:t>be performed by the section and reviewed, signed and dated by the Medical Director and/or the CLIA Lab Director. If the results are not acceptable, corrective actions and documentation will be necessary</w:t>
      </w:r>
      <w:r>
        <w:t xml:space="preserve"> using the Corrective Action Preventative Action (CAPA</w:t>
      </w:r>
      <w:r>
        <w:t xml:space="preserve">) process; see </w:t>
      </w:r>
      <w:r w:rsidRPr="00CB26E1">
        <w:t>Q</w:t>
      </w:r>
      <w:r w:rsidRPr="00C63E5D">
        <w:rPr>
          <w:i/>
        </w:rPr>
        <w:t>UAL-SOP-0002 CAPA Corrective Action Preventative Action &amp; Planned Deviations</w:t>
      </w:r>
      <w:r>
        <w:t xml:space="preserve"> procedure.</w:t>
      </w:r>
    </w:p>
    <w:p w14:paraId="4D7593C4" w14:textId="77777777" w:rsidR="00F45F34" w:rsidRDefault="00F45F34" w:rsidP="00F45F34">
      <w:pPr>
        <w:pStyle w:val="Style1"/>
        <w:numPr>
          <w:ilvl w:val="0"/>
          <w:numId w:val="0"/>
        </w:numPr>
        <w:ind w:left="720"/>
      </w:pPr>
    </w:p>
    <w:p w14:paraId="32B2B04D" w14:textId="77777777" w:rsidR="00F45F34" w:rsidRDefault="007A79F4" w:rsidP="00F45F34">
      <w:pPr>
        <w:pStyle w:val="Style1"/>
      </w:pPr>
      <w:r>
        <w:t>For in situ hybridization testing other than predictive marker testing, and other complex molecular and sequencing-based tests (including but not limit</w:t>
      </w:r>
      <w:r>
        <w:t>ed to microarray-based tests, multiplex PCR-based tests, and next generation sequencing-based tests), alternative performance assessment may be performed by method or specimen type rather than for each analyte or tested abnormality.</w:t>
      </w:r>
    </w:p>
    <w:p w14:paraId="0C225B9C" w14:textId="77777777" w:rsidR="00F45F34" w:rsidRDefault="00F45F34" w:rsidP="00F45F34">
      <w:pPr>
        <w:pStyle w:val="Style1"/>
        <w:numPr>
          <w:ilvl w:val="0"/>
          <w:numId w:val="0"/>
        </w:numPr>
        <w:ind w:left="720"/>
      </w:pPr>
    </w:p>
    <w:p w14:paraId="1D2116C9" w14:textId="77777777" w:rsidR="00F45F34" w:rsidRPr="00887AE0" w:rsidRDefault="007A79F4" w:rsidP="00F45F34">
      <w:pPr>
        <w:pStyle w:val="Style1"/>
      </w:pPr>
      <w:r>
        <w:t>For tests such as alle</w:t>
      </w:r>
      <w:r>
        <w:t>rgen testing, alternative performance assessment may be performed in batches of analogous tests.</w:t>
      </w:r>
    </w:p>
    <w:p w14:paraId="1973EFD1" w14:textId="77777777" w:rsidR="00F45F34" w:rsidRDefault="00F45F34" w:rsidP="00F45F34"/>
    <w:p w14:paraId="0FC3F3C1" w14:textId="77777777" w:rsidR="00F45F34" w:rsidRPr="00647DF5" w:rsidRDefault="007A79F4" w:rsidP="00F45F34">
      <w:pPr>
        <w:pStyle w:val="ListParagraph"/>
        <w:numPr>
          <w:ilvl w:val="0"/>
          <w:numId w:val="14"/>
        </w:numPr>
        <w:rPr>
          <w:b/>
        </w:rPr>
      </w:pPr>
      <w:r>
        <w:rPr>
          <w:b/>
        </w:rPr>
        <w:t>Proper Handling and Analysis of PT Materials</w:t>
      </w:r>
    </w:p>
    <w:p w14:paraId="6B6AE9E2" w14:textId="77777777" w:rsidR="00F45F34" w:rsidRDefault="00F45F34" w:rsidP="00F45F34">
      <w:pPr>
        <w:ind w:left="360"/>
      </w:pPr>
    </w:p>
    <w:p w14:paraId="7F9B7AD5" w14:textId="77777777" w:rsidR="00F45F34" w:rsidRDefault="007A79F4" w:rsidP="00F45F34">
      <w:pPr>
        <w:ind w:left="360"/>
      </w:pPr>
      <w:r>
        <w:t>It is the responsibility of every laboratory employee to know the proper and improper handling of proficiency sa</w:t>
      </w:r>
      <w:r>
        <w:t xml:space="preserve">mples. </w:t>
      </w:r>
    </w:p>
    <w:p w14:paraId="0AC447C6" w14:textId="77777777" w:rsidR="00F45F34" w:rsidRDefault="00F45F34" w:rsidP="00F45F34">
      <w:pPr>
        <w:ind w:left="360"/>
      </w:pPr>
    </w:p>
    <w:p w14:paraId="27023D4A" w14:textId="77777777" w:rsidR="00F45F34" w:rsidRDefault="007A79F4" w:rsidP="00F45F34">
      <w:pPr>
        <w:ind w:left="360"/>
      </w:pPr>
      <w:r>
        <w:t xml:space="preserve">Every laboratory employee must understand the importance of following the policies and procedures in proper handling and communication of proficiency testing samples and that </w:t>
      </w:r>
      <w:r w:rsidRPr="00B24E08">
        <w:rPr>
          <w:i/>
        </w:rPr>
        <w:t>improper handling</w:t>
      </w:r>
      <w:r w:rsidRPr="000562B3">
        <w:t xml:space="preserve"> </w:t>
      </w:r>
      <w:r w:rsidRPr="00B24E08">
        <w:rPr>
          <w:i/>
        </w:rPr>
        <w:t>of the samples</w:t>
      </w:r>
      <w:r>
        <w:t xml:space="preserve"> </w:t>
      </w:r>
      <w:r w:rsidRPr="000562B3">
        <w:t>and</w:t>
      </w:r>
      <w:r w:rsidRPr="00B24E08">
        <w:rPr>
          <w:i/>
        </w:rPr>
        <w:t xml:space="preserve"> improper communication</w:t>
      </w:r>
      <w:r w:rsidRPr="000562B3">
        <w:t xml:space="preserve"> </w:t>
      </w:r>
      <w:r w:rsidRPr="00B24E08">
        <w:rPr>
          <w:i/>
        </w:rPr>
        <w:t>of proficien</w:t>
      </w:r>
      <w:r w:rsidRPr="00B24E08">
        <w:rPr>
          <w:i/>
        </w:rPr>
        <w:t>cy testing reports</w:t>
      </w:r>
      <w:r>
        <w:t xml:space="preserve"> may result in sanction, limitation, suspension, or revocation of the laboratory’s CLIA certificate (CLIA 493.801(b), 493.1804, 493.1840).  </w:t>
      </w:r>
    </w:p>
    <w:p w14:paraId="1BF608DE" w14:textId="77777777" w:rsidR="00F45F34" w:rsidRDefault="00F45F34" w:rsidP="00F45F34">
      <w:pPr>
        <w:ind w:left="360"/>
      </w:pPr>
    </w:p>
    <w:p w14:paraId="48BEDCFA" w14:textId="77777777" w:rsidR="00F45F34" w:rsidRDefault="00F45F34" w:rsidP="00F45F34">
      <w:pPr>
        <w:ind w:left="360"/>
      </w:pPr>
    </w:p>
    <w:p w14:paraId="5D3042BA" w14:textId="77777777" w:rsidR="00F45F34" w:rsidRPr="00B24E08" w:rsidRDefault="007A79F4" w:rsidP="00F45F34">
      <w:pPr>
        <w:pStyle w:val="Style1"/>
        <w:numPr>
          <w:ilvl w:val="0"/>
          <w:numId w:val="20"/>
        </w:numPr>
        <w:rPr>
          <w:b/>
        </w:rPr>
      </w:pPr>
      <w:r w:rsidRPr="00B24E08">
        <w:rPr>
          <w:b/>
        </w:rPr>
        <w:t>PT Sample Identification</w:t>
      </w:r>
    </w:p>
    <w:p w14:paraId="1F7CC698" w14:textId="77777777" w:rsidR="00F45F34" w:rsidRDefault="00F45F34" w:rsidP="00F45F34">
      <w:pPr>
        <w:pStyle w:val="Style1"/>
        <w:numPr>
          <w:ilvl w:val="0"/>
          <w:numId w:val="0"/>
        </w:numPr>
        <w:ind w:left="720"/>
      </w:pPr>
    </w:p>
    <w:p w14:paraId="10DB73B6" w14:textId="77777777" w:rsidR="00F45F34" w:rsidRDefault="007A79F4" w:rsidP="00F45F34">
      <w:pPr>
        <w:pStyle w:val="Style1"/>
        <w:numPr>
          <w:ilvl w:val="0"/>
          <w:numId w:val="0"/>
        </w:numPr>
        <w:ind w:left="720"/>
      </w:pPr>
      <w:r>
        <w:t xml:space="preserve">A Proficiency testing sample container is typically </w:t>
      </w:r>
      <w:r w:rsidRPr="00262C5B">
        <w:t xml:space="preserve">labeled with the </w:t>
      </w:r>
      <w:r w:rsidRPr="00262C5B">
        <w:t>PT program provider name and logo, the name of the test, sample number, testing event</w:t>
      </w:r>
      <w:r>
        <w:t>, etc</w:t>
      </w:r>
      <w:r w:rsidRPr="00262C5B">
        <w:t>.</w:t>
      </w:r>
      <w:r>
        <w:t xml:space="preserve"> Laboratories often name the PT samples with information that is traceable to the identification printed on the label. The naming format is usually </w:t>
      </w:r>
      <w:r w:rsidRPr="00733951">
        <w:t xml:space="preserve">a combination of </w:t>
      </w:r>
      <w:r w:rsidRPr="00733951">
        <w:t>letters and numbers</w:t>
      </w:r>
      <w:r>
        <w:t xml:space="preserve">. For example, a CAP Hematology sample for Urine may be ordered in Beaker as </w:t>
      </w:r>
      <w:r w:rsidRPr="00B24E08">
        <w:rPr>
          <w:i/>
        </w:rPr>
        <w:t>CAP,</w:t>
      </w:r>
      <w:r>
        <w:rPr>
          <w:i/>
        </w:rPr>
        <w:t>UA-01, HEME,UA-01 or HEME,CAP UA-01</w:t>
      </w:r>
      <w:r>
        <w:t xml:space="preserve">. Likewise, an API sample for Urine may be ordered in Beaker as </w:t>
      </w:r>
      <w:r w:rsidRPr="00B24E08">
        <w:rPr>
          <w:i/>
        </w:rPr>
        <w:t>API, UA-01</w:t>
      </w:r>
      <w:r>
        <w:t xml:space="preserve">. Laboratory personnel must be familiar with PT sample naming formats and recognize a possible PT sample upon receipt.   </w:t>
      </w:r>
    </w:p>
    <w:p w14:paraId="4DF2D353" w14:textId="77777777" w:rsidR="00F45F34" w:rsidRDefault="00F45F34" w:rsidP="00F45F34">
      <w:pPr>
        <w:pStyle w:val="Style1"/>
        <w:numPr>
          <w:ilvl w:val="0"/>
          <w:numId w:val="0"/>
        </w:numPr>
        <w:ind w:left="720"/>
      </w:pPr>
    </w:p>
    <w:p w14:paraId="77A1F88E" w14:textId="77777777" w:rsidR="00F45F34" w:rsidRDefault="007A79F4" w:rsidP="00F45F34">
      <w:pPr>
        <w:pStyle w:val="Style1"/>
        <w:numPr>
          <w:ilvl w:val="0"/>
          <w:numId w:val="33"/>
        </w:numPr>
      </w:pPr>
      <w:r>
        <w:t>Proficiency samples should only be processed at the request of the Lab Manager.  If a team member is not clear or has any questions r</w:t>
      </w:r>
      <w:r>
        <w:t xml:space="preserve">egarding a sample, do not proceed with processing the sample until all questions have been answered by the Lab Manager. </w:t>
      </w:r>
    </w:p>
    <w:p w14:paraId="1BC964E3" w14:textId="77777777" w:rsidR="00F45F34" w:rsidRDefault="007A79F4" w:rsidP="00F45F34">
      <w:pPr>
        <w:pStyle w:val="Style1"/>
        <w:numPr>
          <w:ilvl w:val="0"/>
          <w:numId w:val="33"/>
        </w:numPr>
      </w:pPr>
      <w:r>
        <w:t xml:space="preserve">Central Processing should not order PT nor should any order be placed by Central Processing without an appropriate requisition. </w:t>
      </w:r>
    </w:p>
    <w:p w14:paraId="18301157" w14:textId="77777777" w:rsidR="00F45F34" w:rsidRDefault="007A79F4" w:rsidP="00F45F34">
      <w:pPr>
        <w:pStyle w:val="Style1"/>
        <w:numPr>
          <w:ilvl w:val="0"/>
          <w:numId w:val="33"/>
        </w:numPr>
      </w:pPr>
      <w:r>
        <w:t>Americ</w:t>
      </w:r>
      <w:r>
        <w:t>an Proficiency Institute (API) is not used by AH WFBMC.  If a PT sample from API arrives at any AH WFBMC laboratory the sample should be given to the Lab Manager immediately.  If the Lab Manager is not available (afterhours or out of office for other reaso</w:t>
      </w:r>
      <w:r>
        <w:t xml:space="preserve">ns) the API sample should NOT be processed but held until any lab manager is available to take the sample. </w:t>
      </w:r>
    </w:p>
    <w:p w14:paraId="0715E4EA" w14:textId="77777777" w:rsidR="00F45F34" w:rsidRDefault="007A79F4" w:rsidP="00F45F34">
      <w:pPr>
        <w:pStyle w:val="Style1"/>
        <w:numPr>
          <w:ilvl w:val="0"/>
          <w:numId w:val="33"/>
        </w:numPr>
      </w:pPr>
      <w:r>
        <w:t xml:space="preserve">The </w:t>
      </w:r>
      <w:r w:rsidRPr="002B0145">
        <w:t>Manager, CLIA Laboratory Director and the Quality, Safety &amp; Accreditation Director</w:t>
      </w:r>
      <w:r>
        <w:t xml:space="preserve"> must be notified immediately.</w:t>
      </w:r>
    </w:p>
    <w:p w14:paraId="6DFBA239" w14:textId="77777777" w:rsidR="00F45F34" w:rsidRDefault="007A79F4" w:rsidP="00F45F34">
      <w:pPr>
        <w:pStyle w:val="Style1"/>
        <w:numPr>
          <w:ilvl w:val="0"/>
          <w:numId w:val="33"/>
        </w:numPr>
      </w:pPr>
      <w:r>
        <w:t>Examples of PT samples that sho</w:t>
      </w:r>
      <w:r>
        <w:t xml:space="preserve">uld </w:t>
      </w:r>
      <w:r w:rsidRPr="00B24E08">
        <w:rPr>
          <w:b/>
        </w:rPr>
        <w:t>NOT</w:t>
      </w:r>
      <w:r>
        <w:t xml:space="preserve"> be processed at an AH WFBMC laboratory:</w:t>
      </w:r>
    </w:p>
    <w:p w14:paraId="698B4DE7" w14:textId="77777777" w:rsidR="00F45F34" w:rsidRDefault="00F45F34" w:rsidP="00F45F34">
      <w:pPr>
        <w:pStyle w:val="Style1"/>
        <w:numPr>
          <w:ilvl w:val="0"/>
          <w:numId w:val="0"/>
        </w:numPr>
        <w:ind w:left="1500"/>
      </w:pPr>
    </w:p>
    <w:p w14:paraId="20389806" w14:textId="77777777" w:rsidR="00F45F34" w:rsidRDefault="007A79F4" w:rsidP="00F45F34">
      <w:pPr>
        <w:pStyle w:val="Style1"/>
        <w:numPr>
          <w:ilvl w:val="0"/>
          <w:numId w:val="0"/>
        </w:numPr>
        <w:ind w:left="1440"/>
      </w:pPr>
      <w:r>
        <w:rPr>
          <w:noProof/>
        </w:rPr>
        <w:drawing>
          <wp:inline distT="0" distB="0" distL="0" distR="0">
            <wp:extent cx="1543817" cy="561975"/>
            <wp:effectExtent l="0" t="0" r="0" b="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4"/>
                    <a:stretch>
                      <a:fillRect/>
                    </a:stretch>
                  </pic:blipFill>
                  <pic:spPr>
                    <a:xfrm>
                      <a:off x="0" y="0"/>
                      <a:ext cx="1610055" cy="586087"/>
                    </a:xfrm>
                    <a:prstGeom prst="rect">
                      <a:avLst/>
                    </a:prstGeom>
                  </pic:spPr>
                </pic:pic>
              </a:graphicData>
            </a:graphic>
          </wp:inline>
        </w:drawing>
      </w:r>
    </w:p>
    <w:p w14:paraId="362CD062" w14:textId="77777777" w:rsidR="00F45F34" w:rsidRDefault="00F45F34" w:rsidP="00F45F34">
      <w:pPr>
        <w:pStyle w:val="Style1"/>
        <w:numPr>
          <w:ilvl w:val="0"/>
          <w:numId w:val="0"/>
        </w:numPr>
        <w:ind w:left="720"/>
      </w:pPr>
    </w:p>
    <w:p w14:paraId="70430DE6" w14:textId="77777777" w:rsidR="00F45F34" w:rsidRDefault="007A79F4" w:rsidP="00F45F34">
      <w:pPr>
        <w:pStyle w:val="Style1"/>
        <w:numPr>
          <w:ilvl w:val="0"/>
          <w:numId w:val="0"/>
        </w:numPr>
        <w:ind w:left="1080" w:firstLine="360"/>
      </w:pPr>
      <w:r>
        <w:rPr>
          <w:noProof/>
        </w:rPr>
        <w:drawing>
          <wp:inline distT="0" distB="0" distL="0" distR="0">
            <wp:extent cx="2043485" cy="444807"/>
            <wp:effectExtent l="19050" t="19050" r="1397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03512" cy="457873"/>
                    </a:xfrm>
                    <a:prstGeom prst="rect">
                      <a:avLst/>
                    </a:prstGeom>
                    <a:noFill/>
                    <a:ln>
                      <a:solidFill>
                        <a:schemeClr val="accent1"/>
                      </a:solidFill>
                    </a:ln>
                  </pic:spPr>
                </pic:pic>
              </a:graphicData>
            </a:graphic>
          </wp:inline>
        </w:drawing>
      </w:r>
    </w:p>
    <w:p w14:paraId="577929A3" w14:textId="77777777" w:rsidR="00F45F34" w:rsidRDefault="00F45F34" w:rsidP="00F45F34">
      <w:pPr>
        <w:pStyle w:val="Style1"/>
        <w:numPr>
          <w:ilvl w:val="0"/>
          <w:numId w:val="0"/>
        </w:numPr>
        <w:ind w:left="720"/>
      </w:pPr>
    </w:p>
    <w:p w14:paraId="5E3F406F" w14:textId="77777777" w:rsidR="00F45F34" w:rsidRDefault="007A79F4" w:rsidP="00F45F34">
      <w:pPr>
        <w:pStyle w:val="Style1"/>
        <w:numPr>
          <w:ilvl w:val="0"/>
          <w:numId w:val="0"/>
        </w:numPr>
        <w:ind w:left="1080" w:firstLine="360"/>
      </w:pPr>
      <w:r>
        <w:rPr>
          <w:noProof/>
        </w:rPr>
        <w:drawing>
          <wp:inline distT="0" distB="0" distL="0" distR="0">
            <wp:extent cx="2043430" cy="592775"/>
            <wp:effectExtent l="19050" t="19050" r="13970" b="171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103375" cy="610164"/>
                    </a:xfrm>
                    <a:prstGeom prst="rect">
                      <a:avLst/>
                    </a:prstGeom>
                    <a:noFill/>
                    <a:ln>
                      <a:solidFill>
                        <a:schemeClr val="accent1"/>
                      </a:solidFill>
                    </a:ln>
                  </pic:spPr>
                </pic:pic>
              </a:graphicData>
            </a:graphic>
          </wp:inline>
        </w:drawing>
      </w:r>
    </w:p>
    <w:p w14:paraId="3B97C395" w14:textId="77777777" w:rsidR="00F45F34" w:rsidRDefault="00F45F34" w:rsidP="00F45F34">
      <w:pPr>
        <w:pStyle w:val="Style1"/>
        <w:numPr>
          <w:ilvl w:val="0"/>
          <w:numId w:val="0"/>
        </w:numPr>
        <w:ind w:left="720"/>
      </w:pPr>
    </w:p>
    <w:p w14:paraId="4836FC20" w14:textId="77777777" w:rsidR="00F45F34" w:rsidRPr="00287164" w:rsidRDefault="007A79F4" w:rsidP="00F45F34">
      <w:pPr>
        <w:pStyle w:val="Style1"/>
        <w:numPr>
          <w:ilvl w:val="0"/>
          <w:numId w:val="20"/>
        </w:numPr>
        <w:rPr>
          <w:i/>
        </w:rPr>
      </w:pPr>
      <w:r w:rsidRPr="00287164">
        <w:rPr>
          <w:b/>
        </w:rPr>
        <w:t xml:space="preserve">PT Interlaboratory Communication </w:t>
      </w:r>
      <w:r w:rsidRPr="00287164">
        <w:rPr>
          <w:b/>
          <w:i/>
        </w:rPr>
        <w:t>(CAP COM.01800)</w:t>
      </w:r>
      <w:r w:rsidRPr="00287164">
        <w:rPr>
          <w:b/>
        </w:rPr>
        <w:t xml:space="preserve"> </w:t>
      </w:r>
      <w:r>
        <w:rPr>
          <w:b/>
        </w:rPr>
        <w:t xml:space="preserve">– </w:t>
      </w:r>
      <w:r w:rsidRPr="00287164">
        <w:rPr>
          <w:i/>
        </w:rPr>
        <w:t xml:space="preserve">Do not discuss PT results with personnel who works for </w:t>
      </w:r>
      <w:r>
        <w:rPr>
          <w:i/>
        </w:rPr>
        <w:t xml:space="preserve">another </w:t>
      </w:r>
      <w:r w:rsidRPr="00287164">
        <w:rPr>
          <w:i/>
        </w:rPr>
        <w:t xml:space="preserve">laboratory. </w:t>
      </w:r>
    </w:p>
    <w:p w14:paraId="00733F08" w14:textId="77777777" w:rsidR="00F45F34" w:rsidRDefault="007A79F4" w:rsidP="00F45F34">
      <w:pPr>
        <w:pStyle w:val="Style1"/>
        <w:numPr>
          <w:ilvl w:val="0"/>
          <w:numId w:val="0"/>
        </w:numPr>
        <w:ind w:left="360"/>
      </w:pPr>
      <w:r>
        <w:tab/>
      </w:r>
    </w:p>
    <w:p w14:paraId="6045BC7E" w14:textId="77777777" w:rsidR="00F45F34" w:rsidRDefault="007A79F4" w:rsidP="00F45F34">
      <w:pPr>
        <w:pStyle w:val="Style1"/>
        <w:numPr>
          <w:ilvl w:val="0"/>
          <w:numId w:val="0"/>
        </w:numPr>
        <w:ind w:left="720"/>
      </w:pPr>
      <w:r>
        <w:t xml:space="preserve">Proficiency testing records </w:t>
      </w:r>
      <w:r w:rsidRPr="00B24E08">
        <w:rPr>
          <w:b/>
        </w:rPr>
        <w:t>MUST NOT</w:t>
      </w:r>
      <w:r>
        <w:t xml:space="preserve"> be shared with and should be ina</w:t>
      </w:r>
      <w:r>
        <w:t>ccessible to personnel of other laboratories, including an affiliated laboratory until after the deadline for submission of results. Laboratories that share a common computer system must take appropriate steps to ensure that records are not readily accessi</w:t>
      </w:r>
      <w:r>
        <w:t>ble by other laboratories.</w:t>
      </w:r>
    </w:p>
    <w:p w14:paraId="6E5D1C84" w14:textId="77777777" w:rsidR="00F45F34" w:rsidRDefault="00F45F34" w:rsidP="00F45F34">
      <w:pPr>
        <w:pStyle w:val="Style1"/>
        <w:numPr>
          <w:ilvl w:val="0"/>
          <w:numId w:val="0"/>
        </w:numPr>
        <w:ind w:left="720"/>
      </w:pPr>
    </w:p>
    <w:p w14:paraId="051BEB18" w14:textId="77777777" w:rsidR="00F45F34" w:rsidRPr="003766A1" w:rsidRDefault="007A79F4" w:rsidP="00F45F34">
      <w:pPr>
        <w:pStyle w:val="Style1"/>
      </w:pPr>
      <w:r w:rsidRPr="00287164">
        <w:rPr>
          <w:b/>
        </w:rPr>
        <w:t>PT Referral</w:t>
      </w:r>
      <w:r>
        <w:t xml:space="preserve"> </w:t>
      </w:r>
      <w:r w:rsidRPr="00287164">
        <w:rPr>
          <w:b/>
        </w:rPr>
        <w:t>(CAP COM.01900)</w:t>
      </w:r>
      <w:r w:rsidRPr="003037E7">
        <w:rPr>
          <w:b/>
        </w:rPr>
        <w:t xml:space="preserve"> </w:t>
      </w:r>
      <w:r w:rsidRPr="003766A1">
        <w:rPr>
          <w:b/>
          <w:i/>
        </w:rPr>
        <w:t>–</w:t>
      </w:r>
      <w:r w:rsidRPr="003037E7">
        <w:rPr>
          <w:b/>
        </w:rPr>
        <w:t xml:space="preserve"> </w:t>
      </w:r>
      <w:r w:rsidRPr="00287164">
        <w:rPr>
          <w:i/>
        </w:rPr>
        <w:t>Do not refer PT specimen to another laboratory or accept PT specimen from another laboratory.</w:t>
      </w:r>
    </w:p>
    <w:p w14:paraId="1B16A401" w14:textId="77777777" w:rsidR="00F45F34" w:rsidRDefault="00F45F34" w:rsidP="00F45F34">
      <w:pPr>
        <w:pStyle w:val="ListParagraph"/>
        <w:numPr>
          <w:ilvl w:val="0"/>
          <w:numId w:val="0"/>
        </w:numPr>
        <w:ind w:left="360"/>
      </w:pPr>
    </w:p>
    <w:p w14:paraId="4E9E7B40" w14:textId="77777777" w:rsidR="00F45F34" w:rsidRDefault="007A79F4" w:rsidP="00F45F34">
      <w:pPr>
        <w:pStyle w:val="Style1"/>
        <w:numPr>
          <w:ilvl w:val="0"/>
          <w:numId w:val="0"/>
        </w:numPr>
        <w:ind w:left="720"/>
      </w:pPr>
      <w:r w:rsidRPr="005C0C7D">
        <w:t xml:space="preserve">This policy strictly prohibits referral or acceptance of proficiency testing specimens for analysis from other laboratories. This prohibition takes precedence over the requirement that proficiency testing specimens be handled in the same manner as patient </w:t>
      </w:r>
      <w:r>
        <w:t>s</w:t>
      </w:r>
      <w:r w:rsidRPr="005C0C7D">
        <w:t>pecimens.</w:t>
      </w:r>
    </w:p>
    <w:p w14:paraId="30EB2BA1" w14:textId="77777777" w:rsidR="00F45F34" w:rsidRDefault="00F45F34" w:rsidP="00F45F34">
      <w:pPr>
        <w:pStyle w:val="Style1"/>
        <w:numPr>
          <w:ilvl w:val="0"/>
          <w:numId w:val="0"/>
        </w:numPr>
        <w:ind w:left="720"/>
      </w:pPr>
    </w:p>
    <w:p w14:paraId="48F5901C" w14:textId="77777777" w:rsidR="00F45F34" w:rsidRPr="00887AE0" w:rsidRDefault="007A79F4" w:rsidP="00F45F34">
      <w:pPr>
        <w:pStyle w:val="Style1"/>
        <w:numPr>
          <w:ilvl w:val="0"/>
          <w:numId w:val="0"/>
        </w:numPr>
        <w:ind w:left="720"/>
      </w:pPr>
      <w:r w:rsidRPr="005C0C7D">
        <w:t>For example, a laboratory's routine procedure for review of patient abnormal CBC blood smears might be referral of the smear to a pathologist located at another site. (Different CAP/CLIA number). For proficiency testing specimens, the laborator</w:t>
      </w:r>
      <w:r w:rsidRPr="005C0C7D">
        <w:t xml:space="preserve">y </w:t>
      </w:r>
      <w:r w:rsidRPr="00B24E08">
        <w:rPr>
          <w:b/>
        </w:rPr>
        <w:t>MUST</w:t>
      </w:r>
      <w:r w:rsidRPr="005C0C7D">
        <w:t xml:space="preserve"> </w:t>
      </w:r>
      <w:r w:rsidRPr="00B24E08">
        <w:rPr>
          <w:b/>
        </w:rPr>
        <w:t>NOT</w:t>
      </w:r>
      <w:r w:rsidRPr="005C0C7D">
        <w:t xml:space="preserve"> follow its routine procedure to refer the specimen. If the PT sample meets laboratory-defined criteria for referral to a pathologist prior to reporting and the pathologist is at another site, the pathologist must review the PT sample at the phys</w:t>
      </w:r>
      <w:r w:rsidRPr="005C0C7D">
        <w:t xml:space="preserve">ical location of the laboratory performing the PT. Alternatively, the laboratory must refer to the PT provider kit instructions on how to record a result for a test not performed </w:t>
      </w:r>
      <w:r>
        <w:t xml:space="preserve">by </w:t>
      </w:r>
      <w:r w:rsidRPr="005C0C7D">
        <w:t>the laboratory.</w:t>
      </w:r>
    </w:p>
    <w:p w14:paraId="0FA66D19" w14:textId="77777777" w:rsidR="00F45F34" w:rsidRDefault="007A79F4" w:rsidP="00F45F34">
      <w:pPr>
        <w:ind w:left="720"/>
      </w:pPr>
      <w:r w:rsidRPr="005C0C7D">
        <w:t>Laboratories that perform testing using a distributive tes</w:t>
      </w:r>
      <w:r w:rsidRPr="005C0C7D">
        <w:t>ting model where portions of the process are performed at another laboratory with a different CAP/CLIA number must not participate in formal PT, as this is considered PT referral by CMS and is strictly prohibited. An alternative performance assessment must</w:t>
      </w:r>
      <w:r w:rsidRPr="005C0C7D">
        <w:t xml:space="preserve"> be performed at least semiannually in lieu of formal PT in these situations. Common examples of distributive testing include:</w:t>
      </w:r>
    </w:p>
    <w:p w14:paraId="7EB41346" w14:textId="77777777" w:rsidR="00F45F34" w:rsidRDefault="00F45F34" w:rsidP="00F45F34">
      <w:pPr>
        <w:ind w:left="720"/>
      </w:pPr>
    </w:p>
    <w:p w14:paraId="5D54514D" w14:textId="77777777" w:rsidR="00F45F34" w:rsidRDefault="007A79F4" w:rsidP="00F45F34">
      <w:pPr>
        <w:pStyle w:val="Style2"/>
        <w:numPr>
          <w:ilvl w:val="0"/>
          <w:numId w:val="21"/>
        </w:numPr>
      </w:pPr>
      <w:r>
        <w:t>In situ hybridization and slide interpretation performed at separate laboratories</w:t>
      </w:r>
    </w:p>
    <w:p w14:paraId="06BFCDF8" w14:textId="77777777" w:rsidR="00F45F34" w:rsidRDefault="00F45F34" w:rsidP="00F93401">
      <w:pPr>
        <w:pStyle w:val="Style2"/>
        <w:numPr>
          <w:ilvl w:val="0"/>
          <w:numId w:val="0"/>
        </w:numPr>
        <w:ind w:left="1080"/>
      </w:pPr>
    </w:p>
    <w:p w14:paraId="074D5227" w14:textId="77777777" w:rsidR="00F45F34" w:rsidRDefault="007A79F4" w:rsidP="00F45F34">
      <w:pPr>
        <w:pStyle w:val="Style2"/>
        <w:numPr>
          <w:ilvl w:val="0"/>
          <w:numId w:val="21"/>
        </w:numPr>
      </w:pPr>
      <w:r>
        <w:t>Next generation sequencing wet bench process,</w:t>
      </w:r>
      <w:r>
        <w:t xml:space="preserve"> bioinformatics processes, and/or interpretation performed at different laboratories</w:t>
      </w:r>
    </w:p>
    <w:p w14:paraId="3C555857" w14:textId="77777777" w:rsidR="00F45F34" w:rsidRDefault="00F45F34" w:rsidP="00F93401">
      <w:pPr>
        <w:pStyle w:val="Style2"/>
        <w:numPr>
          <w:ilvl w:val="0"/>
          <w:numId w:val="0"/>
        </w:numPr>
        <w:ind w:left="720"/>
      </w:pPr>
    </w:p>
    <w:p w14:paraId="312AE7F5" w14:textId="77777777" w:rsidR="00F45F34" w:rsidRDefault="007A79F4" w:rsidP="00F45F34">
      <w:pPr>
        <w:pStyle w:val="Style2"/>
        <w:numPr>
          <w:ilvl w:val="0"/>
          <w:numId w:val="21"/>
        </w:numPr>
      </w:pPr>
      <w:r>
        <w:t>Leukemia/lymphoma flow cytometry panels and pathologist interpretation of the data at different laboratories.</w:t>
      </w:r>
    </w:p>
    <w:p w14:paraId="5611807D" w14:textId="77777777" w:rsidR="00F45F34" w:rsidRDefault="00F45F34" w:rsidP="00F45F34">
      <w:pPr>
        <w:pStyle w:val="ListParagraph"/>
        <w:numPr>
          <w:ilvl w:val="0"/>
          <w:numId w:val="0"/>
        </w:numPr>
        <w:ind w:left="360"/>
      </w:pPr>
    </w:p>
    <w:p w14:paraId="787B171F" w14:textId="77777777" w:rsidR="00F45F34" w:rsidRDefault="007A79F4" w:rsidP="00F45F34">
      <w:pPr>
        <w:pStyle w:val="Style2"/>
        <w:numPr>
          <w:ilvl w:val="0"/>
          <w:numId w:val="21"/>
        </w:numPr>
      </w:pPr>
      <w:r w:rsidRPr="001D4731">
        <w:t xml:space="preserve">Immunohistochemistry (IHC) slides are permitted to be sent </w:t>
      </w:r>
      <w:r w:rsidRPr="001D4731">
        <w:t>to another facility for staining only.</w:t>
      </w:r>
    </w:p>
    <w:p w14:paraId="2532E6B1" w14:textId="77777777" w:rsidR="00F45F34" w:rsidRDefault="00F45F34" w:rsidP="00F45F34">
      <w:pPr>
        <w:pStyle w:val="ListParagraph"/>
        <w:numPr>
          <w:ilvl w:val="0"/>
          <w:numId w:val="0"/>
        </w:numPr>
        <w:ind w:left="360"/>
      </w:pPr>
    </w:p>
    <w:p w14:paraId="2CC8D378" w14:textId="77777777" w:rsidR="00F45F34" w:rsidRDefault="007A79F4" w:rsidP="00F45F34">
      <w:pPr>
        <w:pStyle w:val="Style1"/>
        <w:numPr>
          <w:ilvl w:val="0"/>
          <w:numId w:val="0"/>
        </w:numPr>
        <w:ind w:left="720"/>
      </w:pPr>
      <w:r w:rsidRPr="00745A63">
        <w:t xml:space="preserve">It is the responsibility of every laboratory </w:t>
      </w:r>
      <w:r>
        <w:t xml:space="preserve">employee </w:t>
      </w:r>
      <w:r w:rsidRPr="00745A63">
        <w:t>to understand that the referral (receiving or sending) of any proficiency samples while the testing event is still in progress (before the due date) is prohibited</w:t>
      </w:r>
      <w:r w:rsidRPr="00745A63">
        <w:t>. In the event any employee should be asked to engage in such practice, they are required to immediately notify the</w:t>
      </w:r>
      <w:r>
        <w:t>ir</w:t>
      </w:r>
      <w:r w:rsidRPr="00745A63">
        <w:t xml:space="preserve"> </w:t>
      </w:r>
      <w:r>
        <w:t xml:space="preserve">Manager, </w:t>
      </w:r>
      <w:r w:rsidRPr="00745A63">
        <w:t xml:space="preserve">CLIA Laboratory Director and </w:t>
      </w:r>
      <w:r w:rsidRPr="00142476">
        <w:t xml:space="preserve">the </w:t>
      </w:r>
      <w:r w:rsidRPr="00287164">
        <w:t>Quality, Safety &amp; Accreditation Director</w:t>
      </w:r>
      <w:r w:rsidRPr="00142476">
        <w:t>.</w:t>
      </w:r>
      <w:r w:rsidRPr="00745A63">
        <w:t xml:space="preserve"> </w:t>
      </w:r>
    </w:p>
    <w:p w14:paraId="2F655ACB" w14:textId="77777777" w:rsidR="00F45F34" w:rsidRDefault="00F45F34" w:rsidP="00F45F34">
      <w:pPr>
        <w:pStyle w:val="Style1"/>
        <w:numPr>
          <w:ilvl w:val="0"/>
          <w:numId w:val="0"/>
        </w:numPr>
        <w:ind w:left="720"/>
      </w:pPr>
    </w:p>
    <w:p w14:paraId="5E58DA10" w14:textId="77777777" w:rsidR="00F45F34" w:rsidRDefault="007A79F4" w:rsidP="00F45F34">
      <w:pPr>
        <w:pStyle w:val="Style1"/>
        <w:numPr>
          <w:ilvl w:val="0"/>
          <w:numId w:val="20"/>
        </w:numPr>
      </w:pPr>
      <w:r w:rsidRPr="00745A63">
        <w:t>The laboratory (which is subject to regulation by th</w:t>
      </w:r>
      <w:r w:rsidRPr="00745A63">
        <w:t>e Centers for Medicare and Medicaid Services (CMS) do not test the same analytes from the same PT product on more than one instrument or method unless that is how the laboratory tests patient specimens. If the laboratory (under one CLIA license) uses multi</w:t>
      </w:r>
      <w:r w:rsidRPr="00745A63">
        <w:t xml:space="preserve">ple methods for an analyte, </w:t>
      </w:r>
      <w:r>
        <w:t>p</w:t>
      </w:r>
      <w:r w:rsidRPr="00745A63">
        <w:t xml:space="preserve">roficiency samples must be analyzed by the </w:t>
      </w:r>
      <w:r w:rsidRPr="00DA0CD2">
        <w:rPr>
          <w:b/>
        </w:rPr>
        <w:t>primary method</w:t>
      </w:r>
      <w:r w:rsidRPr="00745A63">
        <w:t xml:space="preserve"> at the time of the PT event or rotated among primary methods for each PT shipment.</w:t>
      </w:r>
      <w:r>
        <w:t xml:space="preserve"> </w:t>
      </w:r>
      <w:r w:rsidRPr="00287164">
        <w:rPr>
          <w:i/>
        </w:rPr>
        <w:t>Refer to CAP COM.01600</w:t>
      </w:r>
      <w:r>
        <w:t>.</w:t>
      </w:r>
    </w:p>
    <w:p w14:paraId="11B27A1F" w14:textId="77777777" w:rsidR="00F45F34" w:rsidRPr="00887AE0" w:rsidRDefault="00F45F34" w:rsidP="00F45F34">
      <w:pPr>
        <w:pStyle w:val="Style1"/>
        <w:numPr>
          <w:ilvl w:val="0"/>
          <w:numId w:val="0"/>
        </w:numPr>
        <w:ind w:left="720"/>
      </w:pPr>
    </w:p>
    <w:p w14:paraId="0703B6BB" w14:textId="77777777" w:rsidR="00F45F34" w:rsidRPr="00287164" w:rsidRDefault="007A79F4" w:rsidP="00F45F34">
      <w:pPr>
        <w:pStyle w:val="Style1"/>
        <w:numPr>
          <w:ilvl w:val="0"/>
          <w:numId w:val="20"/>
        </w:numPr>
        <w:rPr>
          <w:i/>
        </w:rPr>
      </w:pPr>
      <w:r w:rsidRPr="00745A63">
        <w:t>Laboratories subject to CMS regulation are not allowed to ord</w:t>
      </w:r>
      <w:r w:rsidRPr="00745A63">
        <w:t>er multiple PT kits for the purpose of testing the same sample/analyte on multiple instruments or methods prior to the due date for submitting results to the provider.</w:t>
      </w:r>
      <w:r>
        <w:t xml:space="preserve"> </w:t>
      </w:r>
      <w:r w:rsidRPr="00287164">
        <w:rPr>
          <w:i/>
        </w:rPr>
        <w:t>Refer to CAP COM.01600.</w:t>
      </w:r>
    </w:p>
    <w:p w14:paraId="3485D1A4" w14:textId="77777777" w:rsidR="00F45F34" w:rsidRDefault="00F45F34" w:rsidP="00F45F34">
      <w:pPr>
        <w:pStyle w:val="ListParagraph"/>
        <w:numPr>
          <w:ilvl w:val="0"/>
          <w:numId w:val="0"/>
        </w:numPr>
        <w:ind w:left="360"/>
      </w:pPr>
    </w:p>
    <w:p w14:paraId="0CC852C7" w14:textId="77777777" w:rsidR="00F45F34" w:rsidRDefault="007A79F4" w:rsidP="00F45F34">
      <w:pPr>
        <w:pStyle w:val="Style1"/>
        <w:numPr>
          <w:ilvl w:val="0"/>
          <w:numId w:val="0"/>
        </w:numPr>
        <w:ind w:left="720"/>
      </w:pPr>
      <w:r w:rsidRPr="00745A63">
        <w:t>Samples are to be run on a single analyzer, yielding a single r</w:t>
      </w:r>
      <w:r w:rsidRPr="00745A63">
        <w:t>esult, which is reported. (To prevent duplicate testing and comparison of results).</w:t>
      </w:r>
    </w:p>
    <w:p w14:paraId="7C1C59BB" w14:textId="77777777" w:rsidR="00F45F34" w:rsidRDefault="00F45F34" w:rsidP="00F45F34"/>
    <w:p w14:paraId="66AB5909" w14:textId="77777777" w:rsidR="00F45F34" w:rsidRDefault="007A79F4" w:rsidP="00F45F34">
      <w:pPr>
        <w:pStyle w:val="Style1"/>
        <w:numPr>
          <w:ilvl w:val="0"/>
          <w:numId w:val="20"/>
        </w:numPr>
      </w:pPr>
      <w:r>
        <w:t xml:space="preserve">The laboratory integrates all proficiency testing and alternative performance assessment specimens </w:t>
      </w:r>
      <w:r>
        <w:t xml:space="preserve">within the routine laboratory workload, where applicable, and those specimens are analyzed by personnel who routinely test patient/client </w:t>
      </w:r>
      <w:r w:rsidRPr="00ED180A">
        <w:t>specimens</w:t>
      </w:r>
      <w:r>
        <w:t xml:space="preserve">, using the same primary method systems as for patient/client/donor </w:t>
      </w:r>
      <w:r w:rsidRPr="00ED180A">
        <w:t>specimens</w:t>
      </w:r>
      <w:r>
        <w:t>. S</w:t>
      </w:r>
      <w:r w:rsidRPr="00ED180A">
        <w:t>pecimens</w:t>
      </w:r>
      <w:r>
        <w:t xml:space="preserve"> may be repeated, dil</w:t>
      </w:r>
      <w:r>
        <w:t xml:space="preserve">uted, etc. in the same manner as a patient sample. </w:t>
      </w:r>
      <w:r w:rsidRPr="003B53B5">
        <w:rPr>
          <w:i/>
        </w:rPr>
        <w:t>Refer to CAP COM.01600</w:t>
      </w:r>
      <w:r w:rsidRPr="007D22C6">
        <w:t>.</w:t>
      </w:r>
    </w:p>
    <w:p w14:paraId="5683A315" w14:textId="77777777" w:rsidR="00F45F34" w:rsidRDefault="00F45F34" w:rsidP="00F45F34">
      <w:pPr>
        <w:pStyle w:val="Style1"/>
        <w:numPr>
          <w:ilvl w:val="0"/>
          <w:numId w:val="0"/>
        </w:numPr>
        <w:ind w:left="720"/>
      </w:pPr>
    </w:p>
    <w:p w14:paraId="13143D4A" w14:textId="77777777" w:rsidR="00F45F34" w:rsidRPr="008B55D6" w:rsidRDefault="007A79F4" w:rsidP="00F45F34">
      <w:pPr>
        <w:pStyle w:val="Style1"/>
        <w:numPr>
          <w:ilvl w:val="0"/>
          <w:numId w:val="20"/>
        </w:numPr>
      </w:pPr>
      <w:r w:rsidRPr="008B55D6">
        <w:t xml:space="preserve">Every attempt will be made to have all testing employees participate in purchased PT surveys or an alternative method. </w:t>
      </w:r>
    </w:p>
    <w:p w14:paraId="0A7FFF80" w14:textId="77777777" w:rsidR="00F45F34" w:rsidRPr="008B55D6" w:rsidRDefault="00F45F34" w:rsidP="00F45F34">
      <w:pPr>
        <w:pStyle w:val="Style1"/>
        <w:numPr>
          <w:ilvl w:val="0"/>
          <w:numId w:val="0"/>
        </w:numPr>
        <w:ind w:left="720" w:hanging="360"/>
        <w:rPr>
          <w:strike/>
        </w:rPr>
      </w:pPr>
    </w:p>
    <w:p w14:paraId="6B798D24" w14:textId="77777777" w:rsidR="00F45F34" w:rsidRDefault="007A79F4" w:rsidP="00F45F34">
      <w:pPr>
        <w:pStyle w:val="Style2"/>
        <w:numPr>
          <w:ilvl w:val="0"/>
          <w:numId w:val="35"/>
        </w:numPr>
      </w:pPr>
      <w:r w:rsidRPr="00745A63">
        <w:t xml:space="preserve">Except in limited circumstances (e.g., in the microbiology </w:t>
      </w:r>
      <w:r w:rsidRPr="00745A63">
        <w:t>lab where cultures and testing can take longer tha</w:t>
      </w:r>
      <w:r>
        <w:t>n</w:t>
      </w:r>
      <w:r w:rsidRPr="00745A63">
        <w:t xml:space="preserve"> one shift</w:t>
      </w:r>
      <w:r>
        <w:t xml:space="preserve"> or </w:t>
      </w:r>
      <w:r w:rsidRPr="0076260C">
        <w:t>in coagulation lab where Factor XIII screen is read at 24hrs</w:t>
      </w:r>
      <w:r w:rsidRPr="00745A63">
        <w:t xml:space="preserve">), all samples contained in a single test event </w:t>
      </w:r>
      <w:r w:rsidRPr="006136F9">
        <w:t>should be</w:t>
      </w:r>
      <w:r>
        <w:t xml:space="preserve"> </w:t>
      </w:r>
      <w:r w:rsidRPr="00745A63">
        <w:t>tested by a single person to whom the event will be assigned by laborator</w:t>
      </w:r>
      <w:r w:rsidRPr="00745A63">
        <w:t>y management and will be completed as soon as practicable following assignment.</w:t>
      </w:r>
    </w:p>
    <w:p w14:paraId="31288E66" w14:textId="77777777" w:rsidR="00F45F34" w:rsidRDefault="007A79F4" w:rsidP="00F93401">
      <w:pPr>
        <w:pStyle w:val="Style2"/>
        <w:numPr>
          <w:ilvl w:val="0"/>
          <w:numId w:val="0"/>
        </w:numPr>
        <w:ind w:left="720"/>
      </w:pPr>
      <w:r w:rsidRPr="00745A63">
        <w:t xml:space="preserve"> </w:t>
      </w:r>
    </w:p>
    <w:p w14:paraId="7BEB9D51" w14:textId="77777777" w:rsidR="00F45F34" w:rsidRDefault="007A79F4" w:rsidP="00F45F34">
      <w:pPr>
        <w:pStyle w:val="Style2"/>
        <w:numPr>
          <w:ilvl w:val="0"/>
          <w:numId w:val="35"/>
        </w:numPr>
      </w:pPr>
      <w:r>
        <w:t>In circumstances where the PT event has more than one sample, the testing can be performed by more than one person and should follow the same workflow as patient testing. Eac</w:t>
      </w:r>
      <w:r>
        <w:t xml:space="preserve">h personnel participating in PT testing must sign the PT attestation page and must write the details of the testing performed (e.g. PT sample identification, test(s) performed,     </w:t>
      </w:r>
    </w:p>
    <w:p w14:paraId="18FF2A75" w14:textId="77777777" w:rsidR="00F45F34" w:rsidRDefault="00F45F34" w:rsidP="00F93401">
      <w:pPr>
        <w:pStyle w:val="Style2"/>
        <w:numPr>
          <w:ilvl w:val="0"/>
          <w:numId w:val="0"/>
        </w:numPr>
        <w:ind w:left="720"/>
      </w:pPr>
    </w:p>
    <w:p w14:paraId="100C9210" w14:textId="77777777" w:rsidR="00F45F34" w:rsidRPr="006136F9" w:rsidRDefault="007A79F4" w:rsidP="00F45F34">
      <w:pPr>
        <w:pStyle w:val="Style2"/>
        <w:numPr>
          <w:ilvl w:val="0"/>
          <w:numId w:val="35"/>
        </w:numPr>
      </w:pPr>
      <w:r w:rsidRPr="006136F9">
        <w:t xml:space="preserve">Documentation of testing details </w:t>
      </w:r>
      <w:r>
        <w:t>such as</w:t>
      </w:r>
      <w:r w:rsidRPr="005E5684">
        <w:t xml:space="preserve"> method and instrument used if applicable</w:t>
      </w:r>
      <w:r>
        <w:t xml:space="preserve"> </w:t>
      </w:r>
      <w:r w:rsidRPr="006136F9">
        <w:t>will be retained with the PT event.</w:t>
      </w:r>
    </w:p>
    <w:p w14:paraId="4D4C3532" w14:textId="77777777" w:rsidR="00F45F34" w:rsidRPr="006136F9" w:rsidRDefault="00F45F34" w:rsidP="00F45F34">
      <w:pPr>
        <w:ind w:left="360" w:hanging="360"/>
      </w:pPr>
    </w:p>
    <w:p w14:paraId="7FA1A0A4" w14:textId="77777777" w:rsidR="00F45F34" w:rsidRDefault="007A79F4" w:rsidP="00F45F34">
      <w:pPr>
        <w:pStyle w:val="Style2"/>
        <w:numPr>
          <w:ilvl w:val="0"/>
          <w:numId w:val="35"/>
        </w:numPr>
      </w:pPr>
      <w:r w:rsidRPr="006136F9">
        <w:t xml:space="preserve">Once PT testing has begun every attempt should be made to complete the testing in the assigned shift. </w:t>
      </w:r>
    </w:p>
    <w:p w14:paraId="769CBFD7" w14:textId="77777777" w:rsidR="00F45F34" w:rsidRDefault="00F45F34" w:rsidP="00F45F34">
      <w:pPr>
        <w:pStyle w:val="ListParagraph"/>
        <w:numPr>
          <w:ilvl w:val="0"/>
          <w:numId w:val="0"/>
        </w:numPr>
        <w:ind w:left="360"/>
      </w:pPr>
    </w:p>
    <w:p w14:paraId="76789C81" w14:textId="77777777" w:rsidR="00F45F34" w:rsidRPr="004E0456" w:rsidRDefault="007A79F4" w:rsidP="00F45F34">
      <w:pPr>
        <w:pStyle w:val="Style2"/>
        <w:numPr>
          <w:ilvl w:val="0"/>
          <w:numId w:val="35"/>
        </w:numPr>
      </w:pPr>
      <w:r>
        <w:t>I</w:t>
      </w:r>
      <w:r w:rsidRPr="00745A63">
        <w:t xml:space="preserve">ndividual test events </w:t>
      </w:r>
      <w:r>
        <w:t>should</w:t>
      </w:r>
      <w:r w:rsidRPr="006136F9">
        <w:t xml:space="preserve"> be rotated, amongst all competent testing p</w:t>
      </w:r>
      <w:r w:rsidRPr="006136F9">
        <w:t>ersonnel while respecting patient workload.</w:t>
      </w:r>
      <w:r>
        <w:t xml:space="preserve"> </w:t>
      </w:r>
    </w:p>
    <w:p w14:paraId="0C18F561" w14:textId="77777777" w:rsidR="00F45F34" w:rsidRDefault="00F45F34" w:rsidP="00F93401">
      <w:pPr>
        <w:pStyle w:val="Style2"/>
        <w:numPr>
          <w:ilvl w:val="0"/>
          <w:numId w:val="0"/>
        </w:numPr>
        <w:ind w:left="720"/>
      </w:pPr>
    </w:p>
    <w:p w14:paraId="348A4F19" w14:textId="77777777" w:rsidR="00F45F34" w:rsidRDefault="007A79F4" w:rsidP="00F93401">
      <w:pPr>
        <w:pStyle w:val="Style2"/>
        <w:numPr>
          <w:ilvl w:val="0"/>
          <w:numId w:val="35"/>
        </w:numPr>
      </w:pPr>
      <w:r>
        <w:t>Prepare PT s</w:t>
      </w:r>
      <w:r w:rsidRPr="00FA6367">
        <w:t xml:space="preserve">amples </w:t>
      </w:r>
      <w:r>
        <w:t xml:space="preserve">according to the PT kit </w:t>
      </w:r>
      <w:r w:rsidRPr="00FA6367">
        <w:t xml:space="preserve">instructions. </w:t>
      </w:r>
    </w:p>
    <w:p w14:paraId="39094926" w14:textId="77777777" w:rsidR="00F45F34" w:rsidRDefault="00F45F34" w:rsidP="00F93401">
      <w:pPr>
        <w:pStyle w:val="Style2"/>
        <w:numPr>
          <w:ilvl w:val="0"/>
          <w:numId w:val="0"/>
        </w:numPr>
        <w:ind w:left="720"/>
      </w:pPr>
    </w:p>
    <w:p w14:paraId="34481331" w14:textId="77777777" w:rsidR="00F45F34" w:rsidRDefault="007A79F4" w:rsidP="00F45F34">
      <w:pPr>
        <w:pStyle w:val="Style2"/>
        <w:numPr>
          <w:ilvl w:val="0"/>
          <w:numId w:val="21"/>
        </w:numPr>
      </w:pPr>
      <w:r w:rsidRPr="00745A63">
        <w:t>If patient samples are written on a daily log</w:t>
      </w:r>
      <w:r>
        <w:t xml:space="preserve"> or patient worksheet</w:t>
      </w:r>
      <w:r w:rsidRPr="00745A63">
        <w:t xml:space="preserve">, PT </w:t>
      </w:r>
      <w:r>
        <w:t xml:space="preserve">results </w:t>
      </w:r>
      <w:r w:rsidRPr="00745A63">
        <w:t xml:space="preserve">should </w:t>
      </w:r>
      <w:r>
        <w:t>also be documented on a daily log or patient worksheet</w:t>
      </w:r>
      <w:r w:rsidRPr="00745A63">
        <w:t>.</w:t>
      </w:r>
    </w:p>
    <w:p w14:paraId="4C151737" w14:textId="77777777" w:rsidR="00F45F34" w:rsidRDefault="00F45F34" w:rsidP="00F45F34">
      <w:pPr>
        <w:pStyle w:val="Style1"/>
        <w:numPr>
          <w:ilvl w:val="0"/>
          <w:numId w:val="0"/>
        </w:numPr>
        <w:ind w:left="720" w:hanging="360"/>
      </w:pPr>
    </w:p>
    <w:p w14:paraId="60287FB5" w14:textId="77777777" w:rsidR="00F45F34" w:rsidRPr="00CC0B3E" w:rsidRDefault="007A79F4" w:rsidP="00F45F34">
      <w:pPr>
        <w:pStyle w:val="ListParagraph"/>
        <w:numPr>
          <w:ilvl w:val="0"/>
          <w:numId w:val="14"/>
        </w:numPr>
        <w:rPr>
          <w:b/>
        </w:rPr>
      </w:pPr>
      <w:r w:rsidRPr="00CC0B3E">
        <w:rPr>
          <w:b/>
        </w:rPr>
        <w:t xml:space="preserve">Reporting </w:t>
      </w:r>
      <w:r>
        <w:rPr>
          <w:b/>
        </w:rPr>
        <w:t>of PT Results</w:t>
      </w:r>
    </w:p>
    <w:p w14:paraId="0CB81DB8" w14:textId="77777777" w:rsidR="00F45F34" w:rsidRDefault="00F45F34" w:rsidP="00F45F34">
      <w:pPr>
        <w:pStyle w:val="ListParagraph"/>
        <w:numPr>
          <w:ilvl w:val="0"/>
          <w:numId w:val="0"/>
        </w:numPr>
        <w:ind w:left="360"/>
      </w:pPr>
    </w:p>
    <w:p w14:paraId="0E58E2F4" w14:textId="77777777" w:rsidR="00F45F34" w:rsidRDefault="007A79F4" w:rsidP="00F45F34">
      <w:pPr>
        <w:pStyle w:val="Style1"/>
        <w:numPr>
          <w:ilvl w:val="0"/>
          <w:numId w:val="22"/>
        </w:numPr>
      </w:pPr>
      <w:r w:rsidRPr="00CC0B3E">
        <w:t xml:space="preserve">For purchased PT materials, results are recorded </w:t>
      </w:r>
      <w:r>
        <w:t xml:space="preserve">and submitted </w:t>
      </w:r>
      <w:r w:rsidRPr="00CC0B3E">
        <w:t>as directed per kit instructions, within the allotted time frame indicated for that event. Completed report</w:t>
      </w:r>
      <w:r>
        <w:t>s</w:t>
      </w:r>
      <w:r w:rsidRPr="00CC0B3E">
        <w:t xml:space="preserve"> are filed with pertinent work sheets, QC documentation, ins</w:t>
      </w:r>
      <w:r w:rsidRPr="00CC0B3E">
        <w:t xml:space="preserve">trument data, etc. and are maintained for at least 2 years </w:t>
      </w:r>
      <w:r>
        <w:t>(</w:t>
      </w:r>
      <w:r w:rsidRPr="009D115E">
        <w:t>five years for transfusion medicine</w:t>
      </w:r>
      <w:r>
        <w:t>) (</w:t>
      </w:r>
      <w:r w:rsidRPr="00287164">
        <w:rPr>
          <w:i/>
        </w:rPr>
        <w:t>COM.01700</w:t>
      </w:r>
      <w:r>
        <w:rPr>
          <w:i/>
        </w:rPr>
        <w:t>)</w:t>
      </w:r>
      <w:r w:rsidRPr="009D115E">
        <w:t xml:space="preserve"> </w:t>
      </w:r>
      <w:r w:rsidRPr="00CC0B3E">
        <w:t xml:space="preserve">within each lab section. </w:t>
      </w:r>
    </w:p>
    <w:p w14:paraId="03076C95" w14:textId="77777777" w:rsidR="00F45F34" w:rsidRDefault="00F45F34" w:rsidP="00F45F34">
      <w:pPr>
        <w:pStyle w:val="Style1"/>
        <w:numPr>
          <w:ilvl w:val="0"/>
          <w:numId w:val="0"/>
        </w:numPr>
        <w:ind w:left="720"/>
      </w:pPr>
    </w:p>
    <w:p w14:paraId="4EDD3D9C" w14:textId="77777777" w:rsidR="00F45F34" w:rsidRDefault="007A79F4" w:rsidP="00F45F34">
      <w:pPr>
        <w:pStyle w:val="Style1"/>
        <w:numPr>
          <w:ilvl w:val="0"/>
          <w:numId w:val="22"/>
        </w:numPr>
      </w:pPr>
      <w:r w:rsidRPr="00142476">
        <w:t xml:space="preserve">PT Attestation Statement </w:t>
      </w:r>
      <w:r w:rsidRPr="00287164">
        <w:t>(</w:t>
      </w:r>
      <w:r w:rsidRPr="00287164">
        <w:rPr>
          <w:i/>
        </w:rPr>
        <w:t>CAP COM.01400</w:t>
      </w:r>
      <w:r w:rsidRPr="00287164">
        <w:t>)</w:t>
      </w:r>
      <w:r>
        <w:t xml:space="preserve"> - </w:t>
      </w:r>
      <w:r w:rsidRPr="00CC0B3E">
        <w:t>The attestation sheet</w:t>
      </w:r>
      <w:r>
        <w:t xml:space="preserve"> </w:t>
      </w:r>
      <w:r w:rsidRPr="00CC0B3E">
        <w:t xml:space="preserve">must be signed by the analyst(s) and the </w:t>
      </w:r>
      <w:r>
        <w:t>Medical Direct</w:t>
      </w:r>
      <w:r>
        <w:t xml:space="preserve">or </w:t>
      </w:r>
      <w:r w:rsidRPr="00CC0B3E">
        <w:t>(or designee)</w:t>
      </w:r>
      <w:r w:rsidRPr="00287164">
        <w:rPr>
          <w:i/>
        </w:rPr>
        <w:t>.</w:t>
      </w:r>
    </w:p>
    <w:p w14:paraId="18916D55" w14:textId="77777777" w:rsidR="00F45F34" w:rsidRDefault="00F45F34" w:rsidP="00F45F34">
      <w:pPr>
        <w:pStyle w:val="ListParagraph"/>
        <w:numPr>
          <w:ilvl w:val="0"/>
          <w:numId w:val="0"/>
        </w:numPr>
        <w:ind w:left="360"/>
      </w:pPr>
    </w:p>
    <w:p w14:paraId="1E1C1053" w14:textId="77777777" w:rsidR="00F45F34" w:rsidRDefault="007A79F4" w:rsidP="00F45F34">
      <w:pPr>
        <w:pStyle w:val="Style1"/>
        <w:numPr>
          <w:ilvl w:val="0"/>
          <w:numId w:val="22"/>
        </w:numPr>
      </w:pPr>
      <w:r w:rsidRPr="00CC0B3E">
        <w:t xml:space="preserve">All recorded information is checked for accuracy and completeness by the manager prior to submission. </w:t>
      </w:r>
    </w:p>
    <w:p w14:paraId="35AB0DB4" w14:textId="77777777" w:rsidR="00F45F34" w:rsidRDefault="00F45F34" w:rsidP="00F45F34">
      <w:pPr>
        <w:pStyle w:val="ListParagraph"/>
        <w:numPr>
          <w:ilvl w:val="0"/>
          <w:numId w:val="0"/>
        </w:numPr>
        <w:ind w:left="360"/>
      </w:pPr>
    </w:p>
    <w:p w14:paraId="7E398C27" w14:textId="77777777" w:rsidR="00F45F34" w:rsidRDefault="007A79F4" w:rsidP="00F45F34">
      <w:pPr>
        <w:pStyle w:val="Style1"/>
        <w:numPr>
          <w:ilvl w:val="0"/>
          <w:numId w:val="22"/>
        </w:numPr>
      </w:pPr>
      <w:r w:rsidRPr="00CC0B3E">
        <w:t xml:space="preserve">Results are submitted to the appropriate agency for evaluation via fax, mail or electronically. </w:t>
      </w:r>
    </w:p>
    <w:p w14:paraId="00C2A53D" w14:textId="77777777" w:rsidR="00F45F34" w:rsidRDefault="00F45F34" w:rsidP="00F45F34">
      <w:pPr>
        <w:pStyle w:val="ListParagraph"/>
        <w:numPr>
          <w:ilvl w:val="0"/>
          <w:numId w:val="0"/>
        </w:numPr>
        <w:ind w:left="360"/>
      </w:pPr>
    </w:p>
    <w:p w14:paraId="4649CC62" w14:textId="77777777" w:rsidR="00F45F34" w:rsidRDefault="007A79F4" w:rsidP="00F45F34">
      <w:pPr>
        <w:pStyle w:val="Style1"/>
        <w:numPr>
          <w:ilvl w:val="0"/>
          <w:numId w:val="22"/>
        </w:numPr>
      </w:pPr>
      <w:r w:rsidRPr="00CC0B3E">
        <w:t>The laboratory must document the ha</w:t>
      </w:r>
      <w:r w:rsidRPr="00CC0B3E">
        <w:t>ndling, preparation, processing, examination and each step in the testing and reporting of results for all PT samples. The laboratory must maintain a copy of all records,</w:t>
      </w:r>
      <w:r>
        <w:t xml:space="preserve"> electronic or paper,</w:t>
      </w:r>
      <w:r w:rsidRPr="00CC0B3E">
        <w:t xml:space="preserve"> including </w:t>
      </w:r>
      <w:r>
        <w:t xml:space="preserve">copies </w:t>
      </w:r>
      <w:r w:rsidRPr="00CC0B3E">
        <w:t>of the PT program report forms</w:t>
      </w:r>
      <w:r>
        <w:t xml:space="preserve"> and </w:t>
      </w:r>
      <w:r w:rsidRPr="00CC0B3E">
        <w:t>the attestat</w:t>
      </w:r>
      <w:r w:rsidRPr="00CC0B3E">
        <w:t>ion statement provided by the PT program for two years</w:t>
      </w:r>
      <w:r>
        <w:t xml:space="preserve"> </w:t>
      </w:r>
      <w:r w:rsidRPr="00860BDB">
        <w:t>(five years for transfusion medicine)</w:t>
      </w:r>
      <w:r>
        <w:t xml:space="preserve"> </w:t>
      </w:r>
      <w:r w:rsidRPr="00287164">
        <w:rPr>
          <w:i/>
        </w:rPr>
        <w:t>(COM.01700)</w:t>
      </w:r>
      <w:r>
        <w:rPr>
          <w:i/>
        </w:rPr>
        <w:t xml:space="preserve"> see </w:t>
      </w:r>
      <w:hyperlink w:anchor="Documentation" w:history="1">
        <w:r w:rsidRPr="00501099">
          <w:rPr>
            <w:rStyle w:val="Hyperlink"/>
            <w:i/>
          </w:rPr>
          <w:t>Documentation</w:t>
        </w:r>
      </w:hyperlink>
      <w:r>
        <w:rPr>
          <w:i/>
        </w:rPr>
        <w:t xml:space="preserve"> section.</w:t>
      </w:r>
      <w:r w:rsidRPr="00CC0B3E">
        <w:t xml:space="preserve"> These are maintained in each </w:t>
      </w:r>
      <w:r>
        <w:t xml:space="preserve">lab </w:t>
      </w:r>
      <w:r w:rsidRPr="00CC0B3E">
        <w:t>section.</w:t>
      </w:r>
    </w:p>
    <w:p w14:paraId="1832A06D" w14:textId="77777777" w:rsidR="00F45F34" w:rsidRDefault="00F45F34" w:rsidP="00F45F34"/>
    <w:p w14:paraId="694125D9" w14:textId="77777777" w:rsidR="00F45F34" w:rsidRPr="009B7DF1" w:rsidRDefault="007A79F4" w:rsidP="00F45F34">
      <w:pPr>
        <w:pStyle w:val="ListParagraph"/>
      </w:pPr>
      <w:r w:rsidRPr="00287164">
        <w:rPr>
          <w:b/>
        </w:rPr>
        <w:t xml:space="preserve">Results Review </w:t>
      </w:r>
      <w:r>
        <w:rPr>
          <w:b/>
        </w:rPr>
        <w:t>(</w:t>
      </w:r>
      <w:r w:rsidRPr="00287164">
        <w:rPr>
          <w:b/>
          <w:i/>
        </w:rPr>
        <w:t>CAP COM.01700</w:t>
      </w:r>
      <w:r>
        <w:rPr>
          <w:b/>
        </w:rPr>
        <w:t>):</w:t>
      </w:r>
    </w:p>
    <w:p w14:paraId="0355F524" w14:textId="77777777" w:rsidR="00F45F34" w:rsidRPr="009B7DF1" w:rsidRDefault="00F45F34" w:rsidP="00F45F34"/>
    <w:p w14:paraId="13AA0A7F" w14:textId="77777777" w:rsidR="00F45F34" w:rsidRPr="00287164" w:rsidRDefault="007A79F4" w:rsidP="00F45F34">
      <w:pPr>
        <w:pStyle w:val="Style1"/>
        <w:numPr>
          <w:ilvl w:val="0"/>
          <w:numId w:val="23"/>
        </w:numPr>
        <w:rPr>
          <w:i/>
        </w:rPr>
      </w:pPr>
      <w:r w:rsidRPr="00BB7414">
        <w:t>As delegated</w:t>
      </w:r>
      <w:r>
        <w:t xml:space="preserve"> by the CLIA Lab Director, the Section M</w:t>
      </w:r>
      <w:r w:rsidRPr="00BB7414">
        <w:t xml:space="preserve">edical </w:t>
      </w:r>
      <w:r>
        <w:t>Director, Section Manager/Assistant Manager or Laboratory S</w:t>
      </w:r>
      <w:r w:rsidRPr="00BB7414">
        <w:t>pecialist will review all results (graded, ungraded, educational, etc.) represented within the testing event. During the event review process</w:t>
      </w:r>
      <w:r>
        <w:t xml:space="preserve">, all </w:t>
      </w:r>
      <w:r w:rsidRPr="00BB7414">
        <w:t>ung</w:t>
      </w:r>
      <w:r w:rsidRPr="00BB7414">
        <w:t xml:space="preserve">raded </w:t>
      </w:r>
      <w:r>
        <w:t xml:space="preserve">and </w:t>
      </w:r>
      <w:r w:rsidRPr="00D80D15">
        <w:t xml:space="preserve">educational responses </w:t>
      </w:r>
      <w:r w:rsidRPr="00BB7414">
        <w:t xml:space="preserve">must be assessed for acceptable performance in addition to graded responses. In the event the ungraded or educational result is found to be unacceptable based on peer data review, corrective action process will be </w:t>
      </w:r>
      <w:r>
        <w:t>required a</w:t>
      </w:r>
      <w:r>
        <w:t>nd documented (</w:t>
      </w:r>
      <w:r w:rsidRPr="00287164">
        <w:rPr>
          <w:i/>
        </w:rPr>
        <w:t xml:space="preserve">refer to </w:t>
      </w:r>
      <w:hyperlink w:anchor="Documentation" w:history="1">
        <w:r w:rsidRPr="00287164">
          <w:rPr>
            <w:rStyle w:val="Hyperlink"/>
            <w:i/>
          </w:rPr>
          <w:t>Documentation</w:t>
        </w:r>
      </w:hyperlink>
      <w:r w:rsidRPr="00287164">
        <w:rPr>
          <w:i/>
        </w:rPr>
        <w:t xml:space="preserve"> section</w:t>
      </w:r>
      <w:r>
        <w:t xml:space="preserve">). </w:t>
      </w:r>
    </w:p>
    <w:p w14:paraId="7D616840" w14:textId="77777777" w:rsidR="00F45F34" w:rsidRDefault="00F45F34" w:rsidP="00F45F34">
      <w:pPr>
        <w:pStyle w:val="Style1"/>
        <w:numPr>
          <w:ilvl w:val="0"/>
          <w:numId w:val="0"/>
        </w:numPr>
        <w:ind w:left="720"/>
      </w:pPr>
    </w:p>
    <w:p w14:paraId="1CE94F58" w14:textId="77777777" w:rsidR="00F45F34" w:rsidRDefault="007A79F4" w:rsidP="00F45F34">
      <w:pPr>
        <w:pStyle w:val="Style1"/>
        <w:numPr>
          <w:ilvl w:val="0"/>
          <w:numId w:val="0"/>
        </w:numPr>
        <w:ind w:left="720"/>
      </w:pPr>
      <w:r w:rsidRPr="00287164">
        <w:rPr>
          <w:b/>
        </w:rPr>
        <w:t>Ungraded PT Challenges</w:t>
      </w:r>
      <w:r>
        <w:t xml:space="preserve"> </w:t>
      </w:r>
      <w:r w:rsidRPr="00287164">
        <w:rPr>
          <w:b/>
          <w:i/>
        </w:rPr>
        <w:t>(COM.01100)</w:t>
      </w:r>
      <w:r>
        <w:t xml:space="preserve"> - </w:t>
      </w:r>
      <w:r w:rsidRPr="00BB7414">
        <w:t>If a PT challenge was intended to be graded, but was not, for reasons such as</w:t>
      </w:r>
      <w:r>
        <w:t>:</w:t>
      </w:r>
    </w:p>
    <w:p w14:paraId="3D95B29E" w14:textId="77777777" w:rsidR="00F45F34" w:rsidRDefault="00F45F34" w:rsidP="00F45F34">
      <w:pPr>
        <w:pStyle w:val="Style1"/>
        <w:numPr>
          <w:ilvl w:val="0"/>
          <w:numId w:val="0"/>
        </w:numPr>
        <w:ind w:left="720"/>
      </w:pPr>
    </w:p>
    <w:p w14:paraId="32F23476" w14:textId="77777777" w:rsidR="00F45F34" w:rsidRDefault="007A79F4" w:rsidP="00F45F34">
      <w:pPr>
        <w:pStyle w:val="Style2"/>
        <w:numPr>
          <w:ilvl w:val="0"/>
          <w:numId w:val="24"/>
        </w:numPr>
      </w:pPr>
      <w:r w:rsidRPr="00BB7414">
        <w:t xml:space="preserve">The laboratory submitted its results after the cut-off date, </w:t>
      </w:r>
    </w:p>
    <w:p w14:paraId="10D35D46" w14:textId="77777777" w:rsidR="00F45F34" w:rsidRDefault="00F45F34" w:rsidP="00F93401">
      <w:pPr>
        <w:pStyle w:val="Style2"/>
        <w:numPr>
          <w:ilvl w:val="0"/>
          <w:numId w:val="0"/>
        </w:numPr>
        <w:ind w:left="1080"/>
      </w:pPr>
    </w:p>
    <w:p w14:paraId="17AE0812" w14:textId="77777777" w:rsidR="00F45F34" w:rsidRDefault="007A79F4" w:rsidP="00F45F34">
      <w:pPr>
        <w:pStyle w:val="Style2"/>
        <w:numPr>
          <w:ilvl w:val="0"/>
          <w:numId w:val="24"/>
        </w:numPr>
      </w:pPr>
      <w:r w:rsidRPr="00BB7414">
        <w:t xml:space="preserve">The laboratory did not submit results, </w:t>
      </w:r>
    </w:p>
    <w:p w14:paraId="0A785284" w14:textId="77777777" w:rsidR="00F45F34" w:rsidRDefault="00F45F34" w:rsidP="00F45F34">
      <w:pPr>
        <w:pStyle w:val="ListParagraph"/>
        <w:numPr>
          <w:ilvl w:val="0"/>
          <w:numId w:val="0"/>
        </w:numPr>
        <w:ind w:left="360"/>
      </w:pPr>
    </w:p>
    <w:p w14:paraId="4502395E" w14:textId="77777777" w:rsidR="00F45F34" w:rsidRDefault="007A79F4" w:rsidP="00F45F34">
      <w:pPr>
        <w:pStyle w:val="Style2"/>
        <w:numPr>
          <w:ilvl w:val="0"/>
          <w:numId w:val="24"/>
        </w:numPr>
      </w:pPr>
      <w:r w:rsidRPr="00BB7414">
        <w:t xml:space="preserve">The laboratory did not complete the result form correctly (for example, submitting the wrong method code or recording the result in the wrong place). </w:t>
      </w:r>
    </w:p>
    <w:p w14:paraId="015F9375" w14:textId="77777777" w:rsidR="00F45F34" w:rsidRDefault="00F45F34" w:rsidP="00F45F34">
      <w:pPr>
        <w:pStyle w:val="ListParagraph"/>
        <w:numPr>
          <w:ilvl w:val="0"/>
          <w:numId w:val="0"/>
        </w:numPr>
        <w:ind w:left="360"/>
      </w:pPr>
    </w:p>
    <w:p w14:paraId="4AA8ADD8" w14:textId="77777777" w:rsidR="00F45F34" w:rsidRDefault="007A79F4" w:rsidP="00F45F34">
      <w:pPr>
        <w:pStyle w:val="Style2"/>
        <w:numPr>
          <w:ilvl w:val="0"/>
          <w:numId w:val="24"/>
        </w:numPr>
      </w:pPr>
      <w:r>
        <w:t>The laboratory result was not graded because of lack of consensus.</w:t>
      </w:r>
    </w:p>
    <w:p w14:paraId="4422161B" w14:textId="77777777" w:rsidR="00F45F34" w:rsidRDefault="00F45F34" w:rsidP="00F45F34">
      <w:pPr>
        <w:pStyle w:val="ListParagraph"/>
        <w:numPr>
          <w:ilvl w:val="0"/>
          <w:numId w:val="0"/>
        </w:numPr>
        <w:ind w:left="360"/>
      </w:pPr>
    </w:p>
    <w:p w14:paraId="6AB6D88E" w14:textId="77777777" w:rsidR="00F45F34" w:rsidRPr="00DB617B" w:rsidRDefault="007A79F4" w:rsidP="00F45F34">
      <w:pPr>
        <w:ind w:left="720"/>
      </w:pPr>
      <w:r w:rsidRPr="00593A9F">
        <w:t xml:space="preserve">Then the laboratory should perform their own assessment of the PT challenge. The PT assessment for ungraded challenges </w:t>
      </w:r>
      <w:r>
        <w:t xml:space="preserve">including educational challenges, </w:t>
      </w:r>
      <w:r w:rsidRPr="00593A9F">
        <w:t>must include an assessment/conclusi</w:t>
      </w:r>
      <w:r w:rsidRPr="00593A9F">
        <w:t xml:space="preserve">on from the </w:t>
      </w:r>
      <w:r>
        <w:t>M</w:t>
      </w:r>
      <w:r w:rsidRPr="00593A9F">
        <w:t xml:space="preserve">edical </w:t>
      </w:r>
      <w:r>
        <w:t>D</w:t>
      </w:r>
      <w:r w:rsidRPr="00593A9F">
        <w:t>irector (or designee) as to whether the laboratories response was acceptable or no</w:t>
      </w:r>
      <w:r>
        <w:t>t (</w:t>
      </w:r>
      <w:r w:rsidRPr="00287164">
        <w:rPr>
          <w:i/>
        </w:rPr>
        <w:t xml:space="preserve">refer to </w:t>
      </w:r>
      <w:hyperlink w:anchor="Documentation" w:history="1">
        <w:r w:rsidRPr="00287164">
          <w:rPr>
            <w:rStyle w:val="Hyperlink"/>
            <w:i/>
          </w:rPr>
          <w:t>Documentation</w:t>
        </w:r>
      </w:hyperlink>
      <w:r w:rsidRPr="00287164">
        <w:rPr>
          <w:i/>
        </w:rPr>
        <w:t xml:space="preserve"> section</w:t>
      </w:r>
      <w:r>
        <w:t>).</w:t>
      </w:r>
    </w:p>
    <w:p w14:paraId="039EBC1F" w14:textId="77777777" w:rsidR="00F45F34" w:rsidRDefault="00F45F34" w:rsidP="00F93401">
      <w:pPr>
        <w:pStyle w:val="Style2"/>
        <w:numPr>
          <w:ilvl w:val="0"/>
          <w:numId w:val="0"/>
        </w:numPr>
        <w:ind w:left="1080"/>
      </w:pPr>
    </w:p>
    <w:p w14:paraId="7BA3A063" w14:textId="77777777" w:rsidR="00F45F34" w:rsidRDefault="007A79F4" w:rsidP="00F45F34">
      <w:pPr>
        <w:pStyle w:val="Style1"/>
        <w:numPr>
          <w:ilvl w:val="0"/>
          <w:numId w:val="23"/>
        </w:numPr>
      </w:pPr>
      <w:r w:rsidRPr="00BB7414">
        <w:t xml:space="preserve">Acceptable participation in the event means you received a passing score of 80% or more on the testing event. </w:t>
      </w:r>
    </w:p>
    <w:p w14:paraId="4F4CFFD5" w14:textId="77777777" w:rsidR="00F45F34" w:rsidRDefault="00F45F34" w:rsidP="00F45F34">
      <w:pPr>
        <w:pStyle w:val="Style1"/>
        <w:numPr>
          <w:ilvl w:val="0"/>
          <w:numId w:val="0"/>
        </w:numPr>
        <w:ind w:left="720"/>
      </w:pPr>
    </w:p>
    <w:p w14:paraId="57FF709C" w14:textId="77777777" w:rsidR="00F45F34" w:rsidRPr="00287164" w:rsidRDefault="007A79F4" w:rsidP="00F45F34">
      <w:pPr>
        <w:pStyle w:val="Style1"/>
        <w:numPr>
          <w:ilvl w:val="0"/>
          <w:numId w:val="23"/>
        </w:numPr>
        <w:rPr>
          <w:i/>
        </w:rPr>
      </w:pPr>
      <w:r w:rsidRPr="00BB7414">
        <w:t>For any results that did not receive a passing score in the event, the manager must evaluate and document</w:t>
      </w:r>
      <w:r>
        <w:t xml:space="preserve"> (refer to </w:t>
      </w:r>
      <w:hyperlink w:anchor="Documentation" w:history="1">
        <w:r w:rsidRPr="00287164">
          <w:rPr>
            <w:rStyle w:val="Hyperlink"/>
            <w:i/>
          </w:rPr>
          <w:t>Documentation</w:t>
        </w:r>
      </w:hyperlink>
      <w:r>
        <w:t xml:space="preserve"> section)</w:t>
      </w:r>
      <w:r w:rsidRPr="00BB7414">
        <w:t xml:space="preserve"> possible reasons for failure and any corrective action that may be necessary.</w:t>
      </w:r>
      <w:r>
        <w:t xml:space="preserve"> </w:t>
      </w:r>
    </w:p>
    <w:p w14:paraId="7D8FEF87" w14:textId="77777777" w:rsidR="00F45F34" w:rsidRDefault="00F45F34" w:rsidP="00F45F34">
      <w:pPr>
        <w:pStyle w:val="ListParagraph"/>
        <w:numPr>
          <w:ilvl w:val="0"/>
          <w:numId w:val="0"/>
        </w:numPr>
        <w:ind w:left="360"/>
      </w:pPr>
    </w:p>
    <w:p w14:paraId="15E50C9A" w14:textId="77777777" w:rsidR="00F45F34" w:rsidRPr="000C14D9" w:rsidRDefault="007A79F4" w:rsidP="00F45F34">
      <w:pPr>
        <w:numPr>
          <w:ilvl w:val="0"/>
          <w:numId w:val="27"/>
        </w:numPr>
      </w:pPr>
      <w:r w:rsidRPr="000C14D9">
        <w:t>Exception codes –</w:t>
      </w:r>
      <w:r>
        <w:t xml:space="preserve"> </w:t>
      </w:r>
      <w:r w:rsidRPr="00287164">
        <w:t xml:space="preserve">CAP uses exception reason codes to signify that an analyte </w:t>
      </w:r>
      <w:r>
        <w:t xml:space="preserve">has not been </w:t>
      </w:r>
      <w:r w:rsidRPr="00287164">
        <w:t xml:space="preserve">graded. </w:t>
      </w:r>
      <w:r>
        <w:t>R</w:t>
      </w:r>
      <w:r w:rsidRPr="00135863">
        <w:t xml:space="preserve">efer to </w:t>
      </w:r>
      <w:r w:rsidRPr="00287164">
        <w:rPr>
          <w:i/>
        </w:rPr>
        <w:t>Att</w:t>
      </w:r>
      <w:r w:rsidRPr="00C06601">
        <w:rPr>
          <w:i/>
        </w:rPr>
        <w:t xml:space="preserve">achment A: </w:t>
      </w:r>
      <w:hyperlink w:anchor="ExceptionCode" w:history="1">
        <w:r w:rsidRPr="004E01F1">
          <w:rPr>
            <w:rStyle w:val="Hyperlink"/>
            <w:i/>
          </w:rPr>
          <w:t>CAP PT Exception</w:t>
        </w:r>
        <w:r w:rsidRPr="00287164">
          <w:rPr>
            <w:rStyle w:val="Hyperlink"/>
            <w:i/>
          </w:rPr>
          <w:t xml:space="preserve"> Code</w:t>
        </w:r>
      </w:hyperlink>
      <w:r>
        <w:t xml:space="preserve"> for the list of codes, description and recommended corrective action.</w:t>
      </w:r>
    </w:p>
    <w:p w14:paraId="0F211B7B" w14:textId="77777777" w:rsidR="00F45F34" w:rsidRPr="000C14D9" w:rsidRDefault="00F45F34" w:rsidP="00F45F34"/>
    <w:p w14:paraId="0428059E" w14:textId="77777777" w:rsidR="00F45F34" w:rsidRPr="000C14D9" w:rsidRDefault="007A79F4" w:rsidP="00F45F34">
      <w:pPr>
        <w:numPr>
          <w:ilvl w:val="0"/>
          <w:numId w:val="27"/>
        </w:numPr>
      </w:pPr>
      <w:r w:rsidRPr="000C14D9">
        <w:t>Review each exception codes</w:t>
      </w:r>
      <w:r>
        <w:t xml:space="preserve"> and document the laboratory’s evaluation (refer to </w:t>
      </w:r>
      <w:hyperlink w:anchor="Documentation" w:history="1">
        <w:r w:rsidRPr="00287164">
          <w:rPr>
            <w:rStyle w:val="Hyperlink"/>
            <w:i/>
          </w:rPr>
          <w:t>Documentation</w:t>
        </w:r>
      </w:hyperlink>
      <w:r>
        <w:t xml:space="preserve"> section). </w:t>
      </w:r>
    </w:p>
    <w:p w14:paraId="0E6C4044" w14:textId="77777777" w:rsidR="00F45F34" w:rsidRPr="000C14D9" w:rsidRDefault="00F45F34" w:rsidP="00F45F34"/>
    <w:p w14:paraId="69EA1737" w14:textId="77777777" w:rsidR="00F45F34" w:rsidRDefault="007A79F4" w:rsidP="00F45F34">
      <w:pPr>
        <w:numPr>
          <w:ilvl w:val="0"/>
          <w:numId w:val="27"/>
        </w:numPr>
      </w:pPr>
      <w:r w:rsidRPr="000C14D9">
        <w:t>If results are unac</w:t>
      </w:r>
      <w:r w:rsidRPr="000C14D9">
        <w:t xml:space="preserve">ceptable based on peer data review, evaluate possible sources of error and initiate corrective action process. Write a summary describing the cause of the unacceptable PT result and any corrective actions taken. The write-up must include </w:t>
      </w:r>
      <w:r>
        <w:t>a</w:t>
      </w:r>
      <w:r w:rsidRPr="000C14D9">
        <w:t xml:space="preserve"> conclusion from </w:t>
      </w:r>
      <w:r w:rsidRPr="000C14D9">
        <w:t xml:space="preserve">the </w:t>
      </w:r>
      <w:r>
        <w:t>M</w:t>
      </w:r>
      <w:r w:rsidRPr="000C14D9">
        <w:t xml:space="preserve">edical </w:t>
      </w:r>
      <w:r>
        <w:t>D</w:t>
      </w:r>
      <w:r w:rsidRPr="000C14D9">
        <w:t>irector (or designee) as to whether the laboratory’s response was acceptable or not.</w:t>
      </w:r>
      <w:r>
        <w:t xml:space="preserve"> Lab can use </w:t>
      </w:r>
      <w:hyperlink w:anchor="AttachmentB" w:history="1">
        <w:r w:rsidRPr="00287164">
          <w:rPr>
            <w:rStyle w:val="Hyperlink"/>
            <w:i/>
          </w:rPr>
          <w:t xml:space="preserve">Attachment </w:t>
        </w:r>
        <w:r w:rsidRPr="004E01F1">
          <w:rPr>
            <w:rStyle w:val="Hyperlink"/>
            <w:i/>
          </w:rPr>
          <w:t>B</w:t>
        </w:r>
        <w:r w:rsidRPr="00287164">
          <w:rPr>
            <w:rStyle w:val="Hyperlink"/>
            <w:i/>
          </w:rPr>
          <w:t>: PT Exception Investigation Worksheet</w:t>
        </w:r>
      </w:hyperlink>
      <w:r w:rsidRPr="00BC280A">
        <w:t xml:space="preserve"> to</w:t>
      </w:r>
      <w:r>
        <w:t xml:space="preserve"> investigate PT failures and document corrective actions taken</w:t>
      </w:r>
      <w:r>
        <w:t xml:space="preserve">. </w:t>
      </w:r>
    </w:p>
    <w:p w14:paraId="548980C1" w14:textId="77777777" w:rsidR="00F45F34" w:rsidRDefault="00F45F34" w:rsidP="00F45F34"/>
    <w:p w14:paraId="3A1D5BE8" w14:textId="77777777" w:rsidR="00F45F34" w:rsidRDefault="007A79F4" w:rsidP="00F45F34">
      <w:pPr>
        <w:pStyle w:val="Style1"/>
        <w:numPr>
          <w:ilvl w:val="0"/>
          <w:numId w:val="27"/>
        </w:numPr>
      </w:pPr>
      <w:r w:rsidRPr="00BB7414">
        <w:t>An internal CA</w:t>
      </w:r>
      <w:r>
        <w:t>PA must also be completed i</w:t>
      </w:r>
      <w:r w:rsidRPr="00BB7414">
        <w:t xml:space="preserve">f the score on the entire event is below 80%. </w:t>
      </w:r>
      <w:r>
        <w:t xml:space="preserve">The </w:t>
      </w:r>
      <w:hyperlink w:anchor="AttachmentB" w:history="1">
        <w:r w:rsidRPr="00287164">
          <w:rPr>
            <w:rStyle w:val="Hyperlink"/>
            <w:i/>
          </w:rPr>
          <w:t>PT Exception Investigation Worksheet</w:t>
        </w:r>
      </w:hyperlink>
      <w:r>
        <w:t xml:space="preserve"> can be used to aid in the investigation. If a CAPA is initiated, document conclusion and corrective action in the CAPA form. </w:t>
      </w:r>
    </w:p>
    <w:p w14:paraId="135BAD6C" w14:textId="77777777" w:rsidR="00F45F34" w:rsidRDefault="00F45F34" w:rsidP="00F45F34">
      <w:pPr>
        <w:pStyle w:val="ListParagraph"/>
        <w:numPr>
          <w:ilvl w:val="0"/>
          <w:numId w:val="0"/>
        </w:numPr>
        <w:ind w:left="360"/>
      </w:pPr>
    </w:p>
    <w:p w14:paraId="3F18CF6B" w14:textId="77777777" w:rsidR="00F45F34" w:rsidRDefault="007A79F4" w:rsidP="00F45F34">
      <w:pPr>
        <w:pStyle w:val="Style1"/>
        <w:numPr>
          <w:ilvl w:val="0"/>
          <w:numId w:val="23"/>
        </w:numPr>
      </w:pPr>
      <w:r w:rsidRPr="00BB7414">
        <w:t>Depending on the PT provider utilized, additional documentation submission back to the PT provider may be necessary. Consult the</w:t>
      </w:r>
      <w:r w:rsidRPr="00BB7414">
        <w:t xml:space="preserve"> PT provider instructions and follow their guidance as necessary in addition to section specific documentation</w:t>
      </w:r>
      <w:r>
        <w:t>.</w:t>
      </w:r>
    </w:p>
    <w:p w14:paraId="35DA04C7" w14:textId="77777777" w:rsidR="00F45F34" w:rsidRDefault="00F45F34" w:rsidP="00F45F34">
      <w:pPr>
        <w:pStyle w:val="Style1"/>
        <w:numPr>
          <w:ilvl w:val="0"/>
          <w:numId w:val="0"/>
        </w:numPr>
        <w:ind w:left="360"/>
      </w:pPr>
    </w:p>
    <w:p w14:paraId="07F61605" w14:textId="77777777" w:rsidR="00F45F34" w:rsidRDefault="007A79F4" w:rsidP="00F45F34">
      <w:pPr>
        <w:pStyle w:val="Style1"/>
      </w:pPr>
      <w:r>
        <w:t xml:space="preserve">Accreditation agency (e.g. CAP) may instruct the laboratory to cease patient testing for an analyte or subspecialty due to repeat unsuccessful </w:t>
      </w:r>
      <w:r>
        <w:t xml:space="preserve">proficiency testing. Follow the accreditation agency guidance in order to resume patient testing </w:t>
      </w:r>
      <w:r w:rsidRPr="00607FFA">
        <w:t>(COM.01950)</w:t>
      </w:r>
      <w:r>
        <w:t>.</w:t>
      </w:r>
    </w:p>
    <w:p w14:paraId="06B77B7C" w14:textId="77777777" w:rsidR="00F45F34" w:rsidRDefault="00F45F34" w:rsidP="00F45F34">
      <w:pPr>
        <w:pStyle w:val="Style1"/>
        <w:numPr>
          <w:ilvl w:val="0"/>
          <w:numId w:val="0"/>
        </w:numPr>
        <w:ind w:left="720"/>
      </w:pPr>
    </w:p>
    <w:p w14:paraId="48090A54" w14:textId="77777777" w:rsidR="00F45F34" w:rsidRDefault="007A79F4" w:rsidP="00F45F34">
      <w:pPr>
        <w:pStyle w:val="Style1"/>
      </w:pPr>
      <w:r>
        <w:t>PT performance for regulated analyte:</w:t>
      </w:r>
    </w:p>
    <w:p w14:paraId="1DDE20E5" w14:textId="77777777" w:rsidR="00F45F34" w:rsidRDefault="00F45F34" w:rsidP="00F45F34">
      <w:pPr>
        <w:pStyle w:val="Style1"/>
        <w:numPr>
          <w:ilvl w:val="0"/>
          <w:numId w:val="0"/>
        </w:numPr>
        <w:ind w:left="720"/>
      </w:pPr>
    </w:p>
    <w:p w14:paraId="6DA0A5A4" w14:textId="77777777" w:rsidR="00F45F34" w:rsidRDefault="007A79F4" w:rsidP="00F45F34">
      <w:pPr>
        <w:numPr>
          <w:ilvl w:val="0"/>
          <w:numId w:val="34"/>
        </w:numPr>
      </w:pPr>
      <w:r w:rsidRPr="00284B38">
        <w:t xml:space="preserve">CMS monitors </w:t>
      </w:r>
      <w:r>
        <w:t xml:space="preserve">performance of </w:t>
      </w:r>
      <w:r w:rsidRPr="00284B38">
        <w:t>regulated analytes</w:t>
      </w:r>
      <w:r>
        <w:t xml:space="preserve"> and will issue a Statement of Deficiencies for Unsuccessful PT Performance. “U</w:t>
      </w:r>
      <w:r w:rsidRPr="007767DA">
        <w:t xml:space="preserve">nsuccessful </w:t>
      </w:r>
      <w:r>
        <w:t xml:space="preserve">proficiency testing performance“ </w:t>
      </w:r>
      <w:r w:rsidRPr="007767DA">
        <w:t>is failure to achieve satisfactory performance for the same analyte</w:t>
      </w:r>
      <w:r>
        <w:t>, test, subspecialty, or specialty</w:t>
      </w:r>
      <w:r w:rsidRPr="007767DA">
        <w:t xml:space="preserve"> in two consecutive events or t</w:t>
      </w:r>
      <w:r w:rsidRPr="007767DA">
        <w:t>wo out of three consecutive testing events.</w:t>
      </w:r>
      <w:r>
        <w:t xml:space="preserve"> F</w:t>
      </w:r>
      <w:r w:rsidRPr="00EA7CEE">
        <w:t xml:space="preserve">or the </w:t>
      </w:r>
      <w:r>
        <w:t>first unsuccessful p</w:t>
      </w:r>
      <w:r w:rsidRPr="00EA7CEE">
        <w:t>erformance, CMS may direct the laboratory to undertake training of its personnel or to obtain technical assistance, or both, rather than imposing sanctions</w:t>
      </w:r>
      <w:r>
        <w:t xml:space="preserve">. </w:t>
      </w:r>
      <w:r w:rsidRPr="00D421A9">
        <w:t xml:space="preserve">The laboratory </w:t>
      </w:r>
      <w:r>
        <w:t>will be requ</w:t>
      </w:r>
      <w:r>
        <w:t xml:space="preserve">ired to </w:t>
      </w:r>
      <w:r w:rsidRPr="00D421A9">
        <w:t xml:space="preserve">submit an acceptable plan of </w:t>
      </w:r>
      <w:r>
        <w:t xml:space="preserve">correction to CMS or </w:t>
      </w:r>
      <w:r w:rsidRPr="0040645B">
        <w:t xml:space="preserve">evidence that it has taken steps to correct the problem identified by the unsuccessful </w:t>
      </w:r>
      <w:r>
        <w:t xml:space="preserve">PT </w:t>
      </w:r>
      <w:r w:rsidRPr="0040645B">
        <w:t>performance</w:t>
      </w:r>
      <w:r>
        <w:t xml:space="preserve"> (CLIA </w:t>
      </w:r>
      <w:r w:rsidRPr="00250DCD">
        <w:t>493.803</w:t>
      </w:r>
      <w:r>
        <w:t>).</w:t>
      </w:r>
    </w:p>
    <w:p w14:paraId="46FF641D" w14:textId="77777777" w:rsidR="00F45F34" w:rsidRDefault="00F45F34" w:rsidP="00F45F34">
      <w:pPr>
        <w:pStyle w:val="Style1"/>
        <w:numPr>
          <w:ilvl w:val="0"/>
          <w:numId w:val="0"/>
        </w:numPr>
        <w:ind w:left="720"/>
      </w:pPr>
    </w:p>
    <w:p w14:paraId="4EB076CA" w14:textId="77777777" w:rsidR="00F45F34" w:rsidRDefault="007A79F4" w:rsidP="00F45F34">
      <w:pPr>
        <w:numPr>
          <w:ilvl w:val="0"/>
          <w:numId w:val="34"/>
        </w:numPr>
      </w:pPr>
      <w:r w:rsidRPr="00D421A9">
        <w:t>Repeated unsuccessful PT performance for the same analyte, subspecialty, or spe</w:t>
      </w:r>
      <w:r w:rsidRPr="00D421A9">
        <w:t>cialty may result in the laboratory no longer being allowed to perform the failed testing</w:t>
      </w:r>
      <w:r>
        <w:t xml:space="preserve">. </w:t>
      </w:r>
      <w:r w:rsidRPr="0082412E">
        <w:t xml:space="preserve">Laboratories may decide to </w:t>
      </w:r>
      <w:r w:rsidRPr="00EA3318">
        <w:rPr>
          <w:b/>
        </w:rPr>
        <w:t>voluntarily stop testing</w:t>
      </w:r>
      <w:r w:rsidRPr="0082412E">
        <w:t xml:space="preserve"> as soon as the PT results are received and immediately notify CMS. The notification must be made before receiving</w:t>
      </w:r>
      <w:r w:rsidRPr="0082412E">
        <w:t xml:space="preserve"> a letter from CMS imposing a cease testing sanction</w:t>
      </w:r>
      <w:r>
        <w:t>. If the lab voluntarily cease testing and then successfully perform two consecutive PT events, the Medicare and Medicaid reimbursement may not be affected</w:t>
      </w:r>
      <w:r w:rsidRPr="0082412E">
        <w:t xml:space="preserve">. </w:t>
      </w:r>
    </w:p>
    <w:p w14:paraId="62C9FD72" w14:textId="77777777" w:rsidR="00F45F34" w:rsidRDefault="00F45F34" w:rsidP="00F45F34">
      <w:pPr>
        <w:ind w:left="1080"/>
      </w:pPr>
    </w:p>
    <w:p w14:paraId="7A0CE4FD" w14:textId="77777777" w:rsidR="00F45F34" w:rsidRDefault="007A79F4" w:rsidP="00F45F34">
      <w:pPr>
        <w:numPr>
          <w:ilvl w:val="0"/>
          <w:numId w:val="34"/>
        </w:numPr>
      </w:pPr>
      <w:r>
        <w:t xml:space="preserve">If sanctions have been imposed, the </w:t>
      </w:r>
      <w:r w:rsidRPr="005B4471">
        <w:t xml:space="preserve">Medicare </w:t>
      </w:r>
      <w:r w:rsidRPr="005B4471">
        <w:t>and Medicaid</w:t>
      </w:r>
      <w:r>
        <w:t xml:space="preserve"> reimbursement and the CLIA certificate will be suspended or limited for a six month period. </w:t>
      </w:r>
      <w:r w:rsidRPr="00B03745">
        <w:t xml:space="preserve">To be able to resume testing, the laboratory must </w:t>
      </w:r>
      <w:r>
        <w:t>demonstrate that it has identified and corrected the reasons for the unsuccessful performance, purcha</w:t>
      </w:r>
      <w:r>
        <w:t xml:space="preserve">se re-instatement PT samples and </w:t>
      </w:r>
      <w:r w:rsidRPr="00B03745">
        <w:t>must perform two consecutive PT events successfully</w:t>
      </w:r>
      <w:r>
        <w:t xml:space="preserve"> (CLIA </w:t>
      </w:r>
      <w:r w:rsidRPr="00250DCD">
        <w:t>493.807</w:t>
      </w:r>
      <w:r>
        <w:t>).</w:t>
      </w:r>
    </w:p>
    <w:p w14:paraId="5BB9B14C" w14:textId="77777777" w:rsidR="00F45F34" w:rsidRDefault="00F45F34" w:rsidP="00F45F34"/>
    <w:p w14:paraId="7DD3A651" w14:textId="77777777" w:rsidR="00F45F34" w:rsidRDefault="007A79F4" w:rsidP="00F45F34">
      <w:pPr>
        <w:pStyle w:val="ListParagraph"/>
        <w:rPr>
          <w:b/>
        </w:rPr>
      </w:pPr>
      <w:bookmarkStart w:id="3" w:name="Documentation"/>
      <w:bookmarkEnd w:id="3"/>
      <w:r w:rsidRPr="00F74775">
        <w:rPr>
          <w:b/>
        </w:rPr>
        <w:t>Documentation</w:t>
      </w:r>
      <w:r w:rsidRPr="00287164">
        <w:rPr>
          <w:b/>
        </w:rPr>
        <w:t xml:space="preserve"> – </w:t>
      </w:r>
      <w:r w:rsidRPr="00287164">
        <w:rPr>
          <w:b/>
          <w:i/>
        </w:rPr>
        <w:t>CAP COM.01700</w:t>
      </w:r>
      <w:r w:rsidRPr="00287164">
        <w:rPr>
          <w:b/>
        </w:rPr>
        <w:t xml:space="preserve"> </w:t>
      </w:r>
    </w:p>
    <w:p w14:paraId="3BA07F57" w14:textId="77777777" w:rsidR="00F45F34" w:rsidRPr="00ED52DD" w:rsidRDefault="00F45F34" w:rsidP="00F45F34"/>
    <w:p w14:paraId="174207A5" w14:textId="77777777" w:rsidR="00F45F34" w:rsidRDefault="007A79F4" w:rsidP="00F45F34">
      <w:pPr>
        <w:pStyle w:val="Style1"/>
        <w:numPr>
          <w:ilvl w:val="0"/>
          <w:numId w:val="28"/>
        </w:numPr>
      </w:pPr>
      <w:r>
        <w:t xml:space="preserve">Alternative performance assessment - </w:t>
      </w:r>
      <w:r w:rsidRPr="007B57FD">
        <w:t xml:space="preserve">Documentation of the acceptability of the results should be performed by the section </w:t>
      </w:r>
      <w:r w:rsidRPr="007B57FD">
        <w:t>and reviewed, signed and dated by the Medical Director and/or the CLIA Lab Director.</w:t>
      </w:r>
    </w:p>
    <w:p w14:paraId="5B2C1304" w14:textId="77777777" w:rsidR="00F45F34" w:rsidRDefault="00F45F34" w:rsidP="00F45F34">
      <w:pPr>
        <w:pStyle w:val="Style1"/>
        <w:numPr>
          <w:ilvl w:val="0"/>
          <w:numId w:val="0"/>
        </w:numPr>
        <w:ind w:left="720" w:hanging="360"/>
      </w:pPr>
    </w:p>
    <w:p w14:paraId="44E264A2" w14:textId="77777777" w:rsidR="00F45F34" w:rsidRDefault="007A79F4" w:rsidP="00F45F34">
      <w:pPr>
        <w:pStyle w:val="Style1"/>
        <w:numPr>
          <w:ilvl w:val="0"/>
          <w:numId w:val="28"/>
        </w:numPr>
      </w:pPr>
      <w:r>
        <w:t xml:space="preserve">PT Survey results – Documentation of the acceptability of the PT results should be performed, signed and dated by the </w:t>
      </w:r>
      <w:r w:rsidRPr="00BF1D42">
        <w:t>Medical Director (or designee)</w:t>
      </w:r>
      <w:r>
        <w:t>.</w:t>
      </w:r>
    </w:p>
    <w:p w14:paraId="3C3B6F12" w14:textId="77777777" w:rsidR="00F45F34" w:rsidRDefault="00F45F34" w:rsidP="00F45F34">
      <w:pPr>
        <w:pStyle w:val="Style1"/>
        <w:numPr>
          <w:ilvl w:val="0"/>
          <w:numId w:val="0"/>
        </w:numPr>
        <w:ind w:left="720"/>
      </w:pPr>
    </w:p>
    <w:p w14:paraId="4F20E5AC" w14:textId="77777777" w:rsidR="00F45F34" w:rsidRDefault="007A79F4" w:rsidP="00F45F34">
      <w:pPr>
        <w:pStyle w:val="Style1"/>
        <w:numPr>
          <w:ilvl w:val="0"/>
          <w:numId w:val="28"/>
        </w:numPr>
      </w:pPr>
      <w:r w:rsidRPr="00EC6337">
        <w:t>For exception codes that do not require corrective action (i.e. self-evaluation of ungraded results are comparable to the results supplied in the Participant Summary), document the review directly on the PT Evaluation Report form beside each exception code</w:t>
      </w:r>
      <w:r w:rsidRPr="00EC6337">
        <w:t xml:space="preserve">.  </w:t>
      </w:r>
    </w:p>
    <w:p w14:paraId="3C17D30C" w14:textId="77777777" w:rsidR="00F45F34" w:rsidRDefault="00F45F34" w:rsidP="00F45F34">
      <w:pPr>
        <w:pStyle w:val="Style1"/>
        <w:numPr>
          <w:ilvl w:val="0"/>
          <w:numId w:val="0"/>
        </w:numPr>
        <w:ind w:left="720" w:hanging="360"/>
      </w:pPr>
    </w:p>
    <w:p w14:paraId="79084BD9" w14:textId="77777777" w:rsidR="00F45F34" w:rsidRPr="00287164" w:rsidRDefault="007A79F4" w:rsidP="00F45F34">
      <w:pPr>
        <w:pStyle w:val="Style1"/>
        <w:numPr>
          <w:ilvl w:val="0"/>
          <w:numId w:val="28"/>
        </w:numPr>
      </w:pPr>
      <w:r>
        <w:t xml:space="preserve">For unacceptable PT results, </w:t>
      </w:r>
      <w:r w:rsidRPr="00287164">
        <w:rPr>
          <w:i/>
        </w:rPr>
        <w:t xml:space="preserve">Attachment </w:t>
      </w:r>
      <w:r w:rsidRPr="00E9336A">
        <w:rPr>
          <w:i/>
        </w:rPr>
        <w:t>B</w:t>
      </w:r>
      <w:r w:rsidRPr="00287164">
        <w:rPr>
          <w:i/>
        </w:rPr>
        <w:t>: PT Exception Investigation Worksheet</w:t>
      </w:r>
      <w:r w:rsidRPr="00E9336A">
        <w:rPr>
          <w:i/>
        </w:rPr>
        <w:t xml:space="preserve"> </w:t>
      </w:r>
      <w:r>
        <w:t xml:space="preserve">can </w:t>
      </w:r>
      <w:r w:rsidRPr="00287164">
        <w:t>be used to document investigation and corrective action</w:t>
      </w:r>
      <w:r>
        <w:t>.</w:t>
      </w:r>
    </w:p>
    <w:p w14:paraId="4E52B187" w14:textId="77777777" w:rsidR="00F45F34" w:rsidRDefault="00F45F34" w:rsidP="00F45F34">
      <w:pPr>
        <w:pStyle w:val="ListParagraph"/>
        <w:numPr>
          <w:ilvl w:val="0"/>
          <w:numId w:val="0"/>
        </w:numPr>
        <w:ind w:left="360"/>
      </w:pPr>
    </w:p>
    <w:p w14:paraId="55715EE2" w14:textId="77777777" w:rsidR="00F45F34" w:rsidRDefault="007A79F4" w:rsidP="00F45F34">
      <w:pPr>
        <w:pStyle w:val="Style1"/>
        <w:numPr>
          <w:ilvl w:val="0"/>
          <w:numId w:val="28"/>
        </w:numPr>
      </w:pPr>
      <w:r>
        <w:t xml:space="preserve">For unacceptable PT results that meet the criteria for a CAPA (less than 80% for the entire event), document </w:t>
      </w:r>
      <w:r>
        <w:t>corrective action in the CAPA form.</w:t>
      </w:r>
    </w:p>
    <w:p w14:paraId="7951F1F1" w14:textId="77777777" w:rsidR="00F45F34" w:rsidRDefault="00F45F34" w:rsidP="00F45F34">
      <w:pPr>
        <w:pStyle w:val="ListParagraph"/>
        <w:numPr>
          <w:ilvl w:val="0"/>
          <w:numId w:val="0"/>
        </w:numPr>
        <w:ind w:left="360"/>
      </w:pPr>
    </w:p>
    <w:p w14:paraId="57BBB5B1" w14:textId="77777777" w:rsidR="00F45F34" w:rsidRDefault="007A79F4" w:rsidP="00F45F34">
      <w:pPr>
        <w:pStyle w:val="Style1"/>
        <w:numPr>
          <w:ilvl w:val="0"/>
          <w:numId w:val="28"/>
        </w:numPr>
      </w:pPr>
      <w:r>
        <w:t>PT, alternative performance assessment testing, and unacceptable PT investigation and corrective action records are retained for at least two years (five years for transfusion medicine). These include all instrument tap</w:t>
      </w:r>
      <w:r>
        <w:t>es, patient worksheets, work cards, computer printouts, Attestation page, evaluation reports, evidence of review, and records of unacceptable PT investigation, follow-up, and corrective action.</w:t>
      </w:r>
    </w:p>
    <w:p w14:paraId="57362CFA" w14:textId="77777777" w:rsidR="00F45F34" w:rsidRDefault="00F45F34" w:rsidP="00F45F34"/>
    <w:p w14:paraId="54685F51" w14:textId="77777777" w:rsidR="00F45F34" w:rsidRDefault="007A79F4" w:rsidP="00F45F34">
      <w:pPr>
        <w:pStyle w:val="ListParagraph"/>
      </w:pPr>
      <w:r w:rsidRPr="0034059C">
        <w:rPr>
          <w:b/>
        </w:rPr>
        <w:t>Training/Competency Assessment</w:t>
      </w:r>
      <w:r w:rsidRPr="0034059C">
        <w:t xml:space="preserve"> </w:t>
      </w:r>
    </w:p>
    <w:p w14:paraId="431D80DD" w14:textId="77777777" w:rsidR="00F45F34" w:rsidRDefault="00F45F34" w:rsidP="00F45F34">
      <w:pPr>
        <w:pStyle w:val="ListParagraph"/>
        <w:numPr>
          <w:ilvl w:val="0"/>
          <w:numId w:val="0"/>
        </w:numPr>
        <w:ind w:left="360"/>
      </w:pPr>
    </w:p>
    <w:p w14:paraId="5DE58157" w14:textId="77777777" w:rsidR="00F45F34" w:rsidRDefault="007A79F4" w:rsidP="00F45F34">
      <w:pPr>
        <w:pStyle w:val="Style1"/>
        <w:numPr>
          <w:ilvl w:val="0"/>
          <w:numId w:val="29"/>
        </w:numPr>
      </w:pPr>
      <w:r w:rsidRPr="0034059C">
        <w:t>Employees within the laborat</w:t>
      </w:r>
      <w:r w:rsidRPr="0034059C">
        <w:t xml:space="preserve">ory will receive specific training on the handling and testing of PT samples and events at the following intervals: </w:t>
      </w:r>
    </w:p>
    <w:p w14:paraId="489FC564" w14:textId="77777777" w:rsidR="00F45F34" w:rsidRDefault="00F45F34" w:rsidP="00F45F34">
      <w:pPr>
        <w:pStyle w:val="Style1"/>
        <w:numPr>
          <w:ilvl w:val="0"/>
          <w:numId w:val="0"/>
        </w:numPr>
        <w:ind w:left="720"/>
      </w:pPr>
    </w:p>
    <w:p w14:paraId="34645E8D" w14:textId="77777777" w:rsidR="00F45F34" w:rsidRDefault="007A79F4" w:rsidP="00F45F34">
      <w:pPr>
        <w:pStyle w:val="Style2"/>
        <w:numPr>
          <w:ilvl w:val="0"/>
          <w:numId w:val="25"/>
        </w:numPr>
      </w:pPr>
      <w:r w:rsidRPr="0034059C">
        <w:t>Initial new employee laboratory orientation (new employee checklist)</w:t>
      </w:r>
    </w:p>
    <w:p w14:paraId="098C1D2B" w14:textId="77777777" w:rsidR="00F45F34" w:rsidRDefault="00F45F34" w:rsidP="00F93401">
      <w:pPr>
        <w:pStyle w:val="Style2"/>
        <w:numPr>
          <w:ilvl w:val="0"/>
          <w:numId w:val="0"/>
        </w:numPr>
        <w:ind w:left="1080"/>
      </w:pPr>
    </w:p>
    <w:p w14:paraId="5F47BB35" w14:textId="77777777" w:rsidR="00F45F34" w:rsidRDefault="007A79F4" w:rsidP="00F45F34">
      <w:pPr>
        <w:pStyle w:val="Style2"/>
        <w:numPr>
          <w:ilvl w:val="0"/>
          <w:numId w:val="25"/>
        </w:numPr>
      </w:pPr>
      <w:r w:rsidRPr="0034059C">
        <w:t>New employee end of probation review (</w:t>
      </w:r>
      <w:r>
        <w:t xml:space="preserve">at 90 days) or as part of the </w:t>
      </w:r>
      <w:r>
        <w:t>6 months lab specific competency assessment, whichever is applicable.</w:t>
      </w:r>
    </w:p>
    <w:p w14:paraId="5DE5D01F" w14:textId="77777777" w:rsidR="00F45F34" w:rsidRDefault="00F45F34" w:rsidP="00F93401">
      <w:pPr>
        <w:pStyle w:val="Style2"/>
        <w:numPr>
          <w:ilvl w:val="0"/>
          <w:numId w:val="0"/>
        </w:numPr>
        <w:ind w:left="1080"/>
      </w:pPr>
    </w:p>
    <w:p w14:paraId="546E165E" w14:textId="77777777" w:rsidR="00F45F34" w:rsidRDefault="007A79F4" w:rsidP="00F45F34">
      <w:pPr>
        <w:pStyle w:val="Style2"/>
        <w:numPr>
          <w:ilvl w:val="0"/>
          <w:numId w:val="25"/>
        </w:numPr>
      </w:pPr>
      <w:r w:rsidRPr="0034059C">
        <w:t xml:space="preserve">Annually </w:t>
      </w:r>
      <w:r>
        <w:t xml:space="preserve">thereafter </w:t>
      </w:r>
      <w:r w:rsidRPr="0034059C">
        <w:t xml:space="preserve">as part of every </w:t>
      </w:r>
      <w:r>
        <w:t xml:space="preserve">team members </w:t>
      </w:r>
      <w:r w:rsidRPr="0034059C">
        <w:t>yearly lab</w:t>
      </w:r>
      <w:r>
        <w:t xml:space="preserve"> specific competency assessment.</w:t>
      </w:r>
      <w:r w:rsidRPr="0034059C">
        <w:t xml:space="preserve"> </w:t>
      </w:r>
    </w:p>
    <w:p w14:paraId="1E5CFD93" w14:textId="77777777" w:rsidR="00F45F34" w:rsidRDefault="00F45F34" w:rsidP="00F45F34">
      <w:pPr>
        <w:pStyle w:val="ListParagraph"/>
        <w:numPr>
          <w:ilvl w:val="0"/>
          <w:numId w:val="0"/>
        </w:numPr>
        <w:ind w:left="360"/>
      </w:pPr>
    </w:p>
    <w:p w14:paraId="7078B9AE" w14:textId="77777777" w:rsidR="00F45F34" w:rsidRDefault="007A79F4" w:rsidP="00F45F34">
      <w:pPr>
        <w:pStyle w:val="Style1"/>
      </w:pPr>
      <w:r w:rsidRPr="0034059C">
        <w:t xml:space="preserve">Orientation/Competency Assessment procedures may vary between sections. See Section </w:t>
      </w:r>
      <w:r w:rsidRPr="0034059C">
        <w:t>specific procedures for checklists and procedure.</w:t>
      </w:r>
    </w:p>
    <w:p w14:paraId="62783AC6" w14:textId="77777777" w:rsidR="00F45F34" w:rsidRDefault="00F45F34" w:rsidP="00F45F34">
      <w:pPr>
        <w:pStyle w:val="Style1"/>
        <w:numPr>
          <w:ilvl w:val="0"/>
          <w:numId w:val="0"/>
        </w:numPr>
        <w:ind w:left="720"/>
      </w:pPr>
    </w:p>
    <w:p w14:paraId="3973B3CB" w14:textId="77777777" w:rsidR="00F45F34" w:rsidRPr="008D5D61" w:rsidRDefault="007A79F4" w:rsidP="00F45F34">
      <w:pPr>
        <w:pStyle w:val="Style1"/>
      </w:pPr>
      <w:r>
        <w:t xml:space="preserve">Review attachment D: Proficiency Testing PowerPoint Education Module and </w:t>
      </w:r>
      <w:r w:rsidRPr="008D5D61">
        <w:t xml:space="preserve">complete the on-line </w:t>
      </w:r>
      <w:r>
        <w:t xml:space="preserve">test (go to the Title 21 system “Attachment” section for the PowerPoint presentation). </w:t>
      </w:r>
    </w:p>
    <w:p w14:paraId="26C541DF" w14:textId="77777777" w:rsidR="00F45F34" w:rsidRDefault="00F45F34" w:rsidP="00F45F34">
      <w:pPr>
        <w:pStyle w:val="Style1"/>
        <w:numPr>
          <w:ilvl w:val="0"/>
          <w:numId w:val="0"/>
        </w:numPr>
        <w:ind w:left="720"/>
      </w:pPr>
    </w:p>
    <w:p w14:paraId="5D25F5A6" w14:textId="77777777" w:rsidR="00F45F34" w:rsidRDefault="00F45F34" w:rsidP="00F45F34">
      <w:pPr>
        <w:pStyle w:val="Heading1"/>
      </w:pPr>
    </w:p>
    <w:p w14:paraId="188AE760" w14:textId="77777777" w:rsidR="00F45F34" w:rsidRDefault="00F45F34" w:rsidP="00F45F34">
      <w:pPr>
        <w:pStyle w:val="Heading1"/>
      </w:pPr>
    </w:p>
    <w:p w14:paraId="63118CC0" w14:textId="77777777" w:rsidR="00F45F34" w:rsidRDefault="00F45F34" w:rsidP="00F45F34">
      <w:pPr>
        <w:pStyle w:val="Heading1"/>
      </w:pPr>
    </w:p>
    <w:p w14:paraId="787CDAA8" w14:textId="11ED98F4" w:rsidR="00F45F34" w:rsidRDefault="007A79F4" w:rsidP="00F45F34">
      <w:pPr>
        <w:pStyle w:val="Heading1"/>
      </w:pPr>
      <w:r>
        <w:t>References:</w:t>
      </w:r>
    </w:p>
    <w:p w14:paraId="68DD4648" w14:textId="77777777" w:rsidR="00F45F34" w:rsidRDefault="00F45F34" w:rsidP="00F45F34"/>
    <w:p w14:paraId="0BDE1DB0" w14:textId="77777777" w:rsidR="00F45F34" w:rsidRPr="00DB617B" w:rsidRDefault="007A79F4" w:rsidP="00F45F34">
      <w:pPr>
        <w:pStyle w:val="Style1"/>
        <w:numPr>
          <w:ilvl w:val="0"/>
          <w:numId w:val="26"/>
        </w:numPr>
        <w:rPr>
          <w:szCs w:val="22"/>
        </w:rPr>
      </w:pPr>
      <w:r w:rsidRPr="00DB617B">
        <w:rPr>
          <w:szCs w:val="22"/>
        </w:rPr>
        <w:t>CLIA R</w:t>
      </w:r>
      <w:r w:rsidRPr="00DB617B">
        <w:rPr>
          <w:szCs w:val="22"/>
        </w:rPr>
        <w:t xml:space="preserve">egulation </w:t>
      </w:r>
      <w:r w:rsidRPr="00287164">
        <w:rPr>
          <w:i/>
          <w:iCs/>
          <w:szCs w:val="22"/>
        </w:rPr>
        <w:t>Subpart H - Participation in Proficiency Testing for Laboratories Performing Nonwaived Testing</w:t>
      </w:r>
      <w:r w:rsidRPr="00DB617B">
        <w:rPr>
          <w:szCs w:val="22"/>
        </w:rPr>
        <w:t xml:space="preserve">, Condition 493.801 - 493.865. </w:t>
      </w:r>
    </w:p>
    <w:p w14:paraId="6325A122" w14:textId="77777777" w:rsidR="00F45F34" w:rsidRDefault="00F45F34" w:rsidP="00F45F34">
      <w:pPr>
        <w:pStyle w:val="Default"/>
        <w:rPr>
          <w:sz w:val="22"/>
          <w:szCs w:val="22"/>
        </w:rPr>
      </w:pPr>
    </w:p>
    <w:p w14:paraId="35A37808" w14:textId="77777777" w:rsidR="00F45F34" w:rsidRPr="00DB617B" w:rsidRDefault="007A79F4" w:rsidP="00F45F34">
      <w:pPr>
        <w:pStyle w:val="Style1"/>
        <w:numPr>
          <w:ilvl w:val="0"/>
          <w:numId w:val="26"/>
        </w:numPr>
        <w:rPr>
          <w:szCs w:val="22"/>
        </w:rPr>
      </w:pPr>
      <w:r>
        <w:rPr>
          <w:szCs w:val="22"/>
        </w:rPr>
        <w:t xml:space="preserve">CLIA Regulation </w:t>
      </w:r>
      <w:r w:rsidRPr="00287164">
        <w:rPr>
          <w:i/>
          <w:szCs w:val="22"/>
        </w:rPr>
        <w:t xml:space="preserve">Subpart I – Proficiency Testing Programs for Nonwaived Testing, Standard </w:t>
      </w:r>
      <w:r>
        <w:rPr>
          <w:szCs w:val="22"/>
        </w:rPr>
        <w:t>493.901 – 493.959.</w:t>
      </w:r>
    </w:p>
    <w:p w14:paraId="5B40AD36" w14:textId="77777777" w:rsidR="00F45F34" w:rsidRDefault="00F45F34" w:rsidP="00F45F34">
      <w:pPr>
        <w:pStyle w:val="ListParagraph"/>
        <w:numPr>
          <w:ilvl w:val="0"/>
          <w:numId w:val="0"/>
        </w:numPr>
        <w:ind w:left="360"/>
        <w:rPr>
          <w:szCs w:val="22"/>
        </w:rPr>
      </w:pPr>
    </w:p>
    <w:p w14:paraId="5B41D672" w14:textId="77777777" w:rsidR="00F45F34" w:rsidRDefault="007A79F4" w:rsidP="00F45F34">
      <w:pPr>
        <w:pStyle w:val="Style1"/>
        <w:numPr>
          <w:ilvl w:val="0"/>
          <w:numId w:val="26"/>
        </w:numPr>
        <w:rPr>
          <w:szCs w:val="22"/>
        </w:rPr>
      </w:pPr>
      <w:r>
        <w:rPr>
          <w:szCs w:val="22"/>
        </w:rPr>
        <w:t>CLIA Regul</w:t>
      </w:r>
      <w:r>
        <w:rPr>
          <w:szCs w:val="22"/>
        </w:rPr>
        <w:t xml:space="preserve">ations </w:t>
      </w:r>
      <w:r w:rsidRPr="00DB617B">
        <w:rPr>
          <w:i/>
          <w:szCs w:val="22"/>
        </w:rPr>
        <w:t>Section 493.1236 Standard: Evaluation of proficiency testing performance</w:t>
      </w:r>
      <w:r>
        <w:rPr>
          <w:szCs w:val="22"/>
        </w:rPr>
        <w:t xml:space="preserve">. </w:t>
      </w:r>
    </w:p>
    <w:p w14:paraId="07CCA77D" w14:textId="77777777" w:rsidR="00F45F34" w:rsidRDefault="00F45F34" w:rsidP="00F45F34">
      <w:pPr>
        <w:pStyle w:val="Style1"/>
        <w:numPr>
          <w:ilvl w:val="0"/>
          <w:numId w:val="0"/>
        </w:numPr>
        <w:ind w:left="720"/>
        <w:rPr>
          <w:szCs w:val="22"/>
        </w:rPr>
      </w:pPr>
    </w:p>
    <w:p w14:paraId="5142123E" w14:textId="77777777" w:rsidR="00F45F34" w:rsidRDefault="007A79F4" w:rsidP="00F45F34">
      <w:pPr>
        <w:pStyle w:val="Style1"/>
        <w:numPr>
          <w:ilvl w:val="0"/>
          <w:numId w:val="26"/>
        </w:numPr>
        <w:rPr>
          <w:szCs w:val="22"/>
        </w:rPr>
      </w:pPr>
      <w:r w:rsidRPr="002330EA">
        <w:rPr>
          <w:szCs w:val="22"/>
        </w:rPr>
        <w:t xml:space="preserve">CLIA Brochure, </w:t>
      </w:r>
      <w:r w:rsidRPr="002330EA">
        <w:rPr>
          <w:i/>
          <w:szCs w:val="22"/>
        </w:rPr>
        <w:t>Proficiency Testing and PT Referral – Dos and Don’ts</w:t>
      </w:r>
      <w:r w:rsidRPr="002330EA">
        <w:rPr>
          <w:szCs w:val="22"/>
        </w:rPr>
        <w:t xml:space="preserve">, September 2017. </w:t>
      </w:r>
      <w:hyperlink r:id="rId17" w:history="1">
        <w:r w:rsidRPr="00542F3C">
          <w:rPr>
            <w:rStyle w:val="Hyperlink"/>
            <w:szCs w:val="22"/>
          </w:rPr>
          <w:t>https://www.cms.gov/Regulations-and-Guidance/Legislation/CLIA/Downloads/CLIAbrochure8.pdf</w:t>
        </w:r>
      </w:hyperlink>
    </w:p>
    <w:p w14:paraId="6EC2B853" w14:textId="77777777" w:rsidR="00F45F34" w:rsidRPr="00996275" w:rsidRDefault="00F45F34" w:rsidP="00F45F34">
      <w:pPr>
        <w:rPr>
          <w:szCs w:val="22"/>
        </w:rPr>
      </w:pPr>
    </w:p>
    <w:p w14:paraId="3F264642" w14:textId="77777777" w:rsidR="00F45F34" w:rsidRDefault="007A79F4" w:rsidP="00F45F34">
      <w:pPr>
        <w:pStyle w:val="Style1"/>
        <w:numPr>
          <w:ilvl w:val="0"/>
          <w:numId w:val="26"/>
        </w:numPr>
        <w:rPr>
          <w:szCs w:val="22"/>
        </w:rPr>
      </w:pPr>
      <w:r w:rsidRPr="0093172B">
        <w:rPr>
          <w:szCs w:val="22"/>
        </w:rPr>
        <w:t>2019.Analyte List from CLIAProfTestingBookletFINALNov2017 for</w:t>
      </w:r>
      <w:r w:rsidRPr="0093172B">
        <w:rPr>
          <w:szCs w:val="22"/>
        </w:rPr>
        <w:t xml:space="preserve"> </w:t>
      </w:r>
      <w:r w:rsidRPr="0093172B">
        <w:rPr>
          <w:i/>
          <w:szCs w:val="22"/>
        </w:rPr>
        <w:t>List of Non-Waived Testing for which PT is Required,</w:t>
      </w:r>
      <w:r w:rsidRPr="0093172B">
        <w:rPr>
          <w:szCs w:val="22"/>
        </w:rPr>
        <w:t xml:space="preserve"> accessed 12.2022. </w:t>
      </w:r>
      <w:hyperlink r:id="rId18" w:history="1">
        <w:r w:rsidRPr="00B33830">
          <w:rPr>
            <w:rStyle w:val="Hyperlink"/>
            <w:szCs w:val="22"/>
          </w:rPr>
          <w:t>https://www.cms.gov/Regulations-and-Guidance/Legislation/CLIA/Proficiency_Te</w:t>
        </w:r>
        <w:r w:rsidRPr="00B33830">
          <w:rPr>
            <w:rStyle w:val="Hyperlink"/>
            <w:szCs w:val="22"/>
          </w:rPr>
          <w:t>sting_Providers</w:t>
        </w:r>
      </w:hyperlink>
    </w:p>
    <w:p w14:paraId="3A62206D" w14:textId="77777777" w:rsidR="00F45F34" w:rsidRDefault="00F45F34" w:rsidP="00F45F34">
      <w:pPr>
        <w:pStyle w:val="ListParagraph"/>
        <w:numPr>
          <w:ilvl w:val="0"/>
          <w:numId w:val="0"/>
        </w:numPr>
        <w:ind w:left="360"/>
        <w:rPr>
          <w:szCs w:val="22"/>
        </w:rPr>
      </w:pPr>
    </w:p>
    <w:p w14:paraId="6182D641" w14:textId="77777777" w:rsidR="00F45F34" w:rsidRPr="00245194" w:rsidRDefault="007A79F4" w:rsidP="00F45F34">
      <w:pPr>
        <w:pStyle w:val="Style1"/>
        <w:numPr>
          <w:ilvl w:val="0"/>
          <w:numId w:val="26"/>
        </w:numPr>
        <w:rPr>
          <w:szCs w:val="22"/>
        </w:rPr>
      </w:pPr>
      <w:r>
        <w:rPr>
          <w:szCs w:val="22"/>
        </w:rPr>
        <w:t xml:space="preserve">2022 PT list for list of </w:t>
      </w:r>
      <w:r w:rsidRPr="00B24E08">
        <w:rPr>
          <w:i/>
          <w:szCs w:val="22"/>
        </w:rPr>
        <w:t>CLIA Approved Proficiency Testing Programs</w:t>
      </w:r>
      <w:r>
        <w:rPr>
          <w:szCs w:val="22"/>
        </w:rPr>
        <w:t xml:space="preserve">, accessed 12.2022. </w:t>
      </w:r>
    </w:p>
    <w:p w14:paraId="73626196" w14:textId="77777777" w:rsidR="00F45F34" w:rsidRDefault="007A79F4" w:rsidP="00F45F34">
      <w:pPr>
        <w:pStyle w:val="Style1"/>
        <w:numPr>
          <w:ilvl w:val="0"/>
          <w:numId w:val="0"/>
        </w:numPr>
        <w:ind w:left="720"/>
        <w:rPr>
          <w:szCs w:val="22"/>
        </w:rPr>
      </w:pPr>
      <w:hyperlink r:id="rId19" w:history="1">
        <w:r w:rsidRPr="00B33830">
          <w:rPr>
            <w:rStyle w:val="Hyperlink"/>
            <w:szCs w:val="22"/>
          </w:rPr>
          <w:t>https://www.cms.gov/Regulations-and-Guidance/Legislation/CLIA/Proficiency_Testing_Providers</w:t>
        </w:r>
      </w:hyperlink>
    </w:p>
    <w:p w14:paraId="2046BFDD" w14:textId="77777777" w:rsidR="00F45F34" w:rsidRDefault="00F45F34" w:rsidP="00F45F34">
      <w:pPr>
        <w:pStyle w:val="Style1"/>
        <w:numPr>
          <w:ilvl w:val="0"/>
          <w:numId w:val="0"/>
        </w:numPr>
        <w:ind w:left="720"/>
        <w:rPr>
          <w:szCs w:val="22"/>
        </w:rPr>
      </w:pPr>
    </w:p>
    <w:p w14:paraId="553B4B3D" w14:textId="77777777" w:rsidR="00F45F34" w:rsidRDefault="007A79F4" w:rsidP="00F45F34">
      <w:pPr>
        <w:pStyle w:val="Style1"/>
        <w:numPr>
          <w:ilvl w:val="0"/>
          <w:numId w:val="26"/>
        </w:numPr>
        <w:rPr>
          <w:szCs w:val="22"/>
        </w:rPr>
      </w:pPr>
      <w:r>
        <w:rPr>
          <w:szCs w:val="22"/>
        </w:rPr>
        <w:t xml:space="preserve">College of American Pathologist (CAP), </w:t>
      </w:r>
      <w:r>
        <w:rPr>
          <w:i/>
          <w:iCs/>
          <w:szCs w:val="22"/>
        </w:rPr>
        <w:t xml:space="preserve">All Common Checklist Standards </w:t>
      </w:r>
      <w:r>
        <w:rPr>
          <w:szCs w:val="22"/>
        </w:rPr>
        <w:t xml:space="preserve">under the section for Proficiency Testing, 10/24/2022, 325 Waukegan Road Northfield, IL. </w:t>
      </w:r>
    </w:p>
    <w:p w14:paraId="5EC247B6" w14:textId="77777777" w:rsidR="00F45F34" w:rsidRDefault="00F45F34" w:rsidP="00F45F34">
      <w:pPr>
        <w:rPr>
          <w:szCs w:val="24"/>
        </w:rPr>
      </w:pPr>
    </w:p>
    <w:p w14:paraId="5E46082D" w14:textId="77777777" w:rsidR="00F45F34" w:rsidRDefault="00F45F34" w:rsidP="00F45F34">
      <w:pPr>
        <w:rPr>
          <w:szCs w:val="24"/>
        </w:rPr>
      </w:pPr>
    </w:p>
    <w:p w14:paraId="2319CDA1" w14:textId="27A1EEE9" w:rsidR="00F45F34" w:rsidRDefault="007A79F4" w:rsidP="00D11CD9">
      <w:pPr>
        <w:pStyle w:val="Heading1"/>
      </w:pPr>
      <w:r>
        <w:t>R</w:t>
      </w:r>
      <w:r>
        <w:t>elated policies/procedures in navex:N/A</w:t>
      </w:r>
    </w:p>
    <w:p w14:paraId="2FF25369" w14:textId="77777777" w:rsidR="00F45F34" w:rsidRDefault="00F45F34" w:rsidP="00F45F34"/>
    <w:p w14:paraId="7E76A647" w14:textId="77777777" w:rsidR="00F45F34" w:rsidRDefault="007A79F4" w:rsidP="00F45F34">
      <w:pPr>
        <w:pStyle w:val="Heading1"/>
      </w:pPr>
      <w:r>
        <w:t>Attachments/Linked documents in title 21:</w:t>
      </w:r>
    </w:p>
    <w:p w14:paraId="28D5E868" w14:textId="77777777" w:rsidR="00F45F34" w:rsidRDefault="00F45F34" w:rsidP="00F45F34"/>
    <w:p w14:paraId="3141A5F0" w14:textId="77777777" w:rsidR="00F45F34" w:rsidRDefault="007A79F4" w:rsidP="00F45F34">
      <w:pPr>
        <w:pStyle w:val="ListParagraph"/>
        <w:numPr>
          <w:ilvl w:val="0"/>
          <w:numId w:val="36"/>
        </w:numPr>
      </w:pPr>
      <w:r>
        <w:t>Attachments:</w:t>
      </w:r>
    </w:p>
    <w:p w14:paraId="3E87BEF4" w14:textId="77777777" w:rsidR="00F45F34" w:rsidRDefault="007A79F4" w:rsidP="00F45F34">
      <w:pPr>
        <w:pStyle w:val="Style1"/>
        <w:numPr>
          <w:ilvl w:val="0"/>
          <w:numId w:val="31"/>
        </w:numPr>
      </w:pPr>
      <w:r>
        <w:t xml:space="preserve">Attachment A: </w:t>
      </w:r>
      <w:r w:rsidRPr="000E4334">
        <w:t>CAP PT Exception Code</w:t>
      </w:r>
    </w:p>
    <w:p w14:paraId="78B57D84" w14:textId="77777777" w:rsidR="00F45F34" w:rsidRDefault="007A79F4" w:rsidP="00F45F34">
      <w:pPr>
        <w:pStyle w:val="Style1"/>
        <w:numPr>
          <w:ilvl w:val="0"/>
          <w:numId w:val="31"/>
        </w:numPr>
      </w:pPr>
      <w:r w:rsidRPr="000E4334">
        <w:t>Attachment B: PT Exception Investigation Worksheet</w:t>
      </w:r>
      <w:r>
        <w:t xml:space="preserve"> (</w:t>
      </w:r>
      <w:r w:rsidRPr="00B24E08">
        <w:rPr>
          <w:i/>
          <w:sz w:val="20"/>
          <w:szCs w:val="20"/>
        </w:rPr>
        <w:t>a fillable PDF version is available. Go to the Title 21 system “Attachm</w:t>
      </w:r>
      <w:r w:rsidRPr="00B24E08">
        <w:rPr>
          <w:i/>
          <w:sz w:val="20"/>
          <w:szCs w:val="20"/>
        </w:rPr>
        <w:t>ents” section</w:t>
      </w:r>
      <w:r>
        <w:t>)</w:t>
      </w:r>
    </w:p>
    <w:p w14:paraId="659D19DA" w14:textId="77777777" w:rsidR="00F45F34" w:rsidRDefault="007A79F4" w:rsidP="00F45F34">
      <w:pPr>
        <w:pStyle w:val="Style1"/>
        <w:numPr>
          <w:ilvl w:val="0"/>
          <w:numId w:val="31"/>
        </w:numPr>
      </w:pPr>
      <w:r>
        <w:t xml:space="preserve">Attachment C: </w:t>
      </w:r>
      <w:r w:rsidRPr="00F87244">
        <w:t>List of Non-Waived Testing for Which PT is Required</w:t>
      </w:r>
    </w:p>
    <w:p w14:paraId="56F5A56C" w14:textId="77777777" w:rsidR="00F45F34" w:rsidRDefault="007A79F4" w:rsidP="00F45F34">
      <w:pPr>
        <w:pStyle w:val="Style1"/>
        <w:numPr>
          <w:ilvl w:val="0"/>
          <w:numId w:val="31"/>
        </w:numPr>
      </w:pPr>
      <w:r>
        <w:t>Attachment D: Proficiency Testing Education Module (</w:t>
      </w:r>
      <w:r w:rsidRPr="00CF4BE2">
        <w:t xml:space="preserve">go to the Title 21 system </w:t>
      </w:r>
      <w:r>
        <w:t>“A</w:t>
      </w:r>
      <w:r w:rsidRPr="00CF4BE2">
        <w:t>ttachment</w:t>
      </w:r>
      <w:r>
        <w:t>”</w:t>
      </w:r>
      <w:r w:rsidRPr="00CF4BE2">
        <w:t xml:space="preserve"> section for the PowerPoint presentation)</w:t>
      </w:r>
      <w:r>
        <w:t>.</w:t>
      </w:r>
    </w:p>
    <w:p w14:paraId="28D80949" w14:textId="77777777" w:rsidR="00F45F34" w:rsidRDefault="00F45F34" w:rsidP="00F45F34"/>
    <w:p w14:paraId="02E90253" w14:textId="77777777" w:rsidR="00F45F34" w:rsidRDefault="007A79F4" w:rsidP="00F45F34">
      <w:pPr>
        <w:pStyle w:val="ListParagraph"/>
        <w:numPr>
          <w:ilvl w:val="0"/>
          <w:numId w:val="14"/>
        </w:numPr>
      </w:pPr>
      <w:r>
        <w:t>Linked Documents:</w:t>
      </w:r>
    </w:p>
    <w:p w14:paraId="400AE499" w14:textId="77777777" w:rsidR="00F45F34" w:rsidRDefault="007A79F4" w:rsidP="00F45F34">
      <w:pPr>
        <w:pStyle w:val="Style1"/>
        <w:numPr>
          <w:ilvl w:val="0"/>
          <w:numId w:val="32"/>
        </w:numPr>
      </w:pPr>
      <w:r w:rsidRPr="00CB26E1">
        <w:t>QUAL-SOP-0002</w:t>
      </w:r>
      <w:r>
        <w:t>: C</w:t>
      </w:r>
      <w:r w:rsidRPr="000D51CC">
        <w:t xml:space="preserve">APA </w:t>
      </w:r>
      <w:r w:rsidRPr="000D51CC">
        <w:t>Corrective Action Preventative Action &amp; Planned Deviations</w:t>
      </w:r>
    </w:p>
    <w:p w14:paraId="7CF08F22" w14:textId="77777777" w:rsidR="00F45F34" w:rsidRDefault="007A79F4" w:rsidP="00F45F34">
      <w:pPr>
        <w:pStyle w:val="Style1"/>
        <w:numPr>
          <w:ilvl w:val="0"/>
          <w:numId w:val="32"/>
        </w:numPr>
      </w:pPr>
      <w:r>
        <w:t xml:space="preserve">BB-SOP-0001: </w:t>
      </w:r>
      <w:r w:rsidRPr="00274C26">
        <w:t>Proficiencies Blood Bank CAP Surveys &amp; Internal Assessments</w:t>
      </w:r>
    </w:p>
    <w:p w14:paraId="33AFFC1F" w14:textId="77777777" w:rsidR="00F45F34" w:rsidRDefault="007A79F4" w:rsidP="00F45F34">
      <w:pPr>
        <w:pStyle w:val="Style1"/>
        <w:numPr>
          <w:ilvl w:val="0"/>
          <w:numId w:val="32"/>
        </w:numPr>
      </w:pPr>
      <w:r w:rsidRPr="00274C26">
        <w:t>CCL-SOP-0004:</w:t>
      </w:r>
      <w:r>
        <w:t xml:space="preserve"> </w:t>
      </w:r>
      <w:r w:rsidRPr="00274C26">
        <w:t>CCL Proficiency Testing</w:t>
      </w:r>
    </w:p>
    <w:p w14:paraId="0167F2FA" w14:textId="77777777" w:rsidR="00F45F34" w:rsidRDefault="007A79F4" w:rsidP="00F45F34">
      <w:pPr>
        <w:pStyle w:val="Style1"/>
        <w:numPr>
          <w:ilvl w:val="0"/>
          <w:numId w:val="32"/>
        </w:numPr>
      </w:pPr>
      <w:r w:rsidRPr="00274C26">
        <w:t>CHEM-POL-0006: Proficiency Testing Procedure</w:t>
      </w:r>
    </w:p>
    <w:p w14:paraId="0BE11FC3" w14:textId="77777777" w:rsidR="00F45F34" w:rsidRDefault="007A79F4" w:rsidP="00F45F34">
      <w:pPr>
        <w:pStyle w:val="Style1"/>
        <w:numPr>
          <w:ilvl w:val="0"/>
          <w:numId w:val="32"/>
        </w:numPr>
      </w:pPr>
      <w:r w:rsidRPr="00274C26">
        <w:t>CP-SOP-0014: Proficiency Testing</w:t>
      </w:r>
    </w:p>
    <w:p w14:paraId="568C457F" w14:textId="77777777" w:rsidR="00F45F34" w:rsidRDefault="007A79F4" w:rsidP="00F45F34">
      <w:pPr>
        <w:pStyle w:val="Style1"/>
        <w:numPr>
          <w:ilvl w:val="0"/>
          <w:numId w:val="32"/>
        </w:numPr>
      </w:pPr>
      <w:r w:rsidRPr="00274C26">
        <w:t xml:space="preserve">CYTO-POL-0053: </w:t>
      </w:r>
      <w:r>
        <w:t>P</w:t>
      </w:r>
      <w:r w:rsidRPr="00274C26">
        <w:t>roficiency Testing</w:t>
      </w:r>
    </w:p>
    <w:p w14:paraId="2224DEBD" w14:textId="48C8DF86" w:rsidR="00BF5F7B" w:rsidRDefault="007A79F4" w:rsidP="00BF5F7B">
      <w:pPr>
        <w:pStyle w:val="Style1"/>
        <w:numPr>
          <w:ilvl w:val="0"/>
          <w:numId w:val="32"/>
        </w:numPr>
      </w:pPr>
      <w:r w:rsidRPr="00EA3447">
        <w:t>HEME-POL-0002: Proficiency Testing Procedure</w:t>
      </w:r>
    </w:p>
    <w:p w14:paraId="5EBC8F13" w14:textId="77777777" w:rsidR="00F93401" w:rsidRDefault="007A79F4" w:rsidP="00F93401">
      <w:pPr>
        <w:pStyle w:val="Style1"/>
        <w:numPr>
          <w:ilvl w:val="0"/>
          <w:numId w:val="32"/>
        </w:numPr>
      </w:pPr>
      <w:r>
        <w:t xml:space="preserve">HIST-SOP-0032: </w:t>
      </w:r>
      <w:r w:rsidRPr="00EA3447">
        <w:t>Proficiency Testing Guidance for Histology-QIP</w:t>
      </w:r>
    </w:p>
    <w:p w14:paraId="02C9A6CB" w14:textId="77777777" w:rsidR="00F93401" w:rsidRDefault="007A79F4" w:rsidP="00F93401">
      <w:pPr>
        <w:pStyle w:val="Style1"/>
        <w:numPr>
          <w:ilvl w:val="0"/>
          <w:numId w:val="32"/>
        </w:numPr>
      </w:pPr>
      <w:r w:rsidRPr="00EA3447">
        <w:t>MB-SOP-0055: MB56 Proficiency Testing</w:t>
      </w:r>
    </w:p>
    <w:p w14:paraId="0D1079E3" w14:textId="77777777" w:rsidR="00F93401" w:rsidRDefault="007A79F4" w:rsidP="00F93401">
      <w:pPr>
        <w:pStyle w:val="Style1"/>
        <w:numPr>
          <w:ilvl w:val="0"/>
          <w:numId w:val="32"/>
        </w:numPr>
      </w:pPr>
      <w:r w:rsidRPr="00EA3447">
        <w:t>MD-SOP-0012: Proficiency Testing Procedure</w:t>
      </w:r>
    </w:p>
    <w:p w14:paraId="4C20BF86" w14:textId="77777777" w:rsidR="00F93401" w:rsidRDefault="007A79F4" w:rsidP="00F93401">
      <w:pPr>
        <w:pStyle w:val="Style1"/>
        <w:numPr>
          <w:ilvl w:val="0"/>
          <w:numId w:val="32"/>
        </w:numPr>
      </w:pPr>
      <w:r>
        <w:t xml:space="preserve">PCR-SOP-0040: </w:t>
      </w:r>
      <w:r w:rsidRPr="006C0CAB">
        <w:t>Molecular Diagnosti</w:t>
      </w:r>
      <w:r w:rsidRPr="006C0CAB">
        <w:t>cs PCR Laboratory Quality Management Policy</w:t>
      </w:r>
    </w:p>
    <w:p w14:paraId="1F606225" w14:textId="77777777" w:rsidR="00F93401" w:rsidRDefault="007A79F4" w:rsidP="00F93401">
      <w:pPr>
        <w:pStyle w:val="Style1"/>
        <w:numPr>
          <w:ilvl w:val="0"/>
          <w:numId w:val="32"/>
        </w:numPr>
      </w:pPr>
      <w:r w:rsidRPr="006C0CAB">
        <w:t>POCT-SOP-0004:</w:t>
      </w:r>
      <w:r w:rsidRPr="006C0CAB">
        <w:tab/>
        <w:t>Point of Care Testing (POCT) Using the i-STAT Analyzer System</w:t>
      </w:r>
    </w:p>
    <w:p w14:paraId="4FA1F444" w14:textId="77777777" w:rsidR="00F93401" w:rsidRDefault="007A79F4" w:rsidP="00F93401">
      <w:pPr>
        <w:pStyle w:val="Style1"/>
        <w:numPr>
          <w:ilvl w:val="0"/>
          <w:numId w:val="32"/>
        </w:numPr>
      </w:pPr>
      <w:r w:rsidRPr="006C0CAB">
        <w:t xml:space="preserve">QUAL-POL-0002: </w:t>
      </w:r>
      <w:r w:rsidRPr="006C0CAB">
        <w:tab/>
        <w:t>Commitment to Quality Policy</w:t>
      </w:r>
    </w:p>
    <w:p w14:paraId="5D33F1BE" w14:textId="77777777" w:rsidR="00F93401" w:rsidRDefault="00F93401" w:rsidP="00F93401">
      <w:pPr>
        <w:pStyle w:val="Style1"/>
        <w:numPr>
          <w:ilvl w:val="0"/>
          <w:numId w:val="0"/>
        </w:numPr>
        <w:ind w:left="720"/>
      </w:pPr>
    </w:p>
    <w:p w14:paraId="2224DEBE" w14:textId="77777777" w:rsidR="00BF5F7B" w:rsidRDefault="00BF5F7B" w:rsidP="00BF5F7B"/>
    <w:p w14:paraId="2224DEBF" w14:textId="77777777" w:rsidR="00BF5F7B" w:rsidRDefault="00BF5F7B" w:rsidP="00BF5F7B"/>
    <w:p w14:paraId="2224DEC0" w14:textId="77777777" w:rsidR="00BF5F7B" w:rsidRPr="00BF5F7B" w:rsidRDefault="00BF5F7B" w:rsidP="00BF5F7B"/>
    <w:p w14:paraId="6BB388AC" w14:textId="77777777" w:rsidR="00F45F34" w:rsidRDefault="007A79F4" w:rsidP="00F45F34">
      <w:pPr>
        <w:pStyle w:val="Heading1"/>
      </w:pPr>
      <w:r>
        <w:t>Revision Dates: Review Change Summary as represented in Title 21.</w:t>
      </w:r>
    </w:p>
    <w:p w14:paraId="618F0CD1" w14:textId="77777777" w:rsidR="00F45F34" w:rsidRPr="00DE2E06" w:rsidRDefault="007A79F4" w:rsidP="00F45F34">
      <w:r>
        <w:t>January 23, 2017, Ma</w:t>
      </w:r>
      <w:r>
        <w:t>y 15, 2017, March 16, 2018, November 13, 2019, February 14, 2020</w:t>
      </w:r>
    </w:p>
    <w:p w14:paraId="2224DEC1" w14:textId="63F464A0" w:rsidR="00A7748A" w:rsidRDefault="007A79F4" w:rsidP="00887AE0">
      <w:pPr>
        <w:pStyle w:val="Heading1"/>
      </w:pPr>
      <w:r>
        <w:t>5/23</w:t>
      </w:r>
    </w:p>
    <w:p w14:paraId="2224DEC2" w14:textId="77777777" w:rsidR="00BF5F7B" w:rsidRDefault="00BF5F7B" w:rsidP="00BF5F7B"/>
    <w:p w14:paraId="2224DEC3" w14:textId="77777777" w:rsidR="00BF5F7B" w:rsidRDefault="00BF5F7B" w:rsidP="00BF5F7B"/>
    <w:p w14:paraId="2224DEC4" w14:textId="32122101" w:rsidR="00BF5F7B" w:rsidRDefault="00BF5F7B" w:rsidP="00BF5F7B"/>
    <w:p w14:paraId="7C88F6D4" w14:textId="2D0850C7" w:rsidR="00D11CD9" w:rsidRDefault="00D11CD9" w:rsidP="00BF5F7B"/>
    <w:p w14:paraId="330FA774" w14:textId="5CBF6C58" w:rsidR="00D11CD9" w:rsidRDefault="00D11CD9" w:rsidP="00BF5F7B"/>
    <w:p w14:paraId="36AC4B5A" w14:textId="07D9F5A6" w:rsidR="00D11CD9" w:rsidRDefault="00D11CD9" w:rsidP="00BF5F7B"/>
    <w:p w14:paraId="4FB19AD9" w14:textId="3310AC3A" w:rsidR="00D11CD9" w:rsidRDefault="00D11CD9" w:rsidP="00BF5F7B"/>
    <w:p w14:paraId="21ABFAA0" w14:textId="68B3BC52" w:rsidR="00D11CD9" w:rsidRDefault="00D11CD9" w:rsidP="00BF5F7B"/>
    <w:p w14:paraId="524C8761" w14:textId="4FE3C1C6" w:rsidR="00D11CD9" w:rsidRDefault="00D11CD9" w:rsidP="00BF5F7B"/>
    <w:p w14:paraId="6F8DB9D8" w14:textId="3F526535" w:rsidR="00D11CD9" w:rsidRDefault="00D11CD9" w:rsidP="00BF5F7B"/>
    <w:p w14:paraId="5701811D" w14:textId="7DEA4EF4" w:rsidR="00D11CD9" w:rsidRDefault="00D11CD9" w:rsidP="00BF5F7B"/>
    <w:p w14:paraId="20E3F408" w14:textId="3ED05B9F" w:rsidR="005D2591" w:rsidRDefault="005D2591" w:rsidP="00BF5F7B"/>
    <w:p w14:paraId="5A57B183" w14:textId="5AAF7E8D" w:rsidR="005D2591" w:rsidRDefault="005D2591" w:rsidP="00BF5F7B"/>
    <w:p w14:paraId="1996BB98" w14:textId="35FBA2BC" w:rsidR="005D2591" w:rsidRDefault="005D2591" w:rsidP="00BF5F7B"/>
    <w:p w14:paraId="119EC5FD" w14:textId="52E67BA0" w:rsidR="005D2591" w:rsidRDefault="005D2591" w:rsidP="00BF5F7B"/>
    <w:p w14:paraId="6F218210" w14:textId="42537505" w:rsidR="005D2591" w:rsidRDefault="005D2591" w:rsidP="00BF5F7B"/>
    <w:p w14:paraId="16BD2094" w14:textId="09BD94E4" w:rsidR="005D2591" w:rsidRDefault="005D2591" w:rsidP="00BF5F7B"/>
    <w:p w14:paraId="4905A36D" w14:textId="3238E056" w:rsidR="005D2591" w:rsidRDefault="005D2591" w:rsidP="00BF5F7B"/>
    <w:p w14:paraId="4B02FEBC" w14:textId="054E1DCF" w:rsidR="005D2591" w:rsidRDefault="005D2591" w:rsidP="00BF5F7B"/>
    <w:p w14:paraId="20DA3FCE" w14:textId="15FB5B57" w:rsidR="005D2591" w:rsidRDefault="005D2591" w:rsidP="00BF5F7B"/>
    <w:p w14:paraId="66EBE255" w14:textId="2D2DC8FF" w:rsidR="005D2591" w:rsidRDefault="005D2591" w:rsidP="00BF5F7B"/>
    <w:p w14:paraId="5084B0C2" w14:textId="4D9AA4B3" w:rsidR="005D2591" w:rsidRDefault="005D2591" w:rsidP="00BF5F7B"/>
    <w:p w14:paraId="40AD48E2" w14:textId="6EF9A3B3" w:rsidR="005D2591" w:rsidRDefault="005D2591" w:rsidP="00BF5F7B"/>
    <w:p w14:paraId="7A09F82B" w14:textId="04AA6F55" w:rsidR="005D2591" w:rsidRDefault="005D2591" w:rsidP="00BF5F7B"/>
    <w:p w14:paraId="197DB858" w14:textId="6CD6A418" w:rsidR="005D2591" w:rsidRDefault="005D2591" w:rsidP="00BF5F7B"/>
    <w:p w14:paraId="01621AB8" w14:textId="275FD48E" w:rsidR="005D2591" w:rsidRDefault="005D2591" w:rsidP="00BF5F7B"/>
    <w:p w14:paraId="226A1757" w14:textId="101C7330" w:rsidR="005D2591" w:rsidRDefault="005D2591" w:rsidP="00BF5F7B"/>
    <w:p w14:paraId="2E7BBFC5" w14:textId="00434AA5" w:rsidR="005D2591" w:rsidRDefault="005D2591" w:rsidP="00BF5F7B"/>
    <w:p w14:paraId="30935EC7" w14:textId="58BAFB78" w:rsidR="005D2591" w:rsidRDefault="005D2591" w:rsidP="00BF5F7B"/>
    <w:p w14:paraId="184E063C" w14:textId="54A88904" w:rsidR="005D2591" w:rsidRDefault="005D2591" w:rsidP="00BF5F7B"/>
    <w:p w14:paraId="609D3D29" w14:textId="48124447" w:rsidR="005D2591" w:rsidRDefault="005D2591" w:rsidP="00BF5F7B"/>
    <w:p w14:paraId="7FD245DC" w14:textId="3B18CE20" w:rsidR="005D2591" w:rsidRDefault="005D2591" w:rsidP="00BF5F7B"/>
    <w:p w14:paraId="41A87193" w14:textId="5538E6F8" w:rsidR="005D2591" w:rsidRDefault="005D2591" w:rsidP="00BF5F7B"/>
    <w:p w14:paraId="0301892C" w14:textId="740915B0" w:rsidR="005D2591" w:rsidRDefault="005D2591" w:rsidP="00BF5F7B"/>
    <w:p w14:paraId="1B92015E" w14:textId="1F08E5A6" w:rsidR="005D2591" w:rsidRDefault="005D2591" w:rsidP="00BF5F7B"/>
    <w:p w14:paraId="335ED4E4" w14:textId="66C5EA75" w:rsidR="005D2591" w:rsidRDefault="005D2591" w:rsidP="00BF5F7B"/>
    <w:p w14:paraId="51C073ED" w14:textId="5BF5A0FE" w:rsidR="005D2591" w:rsidRDefault="005D2591" w:rsidP="00BF5F7B"/>
    <w:p w14:paraId="792E08B0" w14:textId="3678CFB0" w:rsidR="005D2591" w:rsidRDefault="005D2591" w:rsidP="00BF5F7B"/>
    <w:p w14:paraId="53C45433" w14:textId="229E5091" w:rsidR="005D2591" w:rsidRDefault="005D2591" w:rsidP="00BF5F7B"/>
    <w:p w14:paraId="12AD8CA8" w14:textId="1961C0DC" w:rsidR="005D2591" w:rsidRDefault="005D2591" w:rsidP="00BF5F7B"/>
    <w:p w14:paraId="24247835" w14:textId="77777777" w:rsidR="005D2591" w:rsidRDefault="005D2591" w:rsidP="00BF5F7B"/>
    <w:p w14:paraId="38D64AA5" w14:textId="77777777" w:rsidR="005D2591" w:rsidRDefault="005D2591" w:rsidP="00BF5F7B">
      <w:bookmarkStart w:id="4" w:name="_GoBack"/>
      <w:bookmarkEnd w:id="4"/>
    </w:p>
    <w:p w14:paraId="1834C4A3" w14:textId="6552E98A" w:rsidR="00D11CD9" w:rsidRDefault="007A79F4" w:rsidP="00BF5F7B">
      <w:pPr>
        <w:rPr>
          <w:b/>
        </w:rPr>
      </w:pPr>
      <w:r>
        <w:rPr>
          <w:b/>
        </w:rPr>
        <w:t>A</w:t>
      </w:r>
      <w:r w:rsidRPr="00B24E08">
        <w:rPr>
          <w:b/>
        </w:rPr>
        <w:t>ttachment A:</w:t>
      </w:r>
      <w:r>
        <w:rPr>
          <w:b/>
        </w:rPr>
        <w:tab/>
      </w:r>
      <w:r w:rsidRPr="00287164">
        <w:rPr>
          <w:b/>
        </w:rPr>
        <w:t>CAP PT Exception Code</w:t>
      </w:r>
    </w:p>
    <w:p w14:paraId="49D339C8" w14:textId="3354C6C4" w:rsidR="00D11CD9" w:rsidRDefault="007A79F4" w:rsidP="00BF5F7B">
      <w:r>
        <w:rPr>
          <w:noProof/>
        </w:rPr>
        <w:drawing>
          <wp:inline distT="0" distB="0" distL="0" distR="0">
            <wp:extent cx="5724939" cy="7948068"/>
            <wp:effectExtent l="19050" t="19050" r="28575"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5C4203.tmp"/>
                    <pic:cNvPicPr/>
                  </pic:nvPicPr>
                  <pic:blipFill>
                    <a:blip r:embed="rId20">
                      <a:extLst>
                        <a:ext uri="{28A0092B-C50C-407E-A947-70E740481C1C}">
                          <a14:useLocalDpi xmlns:a14="http://schemas.microsoft.com/office/drawing/2010/main" val="0"/>
                        </a:ext>
                      </a:extLst>
                    </a:blip>
                    <a:stretch>
                      <a:fillRect/>
                    </a:stretch>
                  </pic:blipFill>
                  <pic:spPr>
                    <a:xfrm>
                      <a:off x="0" y="0"/>
                      <a:ext cx="5742132" cy="7971938"/>
                    </a:xfrm>
                    <a:prstGeom prst="rect">
                      <a:avLst/>
                    </a:prstGeom>
                    <a:ln>
                      <a:solidFill>
                        <a:schemeClr val="accent1"/>
                      </a:solidFill>
                    </a:ln>
                  </pic:spPr>
                </pic:pic>
              </a:graphicData>
            </a:graphic>
          </wp:inline>
        </w:drawing>
      </w:r>
    </w:p>
    <w:p w14:paraId="565A0F4A" w14:textId="7FFD2564" w:rsidR="00D11CD9" w:rsidRDefault="007A79F4" w:rsidP="00BF5F7B">
      <w:r>
        <w:rPr>
          <w:noProof/>
        </w:rPr>
        <w:drawing>
          <wp:inline distT="0" distB="0" distL="0" distR="0">
            <wp:extent cx="5758675" cy="7123899"/>
            <wp:effectExtent l="19050" t="19050" r="13970" b="203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5CCD8B.tmp"/>
                    <pic:cNvPicPr/>
                  </pic:nvPicPr>
                  <pic:blipFill>
                    <a:blip r:embed="rId21">
                      <a:extLst>
                        <a:ext uri="{28A0092B-C50C-407E-A947-70E740481C1C}">
                          <a14:useLocalDpi xmlns:a14="http://schemas.microsoft.com/office/drawing/2010/main" val="0"/>
                        </a:ext>
                      </a:extLst>
                    </a:blip>
                    <a:stretch>
                      <a:fillRect/>
                    </a:stretch>
                  </pic:blipFill>
                  <pic:spPr>
                    <a:xfrm>
                      <a:off x="0" y="0"/>
                      <a:ext cx="5767676" cy="7135034"/>
                    </a:xfrm>
                    <a:prstGeom prst="rect">
                      <a:avLst/>
                    </a:prstGeom>
                    <a:ln>
                      <a:solidFill>
                        <a:schemeClr val="accent1"/>
                      </a:solidFill>
                    </a:ln>
                  </pic:spPr>
                </pic:pic>
              </a:graphicData>
            </a:graphic>
          </wp:inline>
        </w:drawing>
      </w:r>
    </w:p>
    <w:p w14:paraId="2D90727A" w14:textId="7ADDE47B" w:rsidR="00D11CD9" w:rsidRDefault="00D11CD9" w:rsidP="00BF5F7B"/>
    <w:p w14:paraId="2D933D31" w14:textId="591E06B6" w:rsidR="00D11CD9" w:rsidRDefault="00D11CD9" w:rsidP="00BF5F7B"/>
    <w:p w14:paraId="6FF4554C" w14:textId="7E409336" w:rsidR="00D11CD9" w:rsidRDefault="00D11CD9" w:rsidP="00BF5F7B"/>
    <w:p w14:paraId="0E5C82DE" w14:textId="09185D9D" w:rsidR="00D11CD9" w:rsidRDefault="00D11CD9" w:rsidP="00BF5F7B"/>
    <w:p w14:paraId="06CC058A" w14:textId="43D57377" w:rsidR="00D11CD9" w:rsidRDefault="00D11CD9" w:rsidP="00BF5F7B"/>
    <w:p w14:paraId="175AC405" w14:textId="77777777" w:rsidR="00035CA8" w:rsidRDefault="00035CA8" w:rsidP="00035CA8">
      <w:pPr>
        <w:ind w:left="360" w:firstLine="360"/>
        <w:rPr>
          <w:rFonts w:cs="Arial"/>
          <w:b/>
          <w:szCs w:val="22"/>
        </w:rPr>
      </w:pPr>
    </w:p>
    <w:p w14:paraId="1DA088D8" w14:textId="4C4F4018" w:rsidR="00035CA8" w:rsidRDefault="007A79F4" w:rsidP="00035CA8">
      <w:pPr>
        <w:ind w:left="360" w:firstLine="360"/>
        <w:rPr>
          <w:rFonts w:cs="Arial"/>
          <w:szCs w:val="22"/>
        </w:rPr>
      </w:pPr>
      <w:r w:rsidRPr="00B24E08">
        <w:rPr>
          <w:rFonts w:cs="Arial"/>
          <w:b/>
          <w:szCs w:val="22"/>
        </w:rPr>
        <w:t>Attachment B</w:t>
      </w:r>
      <w:r w:rsidRPr="004304BF">
        <w:rPr>
          <w:rFonts w:cs="Arial"/>
          <w:szCs w:val="22"/>
        </w:rPr>
        <w:t xml:space="preserve">: </w:t>
      </w:r>
      <w:r>
        <w:rPr>
          <w:rFonts w:cs="Arial"/>
          <w:szCs w:val="22"/>
        </w:rPr>
        <w:tab/>
        <w:t xml:space="preserve">PT Exception Investigation Worksheet </w:t>
      </w:r>
    </w:p>
    <w:p w14:paraId="32AE8483" w14:textId="77777777" w:rsidR="00035CA8" w:rsidRDefault="007A79F4" w:rsidP="00035CA8">
      <w:pPr>
        <w:ind w:left="2160" w:firstLine="360"/>
        <w:rPr>
          <w:rFonts w:cs="Arial"/>
          <w:sz w:val="18"/>
          <w:szCs w:val="18"/>
        </w:rPr>
      </w:pPr>
      <w:r>
        <w:rPr>
          <w:rFonts w:cs="Arial"/>
          <w:sz w:val="18"/>
          <w:szCs w:val="18"/>
        </w:rPr>
        <w:t>A</w:t>
      </w:r>
      <w:r w:rsidRPr="005871EB">
        <w:rPr>
          <w:rFonts w:cs="Arial"/>
          <w:sz w:val="18"/>
          <w:szCs w:val="18"/>
        </w:rPr>
        <w:t xml:space="preserve"> fillable PDF version</w:t>
      </w:r>
      <w:r>
        <w:rPr>
          <w:rFonts w:cs="Arial"/>
          <w:sz w:val="18"/>
          <w:szCs w:val="18"/>
        </w:rPr>
        <w:t xml:space="preserve"> is available. Go to the Title 21 system “Attachments” section</w:t>
      </w:r>
      <w:r w:rsidRPr="005871EB">
        <w:rPr>
          <w:rFonts w:cs="Arial"/>
          <w:sz w:val="18"/>
          <w:szCs w:val="18"/>
        </w:rPr>
        <w:t>.</w:t>
      </w:r>
    </w:p>
    <w:p w14:paraId="6EBB668F" w14:textId="580E6059" w:rsidR="00D11CD9" w:rsidRDefault="00D11CD9" w:rsidP="00BF5F7B"/>
    <w:p w14:paraId="3A931591" w14:textId="5967D6F2" w:rsidR="00D11CD9" w:rsidRDefault="007A79F4" w:rsidP="00BF5F7B">
      <w:r>
        <w:rPr>
          <w:rFonts w:cs="Arial"/>
          <w:noProof/>
          <w:szCs w:val="22"/>
        </w:rPr>
        <w:drawing>
          <wp:inline distT="0" distB="0" distL="0" distR="0">
            <wp:extent cx="5792333" cy="7124368"/>
            <wp:effectExtent l="19050" t="19050" r="18415" b="196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3066A7.tmp"/>
                    <pic:cNvPicPr/>
                  </pic:nvPicPr>
                  <pic:blipFill>
                    <a:blip r:embed="rId22">
                      <a:extLst>
                        <a:ext uri="{28A0092B-C50C-407E-A947-70E740481C1C}">
                          <a14:useLocalDpi xmlns:a14="http://schemas.microsoft.com/office/drawing/2010/main" val="0"/>
                        </a:ext>
                      </a:extLst>
                    </a:blip>
                    <a:stretch>
                      <a:fillRect/>
                    </a:stretch>
                  </pic:blipFill>
                  <pic:spPr>
                    <a:xfrm>
                      <a:off x="0" y="0"/>
                      <a:ext cx="5795220" cy="7127919"/>
                    </a:xfrm>
                    <a:prstGeom prst="rect">
                      <a:avLst/>
                    </a:prstGeom>
                    <a:ln>
                      <a:solidFill>
                        <a:schemeClr val="accent1"/>
                      </a:solidFill>
                    </a:ln>
                  </pic:spPr>
                </pic:pic>
              </a:graphicData>
            </a:graphic>
          </wp:inline>
        </w:drawing>
      </w:r>
    </w:p>
    <w:p w14:paraId="7FADE078" w14:textId="73797680" w:rsidR="00D11CD9" w:rsidRDefault="00D11CD9" w:rsidP="00BF5F7B"/>
    <w:p w14:paraId="15C3FEC5" w14:textId="650CE5DD" w:rsidR="00D11CD9" w:rsidRDefault="00D11CD9" w:rsidP="00BF5F7B"/>
    <w:p w14:paraId="3ADB40E1" w14:textId="266E2C69" w:rsidR="00D11CD9" w:rsidRDefault="00D11CD9" w:rsidP="00BF5F7B"/>
    <w:p w14:paraId="6BAA852B" w14:textId="52BA90C2" w:rsidR="00D11CD9" w:rsidRDefault="00D11CD9" w:rsidP="00BF5F7B"/>
    <w:p w14:paraId="5A503A37" w14:textId="6B22D9BE" w:rsidR="00D11CD9" w:rsidRDefault="00D11CD9" w:rsidP="00BF5F7B"/>
    <w:p w14:paraId="33083F51" w14:textId="384FC555" w:rsidR="00D11CD9" w:rsidRDefault="00D11CD9" w:rsidP="00BF5F7B"/>
    <w:p w14:paraId="67521210" w14:textId="00FAEFFA" w:rsidR="00D11CD9" w:rsidRDefault="007A79F4" w:rsidP="00BF5F7B">
      <w:r>
        <w:rPr>
          <w:rFonts w:cs="Arial"/>
          <w:noProof/>
          <w:szCs w:val="22"/>
        </w:rPr>
        <w:drawing>
          <wp:inline distT="0" distB="0" distL="0" distR="0">
            <wp:extent cx="5943600" cy="6991842"/>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30E56D.tmp"/>
                    <pic:cNvPicPr/>
                  </pic:nvPicPr>
                  <pic:blipFill>
                    <a:blip r:embed="rId23">
                      <a:extLst>
                        <a:ext uri="{28A0092B-C50C-407E-A947-70E740481C1C}">
                          <a14:useLocalDpi xmlns:a14="http://schemas.microsoft.com/office/drawing/2010/main" val="0"/>
                        </a:ext>
                      </a:extLst>
                    </a:blip>
                    <a:stretch>
                      <a:fillRect/>
                    </a:stretch>
                  </pic:blipFill>
                  <pic:spPr>
                    <a:xfrm>
                      <a:off x="0" y="0"/>
                      <a:ext cx="5943600" cy="6991842"/>
                    </a:xfrm>
                    <a:prstGeom prst="rect">
                      <a:avLst/>
                    </a:prstGeom>
                    <a:ln>
                      <a:solidFill>
                        <a:schemeClr val="accent1"/>
                      </a:solidFill>
                    </a:ln>
                  </pic:spPr>
                </pic:pic>
              </a:graphicData>
            </a:graphic>
          </wp:inline>
        </w:drawing>
      </w:r>
    </w:p>
    <w:p w14:paraId="35D50C95" w14:textId="6388B513" w:rsidR="00D11CD9" w:rsidRDefault="00D11CD9" w:rsidP="00BF5F7B"/>
    <w:p w14:paraId="0E977445" w14:textId="16AF4D4F" w:rsidR="00D11CD9" w:rsidRDefault="00D11CD9" w:rsidP="00BF5F7B"/>
    <w:p w14:paraId="5E358067" w14:textId="3BC61456" w:rsidR="00D11CD9" w:rsidRDefault="00D11CD9" w:rsidP="00BF5F7B"/>
    <w:p w14:paraId="3906FF95" w14:textId="5F26CE63" w:rsidR="00D11CD9" w:rsidRDefault="00D11CD9" w:rsidP="00BF5F7B"/>
    <w:p w14:paraId="6EC887AD" w14:textId="76816605" w:rsidR="00D11CD9" w:rsidRDefault="00D11CD9" w:rsidP="00BF5F7B"/>
    <w:p w14:paraId="5D33CE64" w14:textId="35BAF13D" w:rsidR="00D11CD9" w:rsidRDefault="00D11CD9" w:rsidP="00BF5F7B"/>
    <w:p w14:paraId="5FC58A06" w14:textId="55281315" w:rsidR="00D11CD9" w:rsidRDefault="00D11CD9" w:rsidP="00BF5F7B"/>
    <w:p w14:paraId="7D70FD3E" w14:textId="3AFC0C5C" w:rsidR="00D11CD9" w:rsidRDefault="007A79F4" w:rsidP="00BF5F7B">
      <w:r>
        <w:rPr>
          <w:rFonts w:cs="Arial"/>
          <w:noProof/>
          <w:szCs w:val="22"/>
        </w:rPr>
        <w:drawing>
          <wp:inline distT="0" distB="0" distL="0" distR="0">
            <wp:extent cx="5884432" cy="7092563"/>
            <wp:effectExtent l="19050" t="19050" r="21590" b="133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30F1AB.tmp"/>
                    <pic:cNvPicPr/>
                  </pic:nvPicPr>
                  <pic:blipFill>
                    <a:blip r:embed="rId24">
                      <a:extLst>
                        <a:ext uri="{28A0092B-C50C-407E-A947-70E740481C1C}">
                          <a14:useLocalDpi xmlns:a14="http://schemas.microsoft.com/office/drawing/2010/main" val="0"/>
                        </a:ext>
                      </a:extLst>
                    </a:blip>
                    <a:stretch>
                      <a:fillRect/>
                    </a:stretch>
                  </pic:blipFill>
                  <pic:spPr>
                    <a:xfrm>
                      <a:off x="0" y="0"/>
                      <a:ext cx="5889724" cy="7098942"/>
                    </a:xfrm>
                    <a:prstGeom prst="rect">
                      <a:avLst/>
                    </a:prstGeom>
                    <a:ln>
                      <a:solidFill>
                        <a:schemeClr val="accent1"/>
                      </a:solidFill>
                    </a:ln>
                  </pic:spPr>
                </pic:pic>
              </a:graphicData>
            </a:graphic>
          </wp:inline>
        </w:drawing>
      </w:r>
    </w:p>
    <w:p w14:paraId="7272F990" w14:textId="7274CFF9" w:rsidR="00D11CD9" w:rsidRDefault="00D11CD9" w:rsidP="00BF5F7B"/>
    <w:p w14:paraId="065B6A6A" w14:textId="4ED23D67" w:rsidR="00D11CD9" w:rsidRDefault="00D11CD9" w:rsidP="00BF5F7B"/>
    <w:p w14:paraId="728A7A0C" w14:textId="0C887389" w:rsidR="00D11CD9" w:rsidRDefault="00D11CD9" w:rsidP="00BF5F7B"/>
    <w:p w14:paraId="69C514FA" w14:textId="41F8FFC2" w:rsidR="00D11CD9" w:rsidRDefault="00D11CD9" w:rsidP="00BF5F7B"/>
    <w:p w14:paraId="087881FB" w14:textId="67BA449C" w:rsidR="00D11CD9" w:rsidRDefault="00D11CD9" w:rsidP="00BF5F7B"/>
    <w:p w14:paraId="0ACA1CA1" w14:textId="77777777" w:rsidR="00035CA8" w:rsidRDefault="00035CA8" w:rsidP="00D11CD9">
      <w:pPr>
        <w:rPr>
          <w:rFonts w:cs="Arial"/>
          <w:b/>
          <w:szCs w:val="22"/>
        </w:rPr>
      </w:pPr>
    </w:p>
    <w:p w14:paraId="3CF0F735" w14:textId="7B050628" w:rsidR="00D11CD9" w:rsidRDefault="007A79F4" w:rsidP="00D11CD9">
      <w:pPr>
        <w:rPr>
          <w:rFonts w:cs="Arial"/>
          <w:szCs w:val="22"/>
        </w:rPr>
      </w:pPr>
      <w:r w:rsidRPr="00B24E08">
        <w:rPr>
          <w:rFonts w:cs="Arial"/>
          <w:b/>
          <w:szCs w:val="22"/>
        </w:rPr>
        <w:t>Attachment C:</w:t>
      </w:r>
      <w:r>
        <w:rPr>
          <w:rFonts w:cs="Arial"/>
          <w:szCs w:val="22"/>
        </w:rPr>
        <w:tab/>
      </w:r>
      <w:r w:rsidRPr="00F87244">
        <w:rPr>
          <w:rFonts w:cs="Arial"/>
          <w:szCs w:val="22"/>
        </w:rPr>
        <w:t>List of Non-Waived Testing for Which PT is Required</w:t>
      </w:r>
    </w:p>
    <w:p w14:paraId="44153A39" w14:textId="2A6726B1" w:rsidR="00D11CD9" w:rsidRDefault="007A79F4" w:rsidP="00BF5F7B">
      <w:pPr>
        <w:rPr>
          <w:rFonts w:cs="Arial"/>
          <w:szCs w:val="22"/>
        </w:rPr>
      </w:pPr>
      <w:r>
        <w:rPr>
          <w:rFonts w:cs="Arial"/>
          <w:noProof/>
          <w:szCs w:val="22"/>
        </w:rPr>
        <w:drawing>
          <wp:inline distT="0" distB="0" distL="0" distR="0">
            <wp:extent cx="5077026" cy="7235687"/>
            <wp:effectExtent l="19050" t="19050" r="9525" b="228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30A905.tmp"/>
                    <pic:cNvPicPr/>
                  </pic:nvPicPr>
                  <pic:blipFill>
                    <a:blip r:embed="rId25">
                      <a:extLst>
                        <a:ext uri="{28A0092B-C50C-407E-A947-70E740481C1C}">
                          <a14:useLocalDpi xmlns:a14="http://schemas.microsoft.com/office/drawing/2010/main" val="0"/>
                        </a:ext>
                      </a:extLst>
                    </a:blip>
                    <a:stretch>
                      <a:fillRect/>
                    </a:stretch>
                  </pic:blipFill>
                  <pic:spPr>
                    <a:xfrm>
                      <a:off x="0" y="0"/>
                      <a:ext cx="5093590" cy="7259294"/>
                    </a:xfrm>
                    <a:prstGeom prst="rect">
                      <a:avLst/>
                    </a:prstGeom>
                    <a:ln>
                      <a:solidFill>
                        <a:schemeClr val="accent1"/>
                      </a:solidFill>
                    </a:ln>
                  </pic:spPr>
                </pic:pic>
              </a:graphicData>
            </a:graphic>
          </wp:inline>
        </w:drawing>
      </w:r>
    </w:p>
    <w:p w14:paraId="09456758" w14:textId="45D0F00D" w:rsidR="00D11CD9" w:rsidRDefault="007A79F4" w:rsidP="00BF5F7B">
      <w:r>
        <w:rPr>
          <w:rFonts w:cs="Arial"/>
          <w:noProof/>
          <w:szCs w:val="22"/>
        </w:rPr>
        <w:drawing>
          <wp:inline distT="0" distB="0" distL="0" distR="0">
            <wp:extent cx="4993339" cy="7407275"/>
            <wp:effectExtent l="19050" t="19050" r="17145" b="222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30172E.tmp"/>
                    <pic:cNvPicPr/>
                  </pic:nvPicPr>
                  <pic:blipFill>
                    <a:blip r:embed="rId26">
                      <a:extLst>
                        <a:ext uri="{28A0092B-C50C-407E-A947-70E740481C1C}">
                          <a14:useLocalDpi xmlns:a14="http://schemas.microsoft.com/office/drawing/2010/main" val="0"/>
                        </a:ext>
                      </a:extLst>
                    </a:blip>
                    <a:stretch>
                      <a:fillRect/>
                    </a:stretch>
                  </pic:blipFill>
                  <pic:spPr>
                    <a:xfrm>
                      <a:off x="0" y="0"/>
                      <a:ext cx="5020549" cy="7447639"/>
                    </a:xfrm>
                    <a:prstGeom prst="rect">
                      <a:avLst/>
                    </a:prstGeom>
                    <a:ln>
                      <a:solidFill>
                        <a:schemeClr val="accent1"/>
                      </a:solidFill>
                    </a:ln>
                  </pic:spPr>
                </pic:pic>
              </a:graphicData>
            </a:graphic>
          </wp:inline>
        </w:drawing>
      </w:r>
    </w:p>
    <w:p w14:paraId="24DBE850" w14:textId="60B551BA" w:rsidR="00D11CD9" w:rsidRDefault="00D11CD9" w:rsidP="00BF5F7B"/>
    <w:p w14:paraId="29C42694" w14:textId="143CE245" w:rsidR="00D11CD9" w:rsidRPr="004304BF" w:rsidRDefault="007A79F4" w:rsidP="00D11CD9">
      <w:pPr>
        <w:spacing w:after="100" w:afterAutospacing="1"/>
        <w:rPr>
          <w:rFonts w:cs="Arial"/>
          <w:szCs w:val="22"/>
        </w:rPr>
      </w:pPr>
      <w:r w:rsidRPr="00217743">
        <w:rPr>
          <w:rFonts w:cs="Arial"/>
          <w:b/>
          <w:szCs w:val="22"/>
        </w:rPr>
        <w:t>Attachment D:</w:t>
      </w:r>
      <w:r>
        <w:rPr>
          <w:rFonts w:cs="Arial"/>
          <w:szCs w:val="22"/>
        </w:rPr>
        <w:tab/>
      </w:r>
      <w:r w:rsidRPr="00217743">
        <w:rPr>
          <w:rFonts w:cs="Arial"/>
          <w:szCs w:val="22"/>
        </w:rPr>
        <w:t xml:space="preserve">Proficiency Testing Education Module </w:t>
      </w:r>
      <w:r w:rsidRPr="00C814A6">
        <w:rPr>
          <w:rFonts w:cs="Arial"/>
          <w:i/>
          <w:szCs w:val="22"/>
        </w:rPr>
        <w:t xml:space="preserve">(go to the Title 21 system “Attachment” </w:t>
      </w:r>
      <w:r w:rsidRPr="00C814A6">
        <w:rPr>
          <w:rFonts w:cs="Arial"/>
          <w:i/>
          <w:szCs w:val="22"/>
        </w:rPr>
        <w:t>section for the PowerPoint presentation)</w:t>
      </w:r>
      <w:r w:rsidRPr="00217743">
        <w:rPr>
          <w:rFonts w:cs="Arial"/>
          <w:szCs w:val="22"/>
        </w:rPr>
        <w:t>.</w:t>
      </w:r>
    </w:p>
    <w:p w14:paraId="62FFBD8A" w14:textId="77777777" w:rsidR="00D11CD9" w:rsidRPr="00BF5F7B" w:rsidRDefault="00D11CD9" w:rsidP="00BF5F7B"/>
    <w:sectPr w:rsidR="00D11CD9" w:rsidRPr="00BF5F7B" w:rsidSect="00A153FF">
      <w:headerReference w:type="default" r:id="rId27"/>
      <w:footerReference w:type="default" r:id="rId28"/>
      <w:headerReference w:type="first" r:id="rId29"/>
      <w:footerReference w:type="first" r:id="rId30"/>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7F51A" w14:textId="77777777" w:rsidR="00000000" w:rsidRDefault="007A79F4">
      <w:r>
        <w:separator/>
      </w:r>
    </w:p>
  </w:endnote>
  <w:endnote w:type="continuationSeparator" w:id="0">
    <w:p w14:paraId="556FA8C0" w14:textId="77777777" w:rsidR="00000000" w:rsidRDefault="007A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C6" w14:textId="77777777" w:rsidR="00A53D4F" w:rsidRPr="00E7495B" w:rsidRDefault="007A79F4" w:rsidP="00974CB9">
    <w:pPr>
      <w:jc w:val="center"/>
      <w:rPr>
        <w:rFonts w:cs="Arial"/>
        <w:i/>
        <w:iCs/>
        <w:sz w:val="20"/>
      </w:rPr>
    </w:pPr>
    <w:r w:rsidRPr="00E7495B">
      <w:rPr>
        <w:rFonts w:cs="Arial"/>
        <w:i/>
        <w:iCs/>
        <w:sz w:val="20"/>
      </w:rPr>
      <w:t>Printed copies are for reference only. Please refer to the electronic copy for</w:t>
    </w:r>
    <w:r w:rsidRPr="00E7495B">
      <w:rPr>
        <w:rFonts w:cs="Arial"/>
        <w:i/>
        <w:iCs/>
        <w:sz w:val="20"/>
      </w:rPr>
      <w:t xml:space="preserve"> the latest version.</w:t>
    </w:r>
  </w:p>
  <w:p w14:paraId="2224DEC7" w14:textId="77777777" w:rsidR="00A53D4F" w:rsidRPr="00E7495B" w:rsidRDefault="007A79F4" w:rsidP="00A05FAA">
    <w:pPr>
      <w:pStyle w:val="Footer"/>
      <w:tabs>
        <w:tab w:val="clear" w:pos="8640"/>
        <w:tab w:val="right" w:pos="8370"/>
        <w:tab w:val="right" w:pos="10170"/>
      </w:tabs>
      <w:jc w:val="center"/>
      <w:rPr>
        <w:rFonts w:cs="Arial"/>
        <w:i/>
        <w:iCs/>
        <w:sz w:val="18"/>
        <w:szCs w:val="18"/>
      </w:rPr>
    </w:pPr>
    <w:sdt>
      <w:sdtPr>
        <w:rPr>
          <w:rFonts w:cs="Arial"/>
          <w:i/>
          <w:iCs/>
          <w:sz w:val="18"/>
          <w:szCs w:val="18"/>
        </w:rPr>
        <w:id w:val="775987137"/>
        <w:docPartObj>
          <w:docPartGallery w:val="Page Numbers (Bottom of Page)"/>
          <w:docPartUnique/>
        </w:docPartObj>
      </w:sdtPr>
      <w:sdtEndPr/>
      <w:sdtContent>
        <w:sdt>
          <w:sdtPr>
            <w:rPr>
              <w:rFonts w:cs="Arial"/>
              <w:i/>
              <w:iCs/>
              <w:sz w:val="18"/>
              <w:szCs w:val="18"/>
            </w:rPr>
            <w:id w:val="376516255"/>
            <w:docPartObj>
              <w:docPartGallery w:val="Page Numbers (Top of Page)"/>
              <w:docPartUnique/>
            </w:docPartObj>
          </w:sdtPr>
          <w:sdtEndPr/>
          <w:sdtContent>
            <w:r w:rsidRPr="00E7495B">
              <w:rPr>
                <w:rFonts w:cs="Arial"/>
                <w:i/>
                <w:iCs/>
                <w:sz w:val="18"/>
                <w:szCs w:val="18"/>
              </w:rPr>
              <w:t xml:space="preserve">Page </w:t>
            </w:r>
            <w:r w:rsidRPr="00E7495B">
              <w:rPr>
                <w:rFonts w:cs="Arial"/>
                <w:i/>
                <w:iCs/>
                <w:sz w:val="18"/>
                <w:szCs w:val="18"/>
              </w:rPr>
              <w:fldChar w:fldCharType="begin"/>
            </w:r>
            <w:r w:rsidRPr="00E7495B">
              <w:rPr>
                <w:rFonts w:cs="Arial"/>
                <w:i/>
                <w:iCs/>
                <w:sz w:val="18"/>
                <w:szCs w:val="18"/>
              </w:rPr>
              <w:instrText xml:space="preserve"> PAGE </w:instrText>
            </w:r>
            <w:r w:rsidRPr="00E7495B">
              <w:rPr>
                <w:rFonts w:cs="Arial"/>
                <w:i/>
                <w:iCs/>
                <w:sz w:val="18"/>
                <w:szCs w:val="18"/>
              </w:rPr>
              <w:fldChar w:fldCharType="separate"/>
            </w:r>
            <w:r w:rsidRPr="00E7495B">
              <w:rPr>
                <w:rFonts w:cs="Arial"/>
                <w:i/>
                <w:iCs/>
                <w:sz w:val="18"/>
                <w:szCs w:val="18"/>
              </w:rPr>
              <w:t>2</w:t>
            </w:r>
            <w:r w:rsidRPr="00E7495B">
              <w:rPr>
                <w:rFonts w:cs="Arial"/>
                <w:i/>
                <w:iCs/>
                <w:sz w:val="18"/>
                <w:szCs w:val="18"/>
              </w:rPr>
              <w:fldChar w:fldCharType="end"/>
            </w:r>
            <w:r w:rsidRPr="00E7495B">
              <w:rPr>
                <w:rFonts w:cs="Arial"/>
                <w:i/>
                <w:iCs/>
                <w:sz w:val="18"/>
                <w:szCs w:val="18"/>
              </w:rPr>
              <w:t xml:space="preserve"> of </w:t>
            </w:r>
            <w:r w:rsidRPr="00E7495B">
              <w:rPr>
                <w:rFonts w:cs="Arial"/>
                <w:i/>
                <w:iCs/>
                <w:sz w:val="18"/>
                <w:szCs w:val="18"/>
              </w:rPr>
              <w:fldChar w:fldCharType="begin"/>
            </w:r>
            <w:r w:rsidRPr="00E7495B">
              <w:rPr>
                <w:rFonts w:cs="Arial"/>
                <w:i/>
                <w:iCs/>
                <w:sz w:val="18"/>
                <w:szCs w:val="18"/>
              </w:rPr>
              <w:instrText xml:space="preserve"> NUMPAGES  </w:instrText>
            </w:r>
            <w:r w:rsidRPr="00E7495B">
              <w:rPr>
                <w:rFonts w:cs="Arial"/>
                <w:i/>
                <w:iCs/>
                <w:sz w:val="18"/>
                <w:szCs w:val="18"/>
              </w:rPr>
              <w:fldChar w:fldCharType="separate"/>
            </w:r>
            <w:r w:rsidRPr="00E7495B">
              <w:rPr>
                <w:rFonts w:cs="Arial"/>
                <w:i/>
                <w:iCs/>
                <w:sz w:val="18"/>
                <w:szCs w:val="18"/>
              </w:rPr>
              <w:t>2</w:t>
            </w:r>
            <w:r w:rsidRPr="00E7495B">
              <w:rPr>
                <w:rFonts w:cs="Arial"/>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DA" w14:textId="77777777" w:rsidR="00A53D4F" w:rsidRDefault="00A53D4F" w:rsidP="00A153FF">
    <w:pPr>
      <w:jc w:val="center"/>
      <w:rPr>
        <w:rFonts w:asciiTheme="minorHAnsi" w:hAnsiTheme="minorHAnsi" w:cstheme="minorHAnsi"/>
        <w:bCs/>
        <w:szCs w:val="22"/>
      </w:rPr>
    </w:pPr>
  </w:p>
  <w:p w14:paraId="2224DEDB" w14:textId="77777777" w:rsidR="00A53D4F" w:rsidRPr="00285F6D" w:rsidRDefault="007A79F4" w:rsidP="00A153FF">
    <w:pPr>
      <w:jc w:val="center"/>
      <w:rPr>
        <w:rFonts w:cs="Arial"/>
        <w:i/>
        <w:iCs/>
        <w:sz w:val="20"/>
      </w:rPr>
    </w:pPr>
    <w:r w:rsidRPr="00285F6D">
      <w:rPr>
        <w:rFonts w:cs="Arial"/>
        <w:i/>
        <w:iCs/>
        <w:sz w:val="20"/>
      </w:rPr>
      <w:t>Printed copies are for reference only. Please refer to the electronic copy for the latest version.</w:t>
    </w:r>
  </w:p>
  <w:p w14:paraId="2224DEDC" w14:textId="71B79C03" w:rsidR="00A53D4F" w:rsidRPr="00285F6D" w:rsidRDefault="007A79F4" w:rsidP="00A05FAA">
    <w:pPr>
      <w:pStyle w:val="Footer"/>
      <w:tabs>
        <w:tab w:val="clear" w:pos="8640"/>
        <w:tab w:val="right" w:pos="9360"/>
        <w:tab w:val="right" w:pos="10170"/>
      </w:tabs>
      <w:jc w:val="center"/>
      <w:rPr>
        <w:rFonts w:cs="Arial"/>
        <w:i/>
        <w:iCs/>
        <w:sz w:val="20"/>
      </w:rPr>
    </w:pPr>
    <w:sdt>
      <w:sdtPr>
        <w:rPr>
          <w:rFonts w:cs="Arial"/>
          <w:i/>
          <w:iCs/>
          <w:sz w:val="20"/>
        </w:rPr>
        <w:id w:val="-453942646"/>
        <w:docPartObj>
          <w:docPartGallery w:val="Page Numbers (Bottom of Page)"/>
          <w:docPartUnique/>
        </w:docPartObj>
      </w:sdtPr>
      <w:sdtEndPr/>
      <w:sdtContent>
        <w:sdt>
          <w:sdtPr>
            <w:rPr>
              <w:rFonts w:cs="Arial"/>
              <w:i/>
              <w:iCs/>
              <w:sz w:val="20"/>
            </w:rPr>
            <w:id w:val="-1418481652"/>
            <w:docPartObj>
              <w:docPartGallery w:val="Page Numbers (Top of Page)"/>
              <w:docPartUnique/>
            </w:docPartObj>
          </w:sdtPr>
          <w:sdtEndPr/>
          <w:sdtContent>
            <w:r w:rsidRPr="006859D8">
              <w:rPr>
                <w:rFonts w:cs="Arial"/>
                <w:i/>
                <w:iCs/>
                <w:sz w:val="20"/>
              </w:rPr>
              <w:t xml:space="preserve">Page </w:t>
            </w:r>
            <w:r w:rsidRPr="006859D8">
              <w:rPr>
                <w:rFonts w:cs="Arial"/>
                <w:i/>
                <w:iCs/>
                <w:sz w:val="20"/>
              </w:rPr>
              <w:fldChar w:fldCharType="begin"/>
            </w:r>
            <w:r w:rsidRPr="006859D8">
              <w:rPr>
                <w:rFonts w:cs="Arial"/>
                <w:i/>
                <w:iCs/>
                <w:sz w:val="20"/>
              </w:rPr>
              <w:instrText xml:space="preserve"> PAGE </w:instrText>
            </w:r>
            <w:r w:rsidRPr="006859D8">
              <w:rPr>
                <w:rFonts w:cs="Arial"/>
                <w:i/>
                <w:iCs/>
                <w:sz w:val="20"/>
              </w:rPr>
              <w:fldChar w:fldCharType="separate"/>
            </w:r>
            <w:r w:rsidR="005D2591">
              <w:rPr>
                <w:rFonts w:cs="Arial"/>
                <w:i/>
                <w:iCs/>
                <w:noProof/>
                <w:sz w:val="20"/>
              </w:rPr>
              <w:t>1</w:t>
            </w:r>
            <w:r w:rsidRPr="006859D8">
              <w:rPr>
                <w:rFonts w:cs="Arial"/>
                <w:i/>
                <w:iCs/>
                <w:sz w:val="20"/>
              </w:rPr>
              <w:fldChar w:fldCharType="end"/>
            </w:r>
            <w:r w:rsidRPr="006859D8">
              <w:rPr>
                <w:rFonts w:cs="Arial"/>
                <w:i/>
                <w:iCs/>
                <w:sz w:val="20"/>
              </w:rPr>
              <w:t xml:space="preserve"> of </w:t>
            </w:r>
            <w:r w:rsidRPr="006859D8">
              <w:rPr>
                <w:rFonts w:cs="Arial"/>
                <w:i/>
                <w:iCs/>
                <w:sz w:val="20"/>
              </w:rPr>
              <w:fldChar w:fldCharType="begin"/>
            </w:r>
            <w:r w:rsidRPr="006859D8">
              <w:rPr>
                <w:rFonts w:cs="Arial"/>
                <w:i/>
                <w:iCs/>
                <w:sz w:val="20"/>
              </w:rPr>
              <w:instrText xml:space="preserve"> NUMPAGES  </w:instrText>
            </w:r>
            <w:r w:rsidRPr="006859D8">
              <w:rPr>
                <w:rFonts w:cs="Arial"/>
                <w:i/>
                <w:iCs/>
                <w:sz w:val="20"/>
              </w:rPr>
              <w:fldChar w:fldCharType="separate"/>
            </w:r>
            <w:r w:rsidR="005D2591">
              <w:rPr>
                <w:rFonts w:cs="Arial"/>
                <w:i/>
                <w:iCs/>
                <w:noProof/>
                <w:sz w:val="20"/>
              </w:rPr>
              <w:t>20</w:t>
            </w:r>
            <w:r w:rsidRPr="006859D8">
              <w:rPr>
                <w:rFonts w:cs="Arial"/>
                <w:i/>
                <w:iCs/>
                <w:sz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DF" w14:textId="77777777" w:rsidR="00974CB9" w:rsidRPr="00E7495B" w:rsidRDefault="007A79F4" w:rsidP="00974CB9">
    <w:pPr>
      <w:jc w:val="center"/>
      <w:rPr>
        <w:rFonts w:cs="Arial"/>
        <w:i/>
        <w:iCs/>
        <w:sz w:val="20"/>
      </w:rPr>
    </w:pPr>
    <w:r w:rsidRPr="00E7495B">
      <w:rPr>
        <w:rFonts w:cs="Arial"/>
        <w:i/>
        <w:iCs/>
        <w:sz w:val="20"/>
      </w:rPr>
      <w:t>Printed copies are for reference only. Please refer to the electronic copy for the latest version.</w:t>
    </w:r>
  </w:p>
  <w:p w14:paraId="2224DEE0" w14:textId="02E90643" w:rsidR="00353C0F" w:rsidRPr="00E7495B" w:rsidRDefault="007A79F4" w:rsidP="00A05FAA">
    <w:pPr>
      <w:pStyle w:val="Footer"/>
      <w:tabs>
        <w:tab w:val="clear" w:pos="8640"/>
        <w:tab w:val="right" w:pos="8370"/>
        <w:tab w:val="right" w:pos="10170"/>
      </w:tabs>
      <w:jc w:val="center"/>
      <w:rPr>
        <w:rFonts w:cs="Arial"/>
        <w:i/>
        <w:iCs/>
        <w:sz w:val="18"/>
        <w:szCs w:val="18"/>
      </w:rPr>
    </w:pPr>
    <w:sdt>
      <w:sdtPr>
        <w:rPr>
          <w:rFonts w:cs="Arial"/>
          <w:i/>
          <w:iCs/>
          <w:sz w:val="18"/>
          <w:szCs w:val="18"/>
        </w:rPr>
        <w:id w:val="-2132003246"/>
        <w:docPartObj>
          <w:docPartGallery w:val="Page Numbers (Bottom of Page)"/>
          <w:docPartUnique/>
        </w:docPartObj>
      </w:sdtPr>
      <w:sdtEndPr/>
      <w:sdtContent>
        <w:sdt>
          <w:sdtPr>
            <w:rPr>
              <w:rFonts w:cs="Arial"/>
              <w:i/>
              <w:iCs/>
              <w:sz w:val="18"/>
              <w:szCs w:val="18"/>
            </w:rPr>
            <w:id w:val="696896933"/>
            <w:docPartObj>
              <w:docPartGallery w:val="Page Numbers (Top of Page)"/>
              <w:docPartUnique/>
            </w:docPartObj>
          </w:sdtPr>
          <w:sdtEndPr/>
          <w:sdtContent>
            <w:r w:rsidR="00A2219E" w:rsidRPr="00E7495B">
              <w:rPr>
                <w:rFonts w:cs="Arial"/>
                <w:i/>
                <w:iCs/>
                <w:sz w:val="18"/>
                <w:szCs w:val="18"/>
              </w:rPr>
              <w:t xml:space="preserve">Page </w:t>
            </w:r>
            <w:r w:rsidR="00A2219E" w:rsidRPr="00E7495B">
              <w:rPr>
                <w:rFonts w:cs="Arial"/>
                <w:i/>
                <w:iCs/>
                <w:sz w:val="18"/>
                <w:szCs w:val="18"/>
              </w:rPr>
              <w:fldChar w:fldCharType="begin"/>
            </w:r>
            <w:r w:rsidR="00A2219E" w:rsidRPr="00E7495B">
              <w:rPr>
                <w:rFonts w:cs="Arial"/>
                <w:i/>
                <w:iCs/>
                <w:sz w:val="18"/>
                <w:szCs w:val="18"/>
              </w:rPr>
              <w:instrText xml:space="preserve"> PAGE </w:instrText>
            </w:r>
            <w:r w:rsidR="00A2219E" w:rsidRPr="00E7495B">
              <w:rPr>
                <w:rFonts w:cs="Arial"/>
                <w:i/>
                <w:iCs/>
                <w:sz w:val="18"/>
                <w:szCs w:val="18"/>
              </w:rPr>
              <w:fldChar w:fldCharType="separate"/>
            </w:r>
            <w:r>
              <w:rPr>
                <w:rFonts w:cs="Arial"/>
                <w:i/>
                <w:iCs/>
                <w:noProof/>
                <w:sz w:val="18"/>
                <w:szCs w:val="18"/>
              </w:rPr>
              <w:t>12</w:t>
            </w:r>
            <w:r w:rsidR="00A2219E" w:rsidRPr="00E7495B">
              <w:rPr>
                <w:rFonts w:cs="Arial"/>
                <w:i/>
                <w:iCs/>
                <w:sz w:val="18"/>
                <w:szCs w:val="18"/>
              </w:rPr>
              <w:fldChar w:fldCharType="end"/>
            </w:r>
            <w:r w:rsidR="00A2219E" w:rsidRPr="00E7495B">
              <w:rPr>
                <w:rFonts w:cs="Arial"/>
                <w:i/>
                <w:iCs/>
                <w:sz w:val="18"/>
                <w:szCs w:val="18"/>
              </w:rPr>
              <w:t xml:space="preserve"> of </w:t>
            </w:r>
            <w:r w:rsidR="00A2219E" w:rsidRPr="00E7495B">
              <w:rPr>
                <w:rFonts w:cs="Arial"/>
                <w:i/>
                <w:iCs/>
                <w:sz w:val="18"/>
                <w:szCs w:val="18"/>
              </w:rPr>
              <w:fldChar w:fldCharType="begin"/>
            </w:r>
            <w:r w:rsidR="00A2219E" w:rsidRPr="00E7495B">
              <w:rPr>
                <w:rFonts w:cs="Arial"/>
                <w:i/>
                <w:iCs/>
                <w:sz w:val="18"/>
                <w:szCs w:val="18"/>
              </w:rPr>
              <w:instrText xml:space="preserve"> NUMPAGES  </w:instrText>
            </w:r>
            <w:r w:rsidR="00A2219E" w:rsidRPr="00E7495B">
              <w:rPr>
                <w:rFonts w:cs="Arial"/>
                <w:i/>
                <w:iCs/>
                <w:sz w:val="18"/>
                <w:szCs w:val="18"/>
              </w:rPr>
              <w:fldChar w:fldCharType="separate"/>
            </w:r>
            <w:r>
              <w:rPr>
                <w:rFonts w:cs="Arial"/>
                <w:i/>
                <w:iCs/>
                <w:noProof/>
                <w:sz w:val="18"/>
                <w:szCs w:val="18"/>
              </w:rPr>
              <w:t>20</w:t>
            </w:r>
            <w:r w:rsidR="00A2219E" w:rsidRPr="00E7495B">
              <w:rPr>
                <w:rFonts w:cs="Arial"/>
                <w:i/>
                <w:iCs/>
                <w:sz w:val="18"/>
                <w:szCs w:val="18"/>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F3" w14:textId="77777777" w:rsidR="00974CB9" w:rsidRDefault="00974CB9" w:rsidP="00A153FF">
    <w:pPr>
      <w:jc w:val="center"/>
      <w:rPr>
        <w:rFonts w:asciiTheme="minorHAnsi" w:hAnsiTheme="minorHAnsi" w:cstheme="minorHAnsi"/>
        <w:bCs/>
        <w:szCs w:val="22"/>
      </w:rPr>
    </w:pPr>
  </w:p>
  <w:p w14:paraId="2224DEF4" w14:textId="77777777" w:rsidR="00A153FF" w:rsidRPr="00285F6D" w:rsidRDefault="007A79F4" w:rsidP="00A153FF">
    <w:pPr>
      <w:jc w:val="center"/>
      <w:rPr>
        <w:rFonts w:cs="Arial"/>
        <w:i/>
        <w:iCs/>
        <w:sz w:val="20"/>
      </w:rPr>
    </w:pPr>
    <w:r w:rsidRPr="00285F6D">
      <w:rPr>
        <w:rFonts w:cs="Arial"/>
        <w:i/>
        <w:iCs/>
        <w:sz w:val="20"/>
      </w:rPr>
      <w:t>Printed copies are for reference only. Please refer to the electronic copy for the latest version.</w:t>
    </w:r>
  </w:p>
  <w:p w14:paraId="2224DEF5" w14:textId="77777777" w:rsidR="00353C0F" w:rsidRPr="00285F6D" w:rsidRDefault="007A79F4" w:rsidP="00A05FAA">
    <w:pPr>
      <w:pStyle w:val="Footer"/>
      <w:tabs>
        <w:tab w:val="clear" w:pos="8640"/>
        <w:tab w:val="right" w:pos="9360"/>
        <w:tab w:val="right" w:pos="10170"/>
      </w:tabs>
      <w:jc w:val="center"/>
      <w:rPr>
        <w:rFonts w:cs="Arial"/>
        <w:i/>
        <w:iCs/>
        <w:sz w:val="20"/>
      </w:rPr>
    </w:pPr>
    <w:sdt>
      <w:sdtPr>
        <w:rPr>
          <w:rFonts w:cs="Arial"/>
          <w:i/>
          <w:iCs/>
          <w:sz w:val="20"/>
        </w:rPr>
        <w:id w:val="-1253127754"/>
        <w:docPartObj>
          <w:docPartGallery w:val="Page Numbers (Bottom of Page)"/>
          <w:docPartUnique/>
        </w:docPartObj>
      </w:sdtPr>
      <w:sdtEndPr/>
      <w:sdtContent>
        <w:sdt>
          <w:sdtPr>
            <w:rPr>
              <w:rFonts w:cs="Arial"/>
              <w:i/>
              <w:iCs/>
              <w:sz w:val="20"/>
            </w:rPr>
            <w:id w:val="-1017922729"/>
            <w:docPartObj>
              <w:docPartGallery w:val="Page Numbers (Top of Page)"/>
              <w:docPartUnique/>
            </w:docPartObj>
          </w:sdtPr>
          <w:sdtEndPr/>
          <w:sdtContent>
            <w:r w:rsidR="006C6C7E" w:rsidRPr="006859D8">
              <w:rPr>
                <w:rFonts w:cs="Arial"/>
                <w:i/>
                <w:iCs/>
                <w:sz w:val="20"/>
              </w:rPr>
              <w:t xml:space="preserve">Page </w:t>
            </w:r>
            <w:r w:rsidR="006C6C7E" w:rsidRPr="006859D8">
              <w:rPr>
                <w:rFonts w:cs="Arial"/>
                <w:i/>
                <w:iCs/>
                <w:sz w:val="20"/>
              </w:rPr>
              <w:fldChar w:fldCharType="begin"/>
            </w:r>
            <w:r w:rsidR="006C6C7E" w:rsidRPr="006859D8">
              <w:rPr>
                <w:rFonts w:cs="Arial"/>
                <w:i/>
                <w:iCs/>
                <w:sz w:val="20"/>
              </w:rPr>
              <w:instrText xml:space="preserve"> PAGE </w:instrText>
            </w:r>
            <w:r w:rsidR="006C6C7E" w:rsidRPr="006859D8">
              <w:rPr>
                <w:rFonts w:cs="Arial"/>
                <w:i/>
                <w:iCs/>
                <w:sz w:val="20"/>
              </w:rPr>
              <w:fldChar w:fldCharType="separate"/>
            </w:r>
            <w:r w:rsidR="006C6C7E" w:rsidRPr="006859D8">
              <w:rPr>
                <w:rFonts w:cs="Arial"/>
                <w:i/>
                <w:iCs/>
                <w:sz w:val="20"/>
              </w:rPr>
              <w:t>1</w:t>
            </w:r>
            <w:r w:rsidR="006C6C7E" w:rsidRPr="006859D8">
              <w:rPr>
                <w:rFonts w:cs="Arial"/>
                <w:i/>
                <w:iCs/>
                <w:sz w:val="20"/>
              </w:rPr>
              <w:fldChar w:fldCharType="end"/>
            </w:r>
            <w:r w:rsidR="006C6C7E" w:rsidRPr="006859D8">
              <w:rPr>
                <w:rFonts w:cs="Arial"/>
                <w:i/>
                <w:iCs/>
                <w:sz w:val="20"/>
              </w:rPr>
              <w:t xml:space="preserve"> of </w:t>
            </w:r>
            <w:r w:rsidR="006C6C7E" w:rsidRPr="006859D8">
              <w:rPr>
                <w:rFonts w:cs="Arial"/>
                <w:i/>
                <w:iCs/>
                <w:sz w:val="20"/>
              </w:rPr>
              <w:fldChar w:fldCharType="begin"/>
            </w:r>
            <w:r w:rsidR="006C6C7E" w:rsidRPr="006859D8">
              <w:rPr>
                <w:rFonts w:cs="Arial"/>
                <w:i/>
                <w:iCs/>
                <w:sz w:val="20"/>
              </w:rPr>
              <w:instrText xml:space="preserve"> NUMPAGES  </w:instrText>
            </w:r>
            <w:r w:rsidR="006C6C7E" w:rsidRPr="006859D8">
              <w:rPr>
                <w:rFonts w:cs="Arial"/>
                <w:i/>
                <w:iCs/>
                <w:sz w:val="20"/>
              </w:rPr>
              <w:fldChar w:fldCharType="separate"/>
            </w:r>
            <w:r w:rsidR="006C6C7E" w:rsidRPr="006859D8">
              <w:rPr>
                <w:rFonts w:cs="Arial"/>
                <w:i/>
                <w:iCs/>
                <w:sz w:val="20"/>
              </w:rPr>
              <w:t>2</w:t>
            </w:r>
            <w:r w:rsidR="006C6C7E" w:rsidRPr="006859D8">
              <w:rPr>
                <w:rFonts w:cs="Arial"/>
                <w:i/>
                <w:i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536E8" w14:textId="77777777" w:rsidR="00000000" w:rsidRDefault="007A79F4">
      <w:r>
        <w:separator/>
      </w:r>
    </w:p>
  </w:footnote>
  <w:footnote w:type="continuationSeparator" w:id="0">
    <w:p w14:paraId="53754D84" w14:textId="77777777" w:rsidR="00000000" w:rsidRDefault="007A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C6C6" w14:textId="77777777" w:rsidR="009D2B08" w:rsidRDefault="007A79F4">
    <w:r>
      <w:rPr>
        <w:sz w:val="2"/>
      </w:rPr>
      <w:pict w14:anchorId="0266D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5" o:spid="_x0000_s2049" type="#_x0000_t136" style="position:absolute;margin-left:0;margin-top:0;width:417.15pt;height:244.7pt;rotation:315;z-index:251658240;mso-position-horizontal:center;mso-position-horizontal-relative:margin;mso-position-vertical:center;mso-position-vertical-relative:margin" fillcolor="#edf0ff" strokecolor="#edf0ff">
          <v:textpath style="font-family:&quot;Times New Roman&quo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C5" w14:textId="77777777" w:rsidR="00A53D4F" w:rsidRPr="001A4B8D" w:rsidRDefault="007A79F4" w:rsidP="005F7018">
    <w:pPr>
      <w:jc w:val="center"/>
      <w:rPr>
        <w:rFonts w:cs="Arial"/>
        <w:szCs w:val="22"/>
      </w:rPr>
    </w:pPr>
    <w:r>
      <w:fldChar w:fldCharType="begin"/>
    </w:r>
    <w:r>
      <w:instrText xml:space="preserve"> DOCVARIABLE "Document Title" \* MERGEFORMAT </w:instrText>
    </w:r>
    <w:r>
      <w:fldChar w:fldCharType="separate"/>
    </w:r>
    <w:r>
      <w:t>Proficiency Testing Point of Care HPMC</w:t>
    </w:r>
    <w:r>
      <w:fldChar w:fldCharType="end"/>
    </w:r>
    <w:r>
      <w:rPr>
        <w:sz w:val="2"/>
      </w:rPr>
      <w:pict w14:anchorId="7EB41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6" o:spid="_x0000_s2050" type="#_x0000_t136" style="position:absolute;left:0;text-align:left;margin-left:0;margin-top:0;width:417.15pt;height:244.7pt;rotation:315;z-index:251659264;mso-position-horizontal:center;mso-position-horizontal-relative:margin;mso-position-vertical:center;mso-position-vertical-relative:margin" fillcolor="#edf0ff" strokecolor="#edf0ff">
          <v:textpath style="font-family:&quot;Times New Roman&quo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C8" w14:textId="77777777" w:rsidR="00A53D4F" w:rsidRPr="002406B9" w:rsidRDefault="007A79F4" w:rsidP="00A153FF">
    <w:pPr>
      <w:shd w:val="clear" w:color="auto" w:fill="A6A6A6" w:themeFill="background1" w:themeFillShade="A6"/>
      <w:spacing w:line="360" w:lineRule="auto"/>
      <w:ind w:right="90"/>
      <w:jc w:val="center"/>
      <w:rPr>
        <w:rFonts w:ascii="Franklin Gothic Demi" w:hAnsi="Franklin Gothic Demi"/>
        <w:b/>
        <w:szCs w:val="32"/>
      </w:rPr>
    </w:pPr>
    <w:r>
      <w:fldChar w:fldCharType="begin"/>
    </w:r>
    <w:r>
      <w:instrText xml:space="preserve"> DOCVARIABLE "Document Title" \* MERGEFORMAT </w:instrText>
    </w:r>
    <w:r>
      <w:fldChar w:fldCharType="separate"/>
    </w:r>
    <w:r>
      <w:t>Proficiency Testing Point of Care HPMC</w:t>
    </w:r>
    <w:r>
      <w:fldChar w:fldCharType="end"/>
    </w:r>
    <w:r>
      <w:rPr>
        <w:sz w:val="2"/>
      </w:rPr>
      <w:pict w14:anchorId="19BB3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4" o:spid="_x0000_s2051" type="#_x0000_t136" style="position:absolute;left:0;text-align:left;margin-left:0;margin-top:0;width:417.15pt;height:244.7pt;rotation:315;z-index:251660288;mso-position-horizontal:center;mso-position-horizontal-relative:margin;mso-position-vertical:center;mso-position-vertical-relative:margin" fillcolor="#edf0ff" strokecolor="#edf0ff">
          <v:textpath style="font-family:&quot;Times New Roman&quot;" string="draft"/>
          <w10:wrap anchorx="margin" anchory="margin"/>
        </v:shape>
      </w:pict>
    </w:r>
  </w:p>
  <w:p w14:paraId="2224DEC9" w14:textId="77777777" w:rsidR="00A53D4F" w:rsidRDefault="00A53D4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06"/>
      <w:gridCol w:w="3098"/>
    </w:tblGrid>
    <w:tr w:rsidR="00CF2308" w14:paraId="2224DED2" w14:textId="77777777" w:rsidTr="00863C01">
      <w:trPr>
        <w:trHeight w:val="620"/>
      </w:trPr>
      <w:tc>
        <w:tcPr>
          <w:tcW w:w="3186" w:type="dxa"/>
          <w:vMerge w:val="restart"/>
          <w:tcBorders>
            <w:left w:val="single" w:sz="4" w:space="0" w:color="auto"/>
          </w:tcBorders>
          <w:shd w:val="clear" w:color="auto" w:fill="auto"/>
        </w:tcPr>
        <w:p w14:paraId="28D8DCFB" w14:textId="77777777" w:rsidR="00A53D4F" w:rsidRDefault="00A53D4F" w:rsidP="00A153FF">
          <w:pPr>
            <w:rPr>
              <w:rFonts w:ascii="Franklin Gothic Book" w:hAnsi="Franklin Gothic Book"/>
              <w:b/>
              <w:szCs w:val="22"/>
            </w:rPr>
          </w:pPr>
        </w:p>
        <w:p w14:paraId="2224DECA" w14:textId="320DC249" w:rsidR="00E657CD" w:rsidRPr="00F85C8D" w:rsidRDefault="007A79F4" w:rsidP="00A153FF">
          <w:pPr>
            <w:rPr>
              <w:rFonts w:ascii="Franklin Gothic Book" w:hAnsi="Franklin Gothic Book"/>
              <w:b/>
              <w:szCs w:val="22"/>
            </w:rPr>
          </w:pPr>
          <w:r>
            <w:rPr>
              <w:noProof/>
            </w:rPr>
            <w:drawing>
              <wp:inline distT="0" distB="0" distL="0" distR="0">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38" w:type="dxa"/>
          <w:vMerge w:val="restart"/>
          <w:tcBorders>
            <w:right w:val="single" w:sz="4" w:space="0" w:color="000000"/>
          </w:tcBorders>
          <w:shd w:val="clear" w:color="auto" w:fill="auto"/>
        </w:tcPr>
        <w:p w14:paraId="2224DECB" w14:textId="77777777" w:rsidR="00A53D4F" w:rsidRPr="009A7393" w:rsidRDefault="007A79F4" w:rsidP="005F7018">
          <w:pPr>
            <w:jc w:val="center"/>
            <w:rPr>
              <w:rFonts w:ascii="Franklin Gothic Demi" w:hAnsi="Franklin Gothic Demi"/>
              <w:smallCaps/>
              <w:szCs w:val="22"/>
            </w:rPr>
          </w:pPr>
          <w:r w:rsidRPr="009A7393">
            <w:rPr>
              <w:rFonts w:ascii="Franklin Gothic Demi" w:hAnsi="Franklin Gothic Demi"/>
              <w:smallCaps/>
              <w:szCs w:val="22"/>
            </w:rPr>
            <w:t>Document Type:</w:t>
          </w:r>
        </w:p>
        <w:p w14:paraId="2224DECC" w14:textId="77777777" w:rsidR="00A53D4F" w:rsidRPr="009A7393" w:rsidRDefault="00A53D4F" w:rsidP="005F7018">
          <w:pPr>
            <w:rPr>
              <w:rFonts w:ascii="Franklin Gothic Demi" w:hAnsi="Franklin Gothic Demi"/>
              <w:smallCaps/>
              <w:szCs w:val="22"/>
            </w:rPr>
          </w:pPr>
        </w:p>
        <w:p w14:paraId="2224DECD" w14:textId="77777777" w:rsidR="00A53D4F" w:rsidRPr="005F7018" w:rsidRDefault="007A79F4" w:rsidP="005F7018">
          <w:pPr>
            <w:jc w:val="center"/>
            <w:rPr>
              <w:rFonts w:ascii="Franklin Gothic Book" w:hAnsi="Franklin Gothic Book" w:cs="Calibri"/>
              <w:b/>
              <w:sz w:val="28"/>
              <w:szCs w:val="28"/>
            </w:rPr>
          </w:pPr>
          <w:r>
            <w:rPr>
              <w:rFonts w:ascii="Franklin Gothic Book" w:hAnsi="Franklin Gothic Book" w:cs="Calibri"/>
              <w:b/>
              <w:sz w:val="28"/>
              <w:szCs w:val="28"/>
            </w:rPr>
            <w:t>POLICY</w:t>
          </w:r>
        </w:p>
        <w:p w14:paraId="2224DECE" w14:textId="77777777" w:rsidR="00A53D4F" w:rsidRPr="005448BC" w:rsidRDefault="00A53D4F" w:rsidP="005F7018">
          <w:pPr>
            <w:rPr>
              <w:rFonts w:ascii="Franklin Gothic Demi" w:hAnsi="Franklin Gothic Demi"/>
              <w:smallCaps/>
              <w:szCs w:val="22"/>
            </w:rPr>
          </w:pPr>
        </w:p>
      </w:tc>
      <w:tc>
        <w:tcPr>
          <w:tcW w:w="3126" w:type="dxa"/>
          <w:tcBorders>
            <w:left w:val="single" w:sz="4" w:space="0" w:color="000000"/>
          </w:tcBorders>
          <w:shd w:val="clear" w:color="auto" w:fill="auto"/>
        </w:tcPr>
        <w:p w14:paraId="2224DECF" w14:textId="77777777" w:rsidR="00A53D4F" w:rsidRPr="00F85C8D" w:rsidRDefault="007A79F4" w:rsidP="00A153FF">
          <w:pPr>
            <w:rPr>
              <w:rFonts w:ascii="Franklin Gothic Demi" w:hAnsi="Franklin Gothic Demi"/>
              <w:smallCaps/>
              <w:szCs w:val="22"/>
            </w:rPr>
          </w:pPr>
          <w:r w:rsidRPr="00F85C8D">
            <w:rPr>
              <w:rFonts w:ascii="Franklin Gothic Demi" w:hAnsi="Franklin Gothic Demi"/>
              <w:smallCaps/>
              <w:szCs w:val="22"/>
            </w:rPr>
            <w:t>Effective Date</w:t>
          </w:r>
          <w:r>
            <w:rPr>
              <w:rFonts w:ascii="Franklin Gothic Demi" w:hAnsi="Franklin Gothic Demi"/>
              <w:smallCaps/>
              <w:szCs w:val="22"/>
            </w:rPr>
            <w:t>:</w:t>
          </w:r>
        </w:p>
        <w:p w14:paraId="2224DED0" w14:textId="77777777" w:rsidR="00A53D4F" w:rsidRPr="00A2219E" w:rsidRDefault="007A79F4"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separate"/>
          </w:r>
          <w:r w:rsidRPr="00A2219E">
            <w:rPr>
              <w:rFonts w:ascii="Franklin Gothic Book" w:hAnsi="Franklin Gothic Book" w:cs="Calibri"/>
              <w:szCs w:val="22"/>
            </w:rPr>
            <w:t>Not Set</w:t>
          </w:r>
          <w:r w:rsidRPr="00A2219E">
            <w:rPr>
              <w:rFonts w:ascii="Franklin Gothic Book" w:hAnsi="Franklin Gothic Book" w:cs="Calibri"/>
              <w:szCs w:val="22"/>
            </w:rPr>
            <w:fldChar w:fldCharType="end"/>
          </w:r>
        </w:p>
        <w:p w14:paraId="2224DED1" w14:textId="77777777" w:rsidR="00A53D4F" w:rsidRPr="00EF4D17" w:rsidRDefault="00A53D4F" w:rsidP="00A153FF">
          <w:pPr>
            <w:rPr>
              <w:rFonts w:ascii="Franklin Gothic Book" w:hAnsi="Franklin Gothic Book"/>
              <w:b/>
              <w:sz w:val="28"/>
              <w:szCs w:val="28"/>
            </w:rPr>
          </w:pPr>
        </w:p>
      </w:tc>
    </w:tr>
    <w:tr w:rsidR="00CF2308" w14:paraId="2224DED8" w14:textId="77777777" w:rsidTr="00A95CBA">
      <w:trPr>
        <w:trHeight w:val="480"/>
      </w:trPr>
      <w:tc>
        <w:tcPr>
          <w:tcW w:w="3186" w:type="dxa"/>
          <w:vMerge/>
          <w:tcBorders>
            <w:left w:val="single" w:sz="4" w:space="0" w:color="auto"/>
            <w:bottom w:val="single" w:sz="4" w:space="0" w:color="auto"/>
          </w:tcBorders>
          <w:shd w:val="clear" w:color="auto" w:fill="auto"/>
        </w:tcPr>
        <w:p w14:paraId="2224DED3" w14:textId="77777777" w:rsidR="00A53D4F" w:rsidRDefault="00A53D4F" w:rsidP="00A153FF">
          <w:pPr>
            <w:rPr>
              <w:rFonts w:ascii="Franklin Gothic Book" w:hAnsi="Franklin Gothic Book"/>
              <w:b/>
              <w:noProof/>
              <w:szCs w:val="22"/>
            </w:rPr>
          </w:pPr>
        </w:p>
      </w:tc>
      <w:tc>
        <w:tcPr>
          <w:tcW w:w="3038" w:type="dxa"/>
          <w:vMerge/>
          <w:tcBorders>
            <w:bottom w:val="single" w:sz="4" w:space="0" w:color="auto"/>
            <w:right w:val="single" w:sz="4" w:space="0" w:color="000000"/>
          </w:tcBorders>
          <w:shd w:val="clear" w:color="auto" w:fill="auto"/>
        </w:tcPr>
        <w:p w14:paraId="2224DED4" w14:textId="77777777" w:rsidR="00A53D4F" w:rsidRDefault="00A53D4F" w:rsidP="00A2219E">
          <w:pPr>
            <w:rPr>
              <w:rFonts w:ascii="Franklin Gothic Demi" w:hAnsi="Franklin Gothic Demi"/>
              <w:smallCaps/>
              <w:szCs w:val="22"/>
            </w:rPr>
          </w:pPr>
        </w:p>
      </w:tc>
      <w:tc>
        <w:tcPr>
          <w:tcW w:w="3126" w:type="dxa"/>
          <w:tcBorders>
            <w:left w:val="single" w:sz="4" w:space="0" w:color="000000"/>
            <w:bottom w:val="single" w:sz="4" w:space="0" w:color="auto"/>
          </w:tcBorders>
          <w:shd w:val="clear" w:color="auto" w:fill="auto"/>
        </w:tcPr>
        <w:p w14:paraId="2224DED5" w14:textId="77777777" w:rsidR="00A53D4F" w:rsidRDefault="007A79F4" w:rsidP="00A95CBA">
          <w:pPr>
            <w:rPr>
              <w:rFonts w:ascii="Franklin Gothic Demi" w:hAnsi="Franklin Gothic Demi"/>
              <w:smallCaps/>
              <w:szCs w:val="22"/>
            </w:rPr>
          </w:pPr>
          <w:r>
            <w:rPr>
              <w:rFonts w:ascii="Franklin Gothic Demi" w:hAnsi="Franklin Gothic Demi"/>
              <w:smallCaps/>
              <w:szCs w:val="22"/>
            </w:rPr>
            <w:t>Creation</w:t>
          </w:r>
          <w:r w:rsidRPr="00F85C8D">
            <w:rPr>
              <w:rFonts w:ascii="Franklin Gothic Demi" w:hAnsi="Franklin Gothic Demi"/>
              <w:smallCaps/>
              <w:szCs w:val="22"/>
            </w:rPr>
            <w:t xml:space="preserve"> Date</w:t>
          </w:r>
          <w:r>
            <w:rPr>
              <w:rFonts w:ascii="Franklin Gothic Demi" w:hAnsi="Franklin Gothic Demi"/>
              <w:smallCaps/>
              <w:szCs w:val="22"/>
            </w:rPr>
            <w:t>:</w:t>
          </w:r>
        </w:p>
        <w:p w14:paraId="2224DED6" w14:textId="77777777" w:rsidR="00A53D4F" w:rsidRPr="00DB1DB8" w:rsidRDefault="007A79F4" w:rsidP="00A95CBA">
          <w:pPr>
            <w:rPr>
              <w:rFonts w:ascii="Franklin Gothic Book" w:hAnsi="Franklin Gothic Book" w:cs="Calibri"/>
              <w:szCs w:val="22"/>
            </w:rPr>
          </w:pPr>
          <w:r w:rsidRPr="00DB1DB8">
            <w:rPr>
              <w:rFonts w:ascii="Franklin Gothic Book" w:hAnsi="Franklin Gothic Book" w:cs="Calibri"/>
              <w:szCs w:val="22"/>
            </w:rPr>
            <w:fldChar w:fldCharType="begin"/>
          </w:r>
          <w:r w:rsidRPr="00DB1DB8">
            <w:rPr>
              <w:rFonts w:ascii="Franklin Gothic Book" w:hAnsi="Franklin Gothic Book" w:cs="Calibri"/>
              <w:szCs w:val="22"/>
            </w:rPr>
            <w:instrText xml:space="preserve"> DOCVARIABLE "Original Creation Date" \* MERGEFORMAT </w:instrText>
          </w:r>
          <w:r w:rsidRPr="00DB1DB8">
            <w:rPr>
              <w:rFonts w:ascii="Franklin Gothic Book" w:hAnsi="Franklin Gothic Book" w:cs="Calibri"/>
              <w:szCs w:val="22"/>
            </w:rPr>
            <w:fldChar w:fldCharType="separate"/>
          </w:r>
          <w:r w:rsidRPr="00DB1DB8">
            <w:rPr>
              <w:rFonts w:ascii="Franklin Gothic Book" w:hAnsi="Franklin Gothic Book" w:cs="Calibri"/>
              <w:szCs w:val="22"/>
            </w:rPr>
            <w:t>05/09/2023</w:t>
          </w:r>
          <w:r w:rsidRPr="00DB1DB8">
            <w:rPr>
              <w:rFonts w:ascii="Franklin Gothic Book" w:hAnsi="Franklin Gothic Book" w:cs="Calibri"/>
              <w:szCs w:val="22"/>
            </w:rPr>
            <w:fldChar w:fldCharType="end"/>
          </w:r>
        </w:p>
        <w:p w14:paraId="2224DED7" w14:textId="77777777" w:rsidR="00A53D4F" w:rsidRPr="00F85C8D" w:rsidRDefault="00A53D4F" w:rsidP="00A153FF">
          <w:pPr>
            <w:rPr>
              <w:rFonts w:ascii="Franklin Gothic Demi" w:hAnsi="Franklin Gothic Demi"/>
              <w:smallCaps/>
              <w:szCs w:val="22"/>
            </w:rPr>
          </w:pPr>
        </w:p>
      </w:tc>
    </w:tr>
  </w:tbl>
  <w:p w14:paraId="2224DED9" w14:textId="77777777" w:rsidR="00A53D4F" w:rsidRPr="00B96DAD" w:rsidRDefault="00A53D4F" w:rsidP="00BE0C19">
    <w:pPr>
      <w:pStyle w:val="Header"/>
      <w:ind w:right="-1368"/>
      <w:rPr>
        <w:rFonts w:ascii="Calibri" w:hAnsi="Calibr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DD" w14:textId="77777777" w:rsidR="00862AEF" w:rsidRDefault="007A79F4" w:rsidP="005F7018">
    <w:pPr>
      <w:jc w:val="center"/>
    </w:pPr>
    <w:r>
      <w:fldChar w:fldCharType="begin"/>
    </w:r>
    <w:r>
      <w:instrText xml:space="preserve"> DOCVARIABLE "Document Title" \* MERGEFORMAT </w:instrText>
    </w:r>
    <w:r>
      <w:fldChar w:fldCharType="separate"/>
    </w:r>
    <w:r w:rsidR="00DB1DB8">
      <w:t>Proficiency Testing Point of Care HPMC</w:t>
    </w:r>
    <w:r>
      <w:fldChar w:fldCharType="end"/>
    </w:r>
    <w:r>
      <w:rPr>
        <w:sz w:val="2"/>
      </w:rPr>
      <w:pict w14:anchorId="1BC8E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8" o:spid="_x0000_s2052" type="#_x0000_t136" style="position:absolute;left:0;text-align:left;margin-left:0;margin-top:0;width:417.15pt;height:244.7pt;rotation:315;z-index:251661312;mso-position-horizontal:center;mso-position-horizontal-relative:margin;mso-position-vertical:center;mso-position-vertical-relative:margin" fillcolor="#edf0ff" strokecolor="#edf0ff">
          <v:textpath style="font-family:&quot;Times New Roman&quot;" string="draft"/>
          <w10:wrap anchorx="margin" anchory="margin"/>
        </v:shape>
      </w:pict>
    </w:r>
  </w:p>
  <w:p w14:paraId="2224DEDE" w14:textId="77777777" w:rsidR="00131331" w:rsidRPr="001A4B8D" w:rsidRDefault="00131331" w:rsidP="005F7018">
    <w:pPr>
      <w:jc w:val="center"/>
      <w:rPr>
        <w:rFonts w:cs="Arial"/>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E1" w14:textId="77777777" w:rsidR="00A153FF" w:rsidRPr="002406B9" w:rsidRDefault="007A79F4" w:rsidP="00A153FF">
    <w:pPr>
      <w:shd w:val="clear" w:color="auto" w:fill="A6A6A6" w:themeFill="background1" w:themeFillShade="A6"/>
      <w:spacing w:line="360" w:lineRule="auto"/>
      <w:ind w:right="90"/>
      <w:jc w:val="center"/>
      <w:rPr>
        <w:rFonts w:ascii="Franklin Gothic Demi" w:hAnsi="Franklin Gothic Demi"/>
        <w:b/>
        <w:szCs w:val="32"/>
      </w:rPr>
    </w:pPr>
    <w:r>
      <w:fldChar w:fldCharType="begin"/>
    </w:r>
    <w:r>
      <w:instrText xml:space="preserve"> DOCVARIABLE "Document Title" \* MERGEFORMAT </w:instrText>
    </w:r>
    <w:r>
      <w:fldChar w:fldCharType="separate"/>
    </w:r>
    <w:r w:rsidR="00DB1DB8">
      <w:t>Proficiency Testing Point of Care HPMC</w:t>
    </w:r>
    <w:r>
      <w:fldChar w:fldCharType="end"/>
    </w:r>
    <w:r>
      <w:rPr>
        <w:sz w:val="2"/>
      </w:rPr>
      <w:pict w14:anchorId="4BB59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7" o:spid="_x0000_s2053" type="#_x0000_t136" style="position:absolute;left:0;text-align:left;margin-left:0;margin-top:0;width:417.15pt;height:244.7pt;rotation:315;z-index:251662336;mso-position-horizontal:center;mso-position-horizontal-relative:margin;mso-position-vertical:center;mso-position-vertical-relative:margin" fillcolor="#edf0ff" strokecolor="#edf0ff">
          <v:textpath style="font-family:&quot;Times New Roman&quot;" string="draft"/>
          <w10:wrap anchorx="margin" anchory="margin"/>
        </v:shape>
      </w:pict>
    </w:r>
  </w:p>
  <w:p w14:paraId="2224DEE2"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38"/>
      <w:gridCol w:w="3126"/>
    </w:tblGrid>
    <w:tr w:rsidR="00CF2308" w14:paraId="2224DEEB" w14:textId="77777777" w:rsidTr="00863C01">
      <w:trPr>
        <w:trHeight w:val="620"/>
      </w:trPr>
      <w:tc>
        <w:tcPr>
          <w:tcW w:w="3186" w:type="dxa"/>
          <w:vMerge w:val="restart"/>
          <w:tcBorders>
            <w:left w:val="single" w:sz="4" w:space="0" w:color="auto"/>
          </w:tcBorders>
          <w:shd w:val="clear" w:color="auto" w:fill="auto"/>
        </w:tcPr>
        <w:p w14:paraId="2224DEE3" w14:textId="77777777" w:rsidR="00A95CBA" w:rsidRPr="00F85C8D" w:rsidRDefault="007A79F4" w:rsidP="00A153FF">
          <w:pPr>
            <w:rPr>
              <w:rFonts w:ascii="Franklin Gothic Book" w:hAnsi="Franklin Gothic Book"/>
              <w:b/>
              <w:szCs w:val="22"/>
            </w:rPr>
          </w:pPr>
          <w:r>
            <w:rPr>
              <w:rFonts w:ascii="Franklin Gothic Book" w:hAnsi="Franklin Gothic Book"/>
              <w:b/>
              <w:noProof/>
              <w:szCs w:val="22"/>
            </w:rPr>
            <w:drawing>
              <wp:inline distT="0" distB="0" distL="0" distR="0">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38" w:type="dxa"/>
          <w:vMerge w:val="restart"/>
          <w:tcBorders>
            <w:right w:val="single" w:sz="4" w:space="0" w:color="000000"/>
          </w:tcBorders>
          <w:shd w:val="clear" w:color="auto" w:fill="auto"/>
        </w:tcPr>
        <w:p w14:paraId="2224DEE4" w14:textId="77777777" w:rsidR="00A95CBA" w:rsidRPr="009A7393" w:rsidRDefault="007A79F4" w:rsidP="005F7018">
          <w:pPr>
            <w:jc w:val="center"/>
            <w:rPr>
              <w:rFonts w:ascii="Franklin Gothic Demi" w:hAnsi="Franklin Gothic Demi"/>
              <w:smallCaps/>
              <w:szCs w:val="22"/>
            </w:rPr>
          </w:pPr>
          <w:r w:rsidRPr="009A7393">
            <w:rPr>
              <w:rFonts w:ascii="Franklin Gothic Demi" w:hAnsi="Franklin Gothic Demi"/>
              <w:smallCaps/>
              <w:szCs w:val="22"/>
            </w:rPr>
            <w:t>Document Type:</w:t>
          </w:r>
        </w:p>
        <w:p w14:paraId="2224DEE5" w14:textId="77777777" w:rsidR="00A95CBA" w:rsidRPr="009A7393" w:rsidRDefault="00A95CBA" w:rsidP="005F7018">
          <w:pPr>
            <w:rPr>
              <w:rFonts w:ascii="Franklin Gothic Demi" w:hAnsi="Franklin Gothic Demi"/>
              <w:smallCaps/>
              <w:szCs w:val="22"/>
            </w:rPr>
          </w:pPr>
        </w:p>
        <w:p w14:paraId="2224DEE6" w14:textId="77777777" w:rsidR="005F7018" w:rsidRPr="005F7018" w:rsidRDefault="007A79F4" w:rsidP="005F7018">
          <w:pPr>
            <w:jc w:val="center"/>
            <w:rPr>
              <w:rFonts w:ascii="Franklin Gothic Book" w:hAnsi="Franklin Gothic Book" w:cs="Calibri"/>
              <w:b/>
              <w:sz w:val="28"/>
              <w:szCs w:val="28"/>
            </w:rPr>
          </w:pPr>
          <w:r w:rsidRPr="009A7393">
            <w:rPr>
              <w:rFonts w:ascii="Franklin Gothic Book" w:hAnsi="Franklin Gothic Book" w:cs="Calibri"/>
              <w:b/>
              <w:sz w:val="28"/>
              <w:szCs w:val="28"/>
            </w:rPr>
            <w:t>POLICY</w:t>
          </w:r>
        </w:p>
        <w:p w14:paraId="2224DEE7" w14:textId="77777777" w:rsidR="005F7018" w:rsidRPr="005448BC" w:rsidRDefault="005F7018" w:rsidP="005F7018">
          <w:pPr>
            <w:rPr>
              <w:rFonts w:ascii="Franklin Gothic Demi" w:hAnsi="Franklin Gothic Demi"/>
              <w:smallCaps/>
              <w:szCs w:val="22"/>
            </w:rPr>
          </w:pPr>
        </w:p>
      </w:tc>
      <w:tc>
        <w:tcPr>
          <w:tcW w:w="3126" w:type="dxa"/>
          <w:tcBorders>
            <w:left w:val="single" w:sz="4" w:space="0" w:color="000000"/>
          </w:tcBorders>
          <w:shd w:val="clear" w:color="auto" w:fill="auto"/>
        </w:tcPr>
        <w:p w14:paraId="2224DEE8" w14:textId="77777777" w:rsidR="00A95CBA" w:rsidRPr="00F85C8D" w:rsidRDefault="007A79F4" w:rsidP="00A153FF">
          <w:pPr>
            <w:rPr>
              <w:rFonts w:ascii="Franklin Gothic Demi" w:hAnsi="Franklin Gothic Demi"/>
              <w:smallCaps/>
              <w:szCs w:val="22"/>
            </w:rPr>
          </w:pPr>
          <w:r w:rsidRPr="00F85C8D">
            <w:rPr>
              <w:rFonts w:ascii="Franklin Gothic Demi" w:hAnsi="Franklin Gothic Demi"/>
              <w:smallCaps/>
              <w:szCs w:val="22"/>
            </w:rPr>
            <w:t>Effective Date</w:t>
          </w:r>
          <w:r>
            <w:rPr>
              <w:rFonts w:ascii="Franklin Gothic Demi" w:hAnsi="Franklin Gothic Demi"/>
              <w:smallCaps/>
              <w:szCs w:val="22"/>
            </w:rPr>
            <w:t>:</w:t>
          </w:r>
        </w:p>
        <w:p w14:paraId="2224DEE9" w14:textId="77777777" w:rsidR="00A95CBA" w:rsidRPr="00A2219E" w:rsidRDefault="007A79F4"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separate"/>
          </w:r>
          <w:r w:rsidRPr="00A2219E">
            <w:rPr>
              <w:rFonts w:ascii="Franklin Gothic Book" w:hAnsi="Franklin Gothic Book" w:cs="Calibri"/>
              <w:szCs w:val="22"/>
            </w:rPr>
            <w:t>Not Set</w:t>
          </w:r>
          <w:r w:rsidRPr="00A2219E">
            <w:rPr>
              <w:rFonts w:ascii="Franklin Gothic Book" w:hAnsi="Franklin Gothic Book" w:cs="Calibri"/>
              <w:szCs w:val="22"/>
            </w:rPr>
            <w:fldChar w:fldCharType="end"/>
          </w:r>
        </w:p>
        <w:p w14:paraId="2224DEEA" w14:textId="77777777" w:rsidR="00A95CBA" w:rsidRPr="00EF4D17" w:rsidRDefault="00A95CBA" w:rsidP="00A153FF">
          <w:pPr>
            <w:rPr>
              <w:rFonts w:ascii="Franklin Gothic Book" w:hAnsi="Franklin Gothic Book"/>
              <w:b/>
              <w:sz w:val="28"/>
              <w:szCs w:val="28"/>
            </w:rPr>
          </w:pPr>
        </w:p>
      </w:tc>
    </w:tr>
    <w:tr w:rsidR="00CF2308" w14:paraId="2224DEF1" w14:textId="77777777" w:rsidTr="00A95CBA">
      <w:trPr>
        <w:trHeight w:val="480"/>
      </w:trPr>
      <w:tc>
        <w:tcPr>
          <w:tcW w:w="3186" w:type="dxa"/>
          <w:vMerge/>
          <w:tcBorders>
            <w:left w:val="single" w:sz="4" w:space="0" w:color="auto"/>
            <w:bottom w:val="single" w:sz="4" w:space="0" w:color="auto"/>
          </w:tcBorders>
          <w:shd w:val="clear" w:color="auto" w:fill="auto"/>
        </w:tcPr>
        <w:p w14:paraId="2224DEEC" w14:textId="77777777" w:rsidR="00A95CBA" w:rsidRDefault="00A95CBA" w:rsidP="00A153FF">
          <w:pPr>
            <w:rPr>
              <w:rFonts w:ascii="Franklin Gothic Book" w:hAnsi="Franklin Gothic Book"/>
              <w:b/>
              <w:noProof/>
              <w:szCs w:val="22"/>
            </w:rPr>
          </w:pPr>
        </w:p>
      </w:tc>
      <w:tc>
        <w:tcPr>
          <w:tcW w:w="3038" w:type="dxa"/>
          <w:vMerge/>
          <w:tcBorders>
            <w:bottom w:val="single" w:sz="4" w:space="0" w:color="auto"/>
            <w:right w:val="single" w:sz="4" w:space="0" w:color="000000"/>
          </w:tcBorders>
          <w:shd w:val="clear" w:color="auto" w:fill="auto"/>
        </w:tcPr>
        <w:p w14:paraId="2224DEED" w14:textId="77777777" w:rsidR="00A95CBA" w:rsidRDefault="00A95CBA" w:rsidP="00A2219E">
          <w:pPr>
            <w:rPr>
              <w:rFonts w:ascii="Franklin Gothic Demi" w:hAnsi="Franklin Gothic Demi"/>
              <w:smallCaps/>
              <w:szCs w:val="22"/>
            </w:rPr>
          </w:pPr>
        </w:p>
      </w:tc>
      <w:tc>
        <w:tcPr>
          <w:tcW w:w="3126" w:type="dxa"/>
          <w:tcBorders>
            <w:left w:val="single" w:sz="4" w:space="0" w:color="000000"/>
            <w:bottom w:val="single" w:sz="4" w:space="0" w:color="auto"/>
          </w:tcBorders>
          <w:shd w:val="clear" w:color="auto" w:fill="auto"/>
        </w:tcPr>
        <w:p w14:paraId="2224DEEE" w14:textId="77777777" w:rsidR="00A95CBA" w:rsidRDefault="007A79F4" w:rsidP="00A95CBA">
          <w:pPr>
            <w:rPr>
              <w:rFonts w:ascii="Franklin Gothic Demi" w:hAnsi="Franklin Gothic Demi"/>
              <w:smallCaps/>
              <w:szCs w:val="22"/>
            </w:rPr>
          </w:pPr>
          <w:r>
            <w:rPr>
              <w:rFonts w:ascii="Franklin Gothic Demi" w:hAnsi="Franklin Gothic Demi"/>
              <w:smallCaps/>
              <w:szCs w:val="22"/>
            </w:rPr>
            <w:t>Creation</w:t>
          </w:r>
          <w:r w:rsidRPr="00F85C8D">
            <w:rPr>
              <w:rFonts w:ascii="Franklin Gothic Demi" w:hAnsi="Franklin Gothic Demi"/>
              <w:smallCaps/>
              <w:szCs w:val="22"/>
            </w:rPr>
            <w:t xml:space="preserve"> Date</w:t>
          </w:r>
          <w:r>
            <w:rPr>
              <w:rFonts w:ascii="Franklin Gothic Demi" w:hAnsi="Franklin Gothic Demi"/>
              <w:smallCaps/>
              <w:szCs w:val="22"/>
            </w:rPr>
            <w:t>:</w:t>
          </w:r>
        </w:p>
        <w:p w14:paraId="2224DEEF" w14:textId="77777777" w:rsidR="00863C01" w:rsidRPr="00DB1DB8" w:rsidRDefault="007A79F4" w:rsidP="00A95CBA">
          <w:pPr>
            <w:rPr>
              <w:rFonts w:ascii="Franklin Gothic Book" w:hAnsi="Franklin Gothic Book" w:cs="Calibri"/>
              <w:szCs w:val="22"/>
            </w:rPr>
          </w:pPr>
          <w:r w:rsidRPr="00DB1DB8">
            <w:rPr>
              <w:rFonts w:ascii="Franklin Gothic Book" w:hAnsi="Franklin Gothic Book" w:cs="Calibri"/>
              <w:szCs w:val="22"/>
            </w:rPr>
            <w:fldChar w:fldCharType="begin"/>
          </w:r>
          <w:r w:rsidRPr="00DB1DB8">
            <w:rPr>
              <w:rFonts w:ascii="Franklin Gothic Book" w:hAnsi="Franklin Gothic Book" w:cs="Calibri"/>
              <w:szCs w:val="22"/>
            </w:rPr>
            <w:instrText xml:space="preserve"> DOCVARIABLE "Original Creation Date" \* MERGEFORMAT </w:instrText>
          </w:r>
          <w:r w:rsidRPr="00DB1DB8">
            <w:rPr>
              <w:rFonts w:ascii="Franklin Gothic Book" w:hAnsi="Franklin Gothic Book" w:cs="Calibri"/>
              <w:szCs w:val="22"/>
            </w:rPr>
            <w:fldChar w:fldCharType="separate"/>
          </w:r>
          <w:r w:rsidRPr="00DB1DB8">
            <w:rPr>
              <w:rFonts w:ascii="Franklin Gothic Book" w:hAnsi="Franklin Gothic Book" w:cs="Calibri"/>
              <w:szCs w:val="22"/>
            </w:rPr>
            <w:t>05/09/2023</w:t>
          </w:r>
          <w:r w:rsidRPr="00DB1DB8">
            <w:rPr>
              <w:rFonts w:ascii="Franklin Gothic Book" w:hAnsi="Franklin Gothic Book" w:cs="Calibri"/>
              <w:szCs w:val="22"/>
            </w:rPr>
            <w:fldChar w:fldCharType="end"/>
          </w:r>
        </w:p>
        <w:p w14:paraId="2224DEF0" w14:textId="77777777" w:rsidR="00A95CBA" w:rsidRPr="00F85C8D" w:rsidRDefault="00A95CBA" w:rsidP="00A153FF">
          <w:pPr>
            <w:rPr>
              <w:rFonts w:ascii="Franklin Gothic Demi" w:hAnsi="Franklin Gothic Demi"/>
              <w:smallCaps/>
              <w:szCs w:val="22"/>
            </w:rPr>
          </w:pPr>
        </w:p>
      </w:tc>
    </w:tr>
  </w:tbl>
  <w:p w14:paraId="2224DEF2"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BDFAD930">
      <w:start w:val="1"/>
      <w:numFmt w:val="decimal"/>
      <w:pStyle w:val="Style1"/>
      <w:lvlText w:val="%1."/>
      <w:lvlJc w:val="left"/>
      <w:pPr>
        <w:ind w:left="720" w:hanging="360"/>
      </w:pPr>
    </w:lvl>
    <w:lvl w:ilvl="1" w:tplc="B6C2A51C" w:tentative="1">
      <w:start w:val="1"/>
      <w:numFmt w:val="lowerLetter"/>
      <w:lvlText w:val="%2."/>
      <w:lvlJc w:val="left"/>
      <w:pPr>
        <w:ind w:left="1440" w:hanging="360"/>
      </w:pPr>
    </w:lvl>
    <w:lvl w:ilvl="2" w:tplc="A4E431F0" w:tentative="1">
      <w:start w:val="1"/>
      <w:numFmt w:val="lowerRoman"/>
      <w:lvlText w:val="%3."/>
      <w:lvlJc w:val="right"/>
      <w:pPr>
        <w:ind w:left="2160" w:hanging="180"/>
      </w:pPr>
    </w:lvl>
    <w:lvl w:ilvl="3" w:tplc="30824F06" w:tentative="1">
      <w:start w:val="1"/>
      <w:numFmt w:val="decimal"/>
      <w:lvlText w:val="%4."/>
      <w:lvlJc w:val="left"/>
      <w:pPr>
        <w:ind w:left="2880" w:hanging="360"/>
      </w:pPr>
    </w:lvl>
    <w:lvl w:ilvl="4" w:tplc="33324FDE" w:tentative="1">
      <w:start w:val="1"/>
      <w:numFmt w:val="lowerLetter"/>
      <w:lvlText w:val="%5."/>
      <w:lvlJc w:val="left"/>
      <w:pPr>
        <w:ind w:left="3600" w:hanging="360"/>
      </w:pPr>
    </w:lvl>
    <w:lvl w:ilvl="5" w:tplc="8F32F1C2" w:tentative="1">
      <w:start w:val="1"/>
      <w:numFmt w:val="lowerRoman"/>
      <w:lvlText w:val="%6."/>
      <w:lvlJc w:val="right"/>
      <w:pPr>
        <w:ind w:left="4320" w:hanging="180"/>
      </w:pPr>
    </w:lvl>
    <w:lvl w:ilvl="6" w:tplc="335CCAA0" w:tentative="1">
      <w:start w:val="1"/>
      <w:numFmt w:val="decimal"/>
      <w:lvlText w:val="%7."/>
      <w:lvlJc w:val="left"/>
      <w:pPr>
        <w:ind w:left="5040" w:hanging="360"/>
      </w:pPr>
    </w:lvl>
    <w:lvl w:ilvl="7" w:tplc="0D96A9C6" w:tentative="1">
      <w:start w:val="1"/>
      <w:numFmt w:val="lowerLetter"/>
      <w:lvlText w:val="%8."/>
      <w:lvlJc w:val="left"/>
      <w:pPr>
        <w:ind w:left="5760" w:hanging="360"/>
      </w:pPr>
    </w:lvl>
    <w:lvl w:ilvl="8" w:tplc="868C4904" w:tentative="1">
      <w:start w:val="1"/>
      <w:numFmt w:val="lowerRoman"/>
      <w:lvlText w:val="%9."/>
      <w:lvlJc w:val="right"/>
      <w:pPr>
        <w:ind w:left="6480" w:hanging="180"/>
      </w:pPr>
    </w:lvl>
  </w:abstractNum>
  <w:abstractNum w:abstractNumId="1" w15:restartNumberingAfterBreak="0">
    <w:nsid w:val="18093E4F"/>
    <w:multiLevelType w:val="hybridMultilevel"/>
    <w:tmpl w:val="89E203AC"/>
    <w:lvl w:ilvl="0" w:tplc="C4CED06A">
      <w:start w:val="1"/>
      <w:numFmt w:val="lowerLetter"/>
      <w:lvlText w:val="%1."/>
      <w:lvlJc w:val="left"/>
      <w:pPr>
        <w:ind w:left="1080" w:hanging="360"/>
      </w:pPr>
      <w:rPr>
        <w:b w:val="0"/>
      </w:rPr>
    </w:lvl>
    <w:lvl w:ilvl="1" w:tplc="EDAEB4B8">
      <w:start w:val="1"/>
      <w:numFmt w:val="decimal"/>
      <w:lvlText w:val="%2)"/>
      <w:lvlJc w:val="left"/>
      <w:pPr>
        <w:ind w:left="1800" w:hanging="360"/>
      </w:pPr>
    </w:lvl>
    <w:lvl w:ilvl="2" w:tplc="953C8C04" w:tentative="1">
      <w:start w:val="1"/>
      <w:numFmt w:val="lowerRoman"/>
      <w:lvlText w:val="%3."/>
      <w:lvlJc w:val="right"/>
      <w:pPr>
        <w:ind w:left="2520" w:hanging="180"/>
      </w:pPr>
    </w:lvl>
    <w:lvl w:ilvl="3" w:tplc="E9CCEEE8" w:tentative="1">
      <w:start w:val="1"/>
      <w:numFmt w:val="decimal"/>
      <w:lvlText w:val="%4."/>
      <w:lvlJc w:val="left"/>
      <w:pPr>
        <w:ind w:left="3240" w:hanging="360"/>
      </w:pPr>
    </w:lvl>
    <w:lvl w:ilvl="4" w:tplc="CBB6A95A" w:tentative="1">
      <w:start w:val="1"/>
      <w:numFmt w:val="lowerLetter"/>
      <w:lvlText w:val="%5."/>
      <w:lvlJc w:val="left"/>
      <w:pPr>
        <w:ind w:left="3960" w:hanging="360"/>
      </w:pPr>
    </w:lvl>
    <w:lvl w:ilvl="5" w:tplc="77B831E6" w:tentative="1">
      <w:start w:val="1"/>
      <w:numFmt w:val="lowerRoman"/>
      <w:lvlText w:val="%6."/>
      <w:lvlJc w:val="right"/>
      <w:pPr>
        <w:ind w:left="4680" w:hanging="180"/>
      </w:pPr>
    </w:lvl>
    <w:lvl w:ilvl="6" w:tplc="C2467634" w:tentative="1">
      <w:start w:val="1"/>
      <w:numFmt w:val="decimal"/>
      <w:lvlText w:val="%7."/>
      <w:lvlJc w:val="left"/>
      <w:pPr>
        <w:ind w:left="5400" w:hanging="360"/>
      </w:pPr>
    </w:lvl>
    <w:lvl w:ilvl="7" w:tplc="112AC382" w:tentative="1">
      <w:start w:val="1"/>
      <w:numFmt w:val="lowerLetter"/>
      <w:lvlText w:val="%8."/>
      <w:lvlJc w:val="left"/>
      <w:pPr>
        <w:ind w:left="6120" w:hanging="360"/>
      </w:pPr>
    </w:lvl>
    <w:lvl w:ilvl="8" w:tplc="F544E5D4" w:tentative="1">
      <w:start w:val="1"/>
      <w:numFmt w:val="lowerRoman"/>
      <w:lvlText w:val="%9."/>
      <w:lvlJc w:val="right"/>
      <w:pPr>
        <w:ind w:left="6840" w:hanging="180"/>
      </w:pPr>
    </w:lvl>
  </w:abstractNum>
  <w:abstractNum w:abstractNumId="2" w15:restartNumberingAfterBreak="0">
    <w:nsid w:val="1A8E5DB0"/>
    <w:multiLevelType w:val="hybridMultilevel"/>
    <w:tmpl w:val="F9CA7A4A"/>
    <w:lvl w:ilvl="0" w:tplc="AEF8CCCA">
      <w:start w:val="1"/>
      <w:numFmt w:val="decimal"/>
      <w:lvlText w:val="%1."/>
      <w:lvlJc w:val="left"/>
      <w:pPr>
        <w:ind w:left="1080" w:hanging="360"/>
      </w:pPr>
    </w:lvl>
    <w:lvl w:ilvl="1" w:tplc="16FAE3A6">
      <w:start w:val="1"/>
      <w:numFmt w:val="lowerLetter"/>
      <w:lvlText w:val="%2."/>
      <w:lvlJc w:val="left"/>
      <w:pPr>
        <w:ind w:left="1800" w:hanging="360"/>
      </w:pPr>
    </w:lvl>
    <w:lvl w:ilvl="2" w:tplc="0F601E2C" w:tentative="1">
      <w:start w:val="1"/>
      <w:numFmt w:val="lowerRoman"/>
      <w:lvlText w:val="%3."/>
      <w:lvlJc w:val="right"/>
      <w:pPr>
        <w:ind w:left="2520" w:hanging="180"/>
      </w:pPr>
    </w:lvl>
    <w:lvl w:ilvl="3" w:tplc="C13468C2" w:tentative="1">
      <w:start w:val="1"/>
      <w:numFmt w:val="decimal"/>
      <w:lvlText w:val="%4."/>
      <w:lvlJc w:val="left"/>
      <w:pPr>
        <w:ind w:left="3240" w:hanging="360"/>
      </w:pPr>
    </w:lvl>
    <w:lvl w:ilvl="4" w:tplc="65B6872A" w:tentative="1">
      <w:start w:val="1"/>
      <w:numFmt w:val="lowerLetter"/>
      <w:lvlText w:val="%5."/>
      <w:lvlJc w:val="left"/>
      <w:pPr>
        <w:ind w:left="3960" w:hanging="360"/>
      </w:pPr>
    </w:lvl>
    <w:lvl w:ilvl="5" w:tplc="EF96D00A" w:tentative="1">
      <w:start w:val="1"/>
      <w:numFmt w:val="lowerRoman"/>
      <w:lvlText w:val="%6."/>
      <w:lvlJc w:val="right"/>
      <w:pPr>
        <w:ind w:left="4680" w:hanging="180"/>
      </w:pPr>
    </w:lvl>
    <w:lvl w:ilvl="6" w:tplc="C46E648E" w:tentative="1">
      <w:start w:val="1"/>
      <w:numFmt w:val="decimal"/>
      <w:lvlText w:val="%7."/>
      <w:lvlJc w:val="left"/>
      <w:pPr>
        <w:ind w:left="5400" w:hanging="360"/>
      </w:pPr>
    </w:lvl>
    <w:lvl w:ilvl="7" w:tplc="FBF82486" w:tentative="1">
      <w:start w:val="1"/>
      <w:numFmt w:val="lowerLetter"/>
      <w:lvlText w:val="%8."/>
      <w:lvlJc w:val="left"/>
      <w:pPr>
        <w:ind w:left="6120" w:hanging="360"/>
      </w:pPr>
    </w:lvl>
    <w:lvl w:ilvl="8" w:tplc="6B96F178" w:tentative="1">
      <w:start w:val="1"/>
      <w:numFmt w:val="lowerRoman"/>
      <w:lvlText w:val="%9."/>
      <w:lvlJc w:val="right"/>
      <w:pPr>
        <w:ind w:left="6840" w:hanging="180"/>
      </w:pPr>
    </w:lvl>
  </w:abstractNum>
  <w:abstractNum w:abstractNumId="3" w15:restartNumberingAfterBreak="0">
    <w:nsid w:val="240A5DF2"/>
    <w:multiLevelType w:val="hybridMultilevel"/>
    <w:tmpl w:val="89E203AC"/>
    <w:lvl w:ilvl="0" w:tplc="41B6724C">
      <w:start w:val="1"/>
      <w:numFmt w:val="lowerLetter"/>
      <w:lvlText w:val="%1."/>
      <w:lvlJc w:val="left"/>
      <w:pPr>
        <w:ind w:left="1080" w:hanging="360"/>
      </w:pPr>
      <w:rPr>
        <w:b w:val="0"/>
      </w:rPr>
    </w:lvl>
    <w:lvl w:ilvl="1" w:tplc="7012DBE2">
      <w:start w:val="1"/>
      <w:numFmt w:val="decimal"/>
      <w:lvlText w:val="%2)"/>
      <w:lvlJc w:val="left"/>
      <w:pPr>
        <w:ind w:left="1800" w:hanging="360"/>
      </w:pPr>
    </w:lvl>
    <w:lvl w:ilvl="2" w:tplc="23549D9C" w:tentative="1">
      <w:start w:val="1"/>
      <w:numFmt w:val="lowerRoman"/>
      <w:lvlText w:val="%3."/>
      <w:lvlJc w:val="right"/>
      <w:pPr>
        <w:ind w:left="2520" w:hanging="180"/>
      </w:pPr>
    </w:lvl>
    <w:lvl w:ilvl="3" w:tplc="18FA8B44" w:tentative="1">
      <w:start w:val="1"/>
      <w:numFmt w:val="decimal"/>
      <w:lvlText w:val="%4."/>
      <w:lvlJc w:val="left"/>
      <w:pPr>
        <w:ind w:left="3240" w:hanging="360"/>
      </w:pPr>
    </w:lvl>
    <w:lvl w:ilvl="4" w:tplc="484C0B86" w:tentative="1">
      <w:start w:val="1"/>
      <w:numFmt w:val="lowerLetter"/>
      <w:lvlText w:val="%5."/>
      <w:lvlJc w:val="left"/>
      <w:pPr>
        <w:ind w:left="3960" w:hanging="360"/>
      </w:pPr>
    </w:lvl>
    <w:lvl w:ilvl="5" w:tplc="7FD20696" w:tentative="1">
      <w:start w:val="1"/>
      <w:numFmt w:val="lowerRoman"/>
      <w:lvlText w:val="%6."/>
      <w:lvlJc w:val="right"/>
      <w:pPr>
        <w:ind w:left="4680" w:hanging="180"/>
      </w:pPr>
    </w:lvl>
    <w:lvl w:ilvl="6" w:tplc="1E642210" w:tentative="1">
      <w:start w:val="1"/>
      <w:numFmt w:val="decimal"/>
      <w:lvlText w:val="%7."/>
      <w:lvlJc w:val="left"/>
      <w:pPr>
        <w:ind w:left="5400" w:hanging="360"/>
      </w:pPr>
    </w:lvl>
    <w:lvl w:ilvl="7" w:tplc="32C666A8" w:tentative="1">
      <w:start w:val="1"/>
      <w:numFmt w:val="lowerLetter"/>
      <w:lvlText w:val="%8."/>
      <w:lvlJc w:val="left"/>
      <w:pPr>
        <w:ind w:left="6120" w:hanging="360"/>
      </w:pPr>
    </w:lvl>
    <w:lvl w:ilvl="8" w:tplc="D6703C62" w:tentative="1">
      <w:start w:val="1"/>
      <w:numFmt w:val="lowerRoman"/>
      <w:lvlText w:val="%9."/>
      <w:lvlJc w:val="right"/>
      <w:pPr>
        <w:ind w:left="6840" w:hanging="180"/>
      </w:pPr>
    </w:lvl>
  </w:abstractNum>
  <w:abstractNum w:abstractNumId="4" w15:restartNumberingAfterBreak="0">
    <w:nsid w:val="38292F83"/>
    <w:multiLevelType w:val="hybridMultilevel"/>
    <w:tmpl w:val="549C43D0"/>
    <w:lvl w:ilvl="0" w:tplc="DA9E7DFC">
      <w:start w:val="1"/>
      <w:numFmt w:val="upperLetter"/>
      <w:lvlText w:val="%1."/>
      <w:lvlJc w:val="left"/>
      <w:pPr>
        <w:ind w:left="360" w:hanging="360"/>
      </w:pPr>
      <w:rPr>
        <w:rFonts w:ascii="Arial" w:hAnsi="Arial" w:cs="Arial" w:hint="default"/>
        <w:sz w:val="20"/>
        <w:szCs w:val="20"/>
      </w:rPr>
    </w:lvl>
    <w:lvl w:ilvl="1" w:tplc="CC4AD46C" w:tentative="1">
      <w:start w:val="1"/>
      <w:numFmt w:val="lowerLetter"/>
      <w:lvlText w:val="%2."/>
      <w:lvlJc w:val="left"/>
      <w:pPr>
        <w:ind w:left="1080" w:hanging="360"/>
      </w:pPr>
    </w:lvl>
    <w:lvl w:ilvl="2" w:tplc="F2707044" w:tentative="1">
      <w:start w:val="1"/>
      <w:numFmt w:val="lowerRoman"/>
      <w:lvlText w:val="%3."/>
      <w:lvlJc w:val="right"/>
      <w:pPr>
        <w:ind w:left="1800" w:hanging="180"/>
      </w:pPr>
    </w:lvl>
    <w:lvl w:ilvl="3" w:tplc="7C540FCC" w:tentative="1">
      <w:start w:val="1"/>
      <w:numFmt w:val="decimal"/>
      <w:lvlText w:val="%4."/>
      <w:lvlJc w:val="left"/>
      <w:pPr>
        <w:ind w:left="2520" w:hanging="360"/>
      </w:pPr>
    </w:lvl>
    <w:lvl w:ilvl="4" w:tplc="400096B8" w:tentative="1">
      <w:start w:val="1"/>
      <w:numFmt w:val="lowerLetter"/>
      <w:lvlText w:val="%5."/>
      <w:lvlJc w:val="left"/>
      <w:pPr>
        <w:ind w:left="3240" w:hanging="360"/>
      </w:pPr>
    </w:lvl>
    <w:lvl w:ilvl="5" w:tplc="74821CDC" w:tentative="1">
      <w:start w:val="1"/>
      <w:numFmt w:val="lowerRoman"/>
      <w:lvlText w:val="%6."/>
      <w:lvlJc w:val="right"/>
      <w:pPr>
        <w:ind w:left="3960" w:hanging="180"/>
      </w:pPr>
    </w:lvl>
    <w:lvl w:ilvl="6" w:tplc="804E9956" w:tentative="1">
      <w:start w:val="1"/>
      <w:numFmt w:val="decimal"/>
      <w:lvlText w:val="%7."/>
      <w:lvlJc w:val="left"/>
      <w:pPr>
        <w:ind w:left="4680" w:hanging="360"/>
      </w:pPr>
    </w:lvl>
    <w:lvl w:ilvl="7" w:tplc="1534BA1C" w:tentative="1">
      <w:start w:val="1"/>
      <w:numFmt w:val="lowerLetter"/>
      <w:lvlText w:val="%8."/>
      <w:lvlJc w:val="left"/>
      <w:pPr>
        <w:ind w:left="5400" w:hanging="360"/>
      </w:pPr>
    </w:lvl>
    <w:lvl w:ilvl="8" w:tplc="763C75C2" w:tentative="1">
      <w:start w:val="1"/>
      <w:numFmt w:val="lowerRoman"/>
      <w:lvlText w:val="%9."/>
      <w:lvlJc w:val="right"/>
      <w:pPr>
        <w:ind w:left="6120" w:hanging="180"/>
      </w:pPr>
    </w:lvl>
  </w:abstractNum>
  <w:abstractNum w:abstractNumId="5" w15:restartNumberingAfterBreak="0">
    <w:nsid w:val="3C9F5DC9"/>
    <w:multiLevelType w:val="hybridMultilevel"/>
    <w:tmpl w:val="6C380E7C"/>
    <w:lvl w:ilvl="0" w:tplc="B5F2A0F0">
      <w:start w:val="1"/>
      <w:numFmt w:val="decimal"/>
      <w:lvlText w:val="%1)"/>
      <w:lvlJc w:val="left"/>
      <w:pPr>
        <w:ind w:left="1440" w:hanging="360"/>
      </w:pPr>
    </w:lvl>
    <w:lvl w:ilvl="1" w:tplc="BDAE3A32" w:tentative="1">
      <w:start w:val="1"/>
      <w:numFmt w:val="lowerLetter"/>
      <w:lvlText w:val="%2."/>
      <w:lvlJc w:val="left"/>
      <w:pPr>
        <w:ind w:left="2160" w:hanging="360"/>
      </w:pPr>
    </w:lvl>
    <w:lvl w:ilvl="2" w:tplc="E8F2446A" w:tentative="1">
      <w:start w:val="1"/>
      <w:numFmt w:val="lowerRoman"/>
      <w:lvlText w:val="%3."/>
      <w:lvlJc w:val="right"/>
      <w:pPr>
        <w:ind w:left="2880" w:hanging="180"/>
      </w:pPr>
    </w:lvl>
    <w:lvl w:ilvl="3" w:tplc="E8500D14" w:tentative="1">
      <w:start w:val="1"/>
      <w:numFmt w:val="decimal"/>
      <w:lvlText w:val="%4."/>
      <w:lvlJc w:val="left"/>
      <w:pPr>
        <w:ind w:left="3600" w:hanging="360"/>
      </w:pPr>
    </w:lvl>
    <w:lvl w:ilvl="4" w:tplc="3752D59E" w:tentative="1">
      <w:start w:val="1"/>
      <w:numFmt w:val="lowerLetter"/>
      <w:lvlText w:val="%5."/>
      <w:lvlJc w:val="left"/>
      <w:pPr>
        <w:ind w:left="4320" w:hanging="360"/>
      </w:pPr>
    </w:lvl>
    <w:lvl w:ilvl="5" w:tplc="C906A94C" w:tentative="1">
      <w:start w:val="1"/>
      <w:numFmt w:val="lowerRoman"/>
      <w:lvlText w:val="%6."/>
      <w:lvlJc w:val="right"/>
      <w:pPr>
        <w:ind w:left="5040" w:hanging="180"/>
      </w:pPr>
    </w:lvl>
    <w:lvl w:ilvl="6" w:tplc="37DA0294" w:tentative="1">
      <w:start w:val="1"/>
      <w:numFmt w:val="decimal"/>
      <w:lvlText w:val="%7."/>
      <w:lvlJc w:val="left"/>
      <w:pPr>
        <w:ind w:left="5760" w:hanging="360"/>
      </w:pPr>
    </w:lvl>
    <w:lvl w:ilvl="7" w:tplc="2CFAC74A" w:tentative="1">
      <w:start w:val="1"/>
      <w:numFmt w:val="lowerLetter"/>
      <w:lvlText w:val="%8."/>
      <w:lvlJc w:val="left"/>
      <w:pPr>
        <w:ind w:left="6480" w:hanging="360"/>
      </w:pPr>
    </w:lvl>
    <w:lvl w:ilvl="8" w:tplc="E32473DC" w:tentative="1">
      <w:start w:val="1"/>
      <w:numFmt w:val="lowerRoman"/>
      <w:lvlText w:val="%9."/>
      <w:lvlJc w:val="right"/>
      <w:pPr>
        <w:ind w:left="7200" w:hanging="180"/>
      </w:pPr>
    </w:lvl>
  </w:abstractNum>
  <w:abstractNum w:abstractNumId="6" w15:restartNumberingAfterBreak="0">
    <w:nsid w:val="3DF770CA"/>
    <w:multiLevelType w:val="hybridMultilevel"/>
    <w:tmpl w:val="87A0ABC4"/>
    <w:lvl w:ilvl="0" w:tplc="E84C284E">
      <w:start w:val="1"/>
      <w:numFmt w:val="lowerLetter"/>
      <w:lvlText w:val="%1."/>
      <w:lvlJc w:val="left"/>
      <w:pPr>
        <w:ind w:left="1080" w:hanging="360"/>
      </w:pPr>
      <w:rPr>
        <w:b w:val="0"/>
      </w:rPr>
    </w:lvl>
    <w:lvl w:ilvl="1" w:tplc="ABF67664">
      <w:start w:val="1"/>
      <w:numFmt w:val="decimal"/>
      <w:lvlText w:val="%2)"/>
      <w:lvlJc w:val="left"/>
      <w:pPr>
        <w:ind w:left="1800" w:hanging="360"/>
      </w:pPr>
    </w:lvl>
    <w:lvl w:ilvl="2" w:tplc="667C1296">
      <w:start w:val="1"/>
      <w:numFmt w:val="lowerRoman"/>
      <w:lvlText w:val="%3."/>
      <w:lvlJc w:val="right"/>
      <w:pPr>
        <w:ind w:left="2520" w:hanging="180"/>
      </w:pPr>
    </w:lvl>
    <w:lvl w:ilvl="3" w:tplc="5F98C46E" w:tentative="1">
      <w:start w:val="1"/>
      <w:numFmt w:val="decimal"/>
      <w:lvlText w:val="%4."/>
      <w:lvlJc w:val="left"/>
      <w:pPr>
        <w:ind w:left="3240" w:hanging="360"/>
      </w:pPr>
    </w:lvl>
    <w:lvl w:ilvl="4" w:tplc="5A6C6F06" w:tentative="1">
      <w:start w:val="1"/>
      <w:numFmt w:val="lowerLetter"/>
      <w:lvlText w:val="%5."/>
      <w:lvlJc w:val="left"/>
      <w:pPr>
        <w:ind w:left="3960" w:hanging="360"/>
      </w:pPr>
    </w:lvl>
    <w:lvl w:ilvl="5" w:tplc="C8BA1638" w:tentative="1">
      <w:start w:val="1"/>
      <w:numFmt w:val="lowerRoman"/>
      <w:lvlText w:val="%6."/>
      <w:lvlJc w:val="right"/>
      <w:pPr>
        <w:ind w:left="4680" w:hanging="180"/>
      </w:pPr>
    </w:lvl>
    <w:lvl w:ilvl="6" w:tplc="E15C2934" w:tentative="1">
      <w:start w:val="1"/>
      <w:numFmt w:val="decimal"/>
      <w:lvlText w:val="%7."/>
      <w:lvlJc w:val="left"/>
      <w:pPr>
        <w:ind w:left="5400" w:hanging="360"/>
      </w:pPr>
    </w:lvl>
    <w:lvl w:ilvl="7" w:tplc="08CE0740" w:tentative="1">
      <w:start w:val="1"/>
      <w:numFmt w:val="lowerLetter"/>
      <w:lvlText w:val="%8."/>
      <w:lvlJc w:val="left"/>
      <w:pPr>
        <w:ind w:left="6120" w:hanging="360"/>
      </w:pPr>
    </w:lvl>
    <w:lvl w:ilvl="8" w:tplc="993AC62A" w:tentative="1">
      <w:start w:val="1"/>
      <w:numFmt w:val="lowerRoman"/>
      <w:lvlText w:val="%9."/>
      <w:lvlJc w:val="right"/>
      <w:pPr>
        <w:ind w:left="6840" w:hanging="180"/>
      </w:pPr>
    </w:lvl>
  </w:abstractNum>
  <w:abstractNum w:abstractNumId="7" w15:restartNumberingAfterBreak="0">
    <w:nsid w:val="47D91BA2"/>
    <w:multiLevelType w:val="hybridMultilevel"/>
    <w:tmpl w:val="7BA83752"/>
    <w:lvl w:ilvl="0" w:tplc="AAECAFC8">
      <w:start w:val="1"/>
      <w:numFmt w:val="decimal"/>
      <w:lvlText w:val="%1."/>
      <w:lvlJc w:val="left"/>
      <w:pPr>
        <w:ind w:left="720" w:hanging="360"/>
      </w:pPr>
    </w:lvl>
    <w:lvl w:ilvl="1" w:tplc="1556DEAC" w:tentative="1">
      <w:start w:val="1"/>
      <w:numFmt w:val="lowerLetter"/>
      <w:lvlText w:val="%2."/>
      <w:lvlJc w:val="left"/>
      <w:pPr>
        <w:ind w:left="1440" w:hanging="360"/>
      </w:pPr>
    </w:lvl>
    <w:lvl w:ilvl="2" w:tplc="09FA07B2" w:tentative="1">
      <w:start w:val="1"/>
      <w:numFmt w:val="lowerRoman"/>
      <w:lvlText w:val="%3."/>
      <w:lvlJc w:val="right"/>
      <w:pPr>
        <w:ind w:left="2160" w:hanging="180"/>
      </w:pPr>
    </w:lvl>
    <w:lvl w:ilvl="3" w:tplc="84E01AE8" w:tentative="1">
      <w:start w:val="1"/>
      <w:numFmt w:val="decimal"/>
      <w:lvlText w:val="%4."/>
      <w:lvlJc w:val="left"/>
      <w:pPr>
        <w:ind w:left="2880" w:hanging="360"/>
      </w:pPr>
    </w:lvl>
    <w:lvl w:ilvl="4" w:tplc="C0889F64" w:tentative="1">
      <w:start w:val="1"/>
      <w:numFmt w:val="lowerLetter"/>
      <w:lvlText w:val="%5."/>
      <w:lvlJc w:val="left"/>
      <w:pPr>
        <w:ind w:left="3600" w:hanging="360"/>
      </w:pPr>
    </w:lvl>
    <w:lvl w:ilvl="5" w:tplc="4F96996E" w:tentative="1">
      <w:start w:val="1"/>
      <w:numFmt w:val="lowerRoman"/>
      <w:lvlText w:val="%6."/>
      <w:lvlJc w:val="right"/>
      <w:pPr>
        <w:ind w:left="4320" w:hanging="180"/>
      </w:pPr>
    </w:lvl>
    <w:lvl w:ilvl="6" w:tplc="96E8B09C" w:tentative="1">
      <w:start w:val="1"/>
      <w:numFmt w:val="decimal"/>
      <w:lvlText w:val="%7."/>
      <w:lvlJc w:val="left"/>
      <w:pPr>
        <w:ind w:left="5040" w:hanging="360"/>
      </w:pPr>
    </w:lvl>
    <w:lvl w:ilvl="7" w:tplc="D762654A" w:tentative="1">
      <w:start w:val="1"/>
      <w:numFmt w:val="lowerLetter"/>
      <w:lvlText w:val="%8."/>
      <w:lvlJc w:val="left"/>
      <w:pPr>
        <w:ind w:left="5760" w:hanging="360"/>
      </w:pPr>
    </w:lvl>
    <w:lvl w:ilvl="8" w:tplc="30440068" w:tentative="1">
      <w:start w:val="1"/>
      <w:numFmt w:val="lowerRoman"/>
      <w:lvlText w:val="%9."/>
      <w:lvlJc w:val="right"/>
      <w:pPr>
        <w:ind w:left="6480" w:hanging="180"/>
      </w:pPr>
    </w:lvl>
  </w:abstractNum>
  <w:abstractNum w:abstractNumId="8" w15:restartNumberingAfterBreak="0">
    <w:nsid w:val="48DF4D9F"/>
    <w:multiLevelType w:val="hybridMultilevel"/>
    <w:tmpl w:val="89E203AC"/>
    <w:lvl w:ilvl="0" w:tplc="5060DC0C">
      <w:start w:val="1"/>
      <w:numFmt w:val="lowerLetter"/>
      <w:lvlText w:val="%1."/>
      <w:lvlJc w:val="left"/>
      <w:pPr>
        <w:ind w:left="1080" w:hanging="360"/>
      </w:pPr>
      <w:rPr>
        <w:b w:val="0"/>
      </w:rPr>
    </w:lvl>
    <w:lvl w:ilvl="1" w:tplc="5F325D46">
      <w:start w:val="1"/>
      <w:numFmt w:val="decimal"/>
      <w:lvlText w:val="%2)"/>
      <w:lvlJc w:val="left"/>
      <w:pPr>
        <w:ind w:left="1800" w:hanging="360"/>
      </w:pPr>
    </w:lvl>
    <w:lvl w:ilvl="2" w:tplc="A4746596" w:tentative="1">
      <w:start w:val="1"/>
      <w:numFmt w:val="lowerRoman"/>
      <w:lvlText w:val="%3."/>
      <w:lvlJc w:val="right"/>
      <w:pPr>
        <w:ind w:left="2520" w:hanging="180"/>
      </w:pPr>
    </w:lvl>
    <w:lvl w:ilvl="3" w:tplc="B6E06330" w:tentative="1">
      <w:start w:val="1"/>
      <w:numFmt w:val="decimal"/>
      <w:lvlText w:val="%4."/>
      <w:lvlJc w:val="left"/>
      <w:pPr>
        <w:ind w:left="3240" w:hanging="360"/>
      </w:pPr>
    </w:lvl>
    <w:lvl w:ilvl="4" w:tplc="BA363108" w:tentative="1">
      <w:start w:val="1"/>
      <w:numFmt w:val="lowerLetter"/>
      <w:lvlText w:val="%5."/>
      <w:lvlJc w:val="left"/>
      <w:pPr>
        <w:ind w:left="3960" w:hanging="360"/>
      </w:pPr>
    </w:lvl>
    <w:lvl w:ilvl="5" w:tplc="88D4A398" w:tentative="1">
      <w:start w:val="1"/>
      <w:numFmt w:val="lowerRoman"/>
      <w:lvlText w:val="%6."/>
      <w:lvlJc w:val="right"/>
      <w:pPr>
        <w:ind w:left="4680" w:hanging="180"/>
      </w:pPr>
    </w:lvl>
    <w:lvl w:ilvl="6" w:tplc="6EB45822" w:tentative="1">
      <w:start w:val="1"/>
      <w:numFmt w:val="decimal"/>
      <w:lvlText w:val="%7."/>
      <w:lvlJc w:val="left"/>
      <w:pPr>
        <w:ind w:left="5400" w:hanging="360"/>
      </w:pPr>
    </w:lvl>
    <w:lvl w:ilvl="7" w:tplc="7EE235A0" w:tentative="1">
      <w:start w:val="1"/>
      <w:numFmt w:val="lowerLetter"/>
      <w:lvlText w:val="%8."/>
      <w:lvlJc w:val="left"/>
      <w:pPr>
        <w:ind w:left="6120" w:hanging="360"/>
      </w:pPr>
    </w:lvl>
    <w:lvl w:ilvl="8" w:tplc="C3148CD0" w:tentative="1">
      <w:start w:val="1"/>
      <w:numFmt w:val="lowerRoman"/>
      <w:lvlText w:val="%9."/>
      <w:lvlJc w:val="right"/>
      <w:pPr>
        <w:ind w:left="6840" w:hanging="180"/>
      </w:pPr>
    </w:lvl>
  </w:abstractNum>
  <w:abstractNum w:abstractNumId="9" w15:restartNumberingAfterBreak="0">
    <w:nsid w:val="4F9956D1"/>
    <w:multiLevelType w:val="hybridMultilevel"/>
    <w:tmpl w:val="A588C8DE"/>
    <w:lvl w:ilvl="0" w:tplc="5D504848">
      <w:start w:val="1"/>
      <w:numFmt w:val="bullet"/>
      <w:lvlText w:val=""/>
      <w:lvlJc w:val="left"/>
      <w:pPr>
        <w:ind w:left="1080" w:hanging="360"/>
      </w:pPr>
      <w:rPr>
        <w:rFonts w:ascii="Symbol" w:hAnsi="Symbol" w:hint="default"/>
      </w:rPr>
    </w:lvl>
    <w:lvl w:ilvl="1" w:tplc="7452060A" w:tentative="1">
      <w:start w:val="1"/>
      <w:numFmt w:val="bullet"/>
      <w:lvlText w:val="o"/>
      <w:lvlJc w:val="left"/>
      <w:pPr>
        <w:ind w:left="1800" w:hanging="360"/>
      </w:pPr>
      <w:rPr>
        <w:rFonts w:ascii="Courier New" w:hAnsi="Courier New" w:cs="Courier New" w:hint="default"/>
      </w:rPr>
    </w:lvl>
    <w:lvl w:ilvl="2" w:tplc="094ABF28" w:tentative="1">
      <w:start w:val="1"/>
      <w:numFmt w:val="bullet"/>
      <w:lvlText w:val=""/>
      <w:lvlJc w:val="left"/>
      <w:pPr>
        <w:ind w:left="2520" w:hanging="360"/>
      </w:pPr>
      <w:rPr>
        <w:rFonts w:ascii="Wingdings" w:hAnsi="Wingdings" w:hint="default"/>
      </w:rPr>
    </w:lvl>
    <w:lvl w:ilvl="3" w:tplc="D9C4F152" w:tentative="1">
      <w:start w:val="1"/>
      <w:numFmt w:val="bullet"/>
      <w:lvlText w:val=""/>
      <w:lvlJc w:val="left"/>
      <w:pPr>
        <w:ind w:left="3240" w:hanging="360"/>
      </w:pPr>
      <w:rPr>
        <w:rFonts w:ascii="Symbol" w:hAnsi="Symbol" w:hint="default"/>
      </w:rPr>
    </w:lvl>
    <w:lvl w:ilvl="4" w:tplc="6652BA0A" w:tentative="1">
      <w:start w:val="1"/>
      <w:numFmt w:val="bullet"/>
      <w:lvlText w:val="o"/>
      <w:lvlJc w:val="left"/>
      <w:pPr>
        <w:ind w:left="3960" w:hanging="360"/>
      </w:pPr>
      <w:rPr>
        <w:rFonts w:ascii="Courier New" w:hAnsi="Courier New" w:cs="Courier New" w:hint="default"/>
      </w:rPr>
    </w:lvl>
    <w:lvl w:ilvl="5" w:tplc="C66EF94A" w:tentative="1">
      <w:start w:val="1"/>
      <w:numFmt w:val="bullet"/>
      <w:lvlText w:val=""/>
      <w:lvlJc w:val="left"/>
      <w:pPr>
        <w:ind w:left="4680" w:hanging="360"/>
      </w:pPr>
      <w:rPr>
        <w:rFonts w:ascii="Wingdings" w:hAnsi="Wingdings" w:hint="default"/>
      </w:rPr>
    </w:lvl>
    <w:lvl w:ilvl="6" w:tplc="495A6F6C" w:tentative="1">
      <w:start w:val="1"/>
      <w:numFmt w:val="bullet"/>
      <w:lvlText w:val=""/>
      <w:lvlJc w:val="left"/>
      <w:pPr>
        <w:ind w:left="5400" w:hanging="360"/>
      </w:pPr>
      <w:rPr>
        <w:rFonts w:ascii="Symbol" w:hAnsi="Symbol" w:hint="default"/>
      </w:rPr>
    </w:lvl>
    <w:lvl w:ilvl="7" w:tplc="24F06E06" w:tentative="1">
      <w:start w:val="1"/>
      <w:numFmt w:val="bullet"/>
      <w:lvlText w:val="o"/>
      <w:lvlJc w:val="left"/>
      <w:pPr>
        <w:ind w:left="6120" w:hanging="360"/>
      </w:pPr>
      <w:rPr>
        <w:rFonts w:ascii="Courier New" w:hAnsi="Courier New" w:cs="Courier New" w:hint="default"/>
      </w:rPr>
    </w:lvl>
    <w:lvl w:ilvl="8" w:tplc="45BA5906" w:tentative="1">
      <w:start w:val="1"/>
      <w:numFmt w:val="bullet"/>
      <w:lvlText w:val=""/>
      <w:lvlJc w:val="left"/>
      <w:pPr>
        <w:ind w:left="6840" w:hanging="360"/>
      </w:pPr>
      <w:rPr>
        <w:rFonts w:ascii="Wingdings" w:hAnsi="Wingdings" w:hint="default"/>
      </w:rPr>
    </w:lvl>
  </w:abstractNum>
  <w:abstractNum w:abstractNumId="10" w15:restartNumberingAfterBreak="0">
    <w:nsid w:val="63E51257"/>
    <w:multiLevelType w:val="hybridMultilevel"/>
    <w:tmpl w:val="86D05128"/>
    <w:lvl w:ilvl="0" w:tplc="3BA44CAA">
      <w:start w:val="1"/>
      <w:numFmt w:val="upperLetter"/>
      <w:lvlText w:val="%1."/>
      <w:lvlJc w:val="left"/>
      <w:pPr>
        <w:ind w:left="360" w:hanging="360"/>
      </w:pPr>
      <w:rPr>
        <w:rFonts w:ascii="Arial" w:hAnsi="Arial" w:cs="Arial" w:hint="default"/>
        <w:sz w:val="20"/>
        <w:szCs w:val="20"/>
      </w:rPr>
    </w:lvl>
    <w:lvl w:ilvl="1" w:tplc="85AED13E" w:tentative="1">
      <w:start w:val="1"/>
      <w:numFmt w:val="lowerLetter"/>
      <w:lvlText w:val="%2."/>
      <w:lvlJc w:val="left"/>
      <w:pPr>
        <w:ind w:left="1440" w:hanging="360"/>
      </w:pPr>
    </w:lvl>
    <w:lvl w:ilvl="2" w:tplc="D9DAFF90" w:tentative="1">
      <w:start w:val="1"/>
      <w:numFmt w:val="lowerRoman"/>
      <w:lvlText w:val="%3."/>
      <w:lvlJc w:val="right"/>
      <w:pPr>
        <w:ind w:left="2160" w:hanging="180"/>
      </w:pPr>
    </w:lvl>
    <w:lvl w:ilvl="3" w:tplc="EA30D6A2" w:tentative="1">
      <w:start w:val="1"/>
      <w:numFmt w:val="decimal"/>
      <w:lvlText w:val="%4."/>
      <w:lvlJc w:val="left"/>
      <w:pPr>
        <w:ind w:left="2880" w:hanging="360"/>
      </w:pPr>
    </w:lvl>
    <w:lvl w:ilvl="4" w:tplc="C418877E" w:tentative="1">
      <w:start w:val="1"/>
      <w:numFmt w:val="lowerLetter"/>
      <w:lvlText w:val="%5."/>
      <w:lvlJc w:val="left"/>
      <w:pPr>
        <w:ind w:left="3600" w:hanging="360"/>
      </w:pPr>
    </w:lvl>
    <w:lvl w:ilvl="5" w:tplc="701C66BE" w:tentative="1">
      <w:start w:val="1"/>
      <w:numFmt w:val="lowerRoman"/>
      <w:lvlText w:val="%6."/>
      <w:lvlJc w:val="right"/>
      <w:pPr>
        <w:ind w:left="4320" w:hanging="180"/>
      </w:pPr>
    </w:lvl>
    <w:lvl w:ilvl="6" w:tplc="1F8C8746" w:tentative="1">
      <w:start w:val="1"/>
      <w:numFmt w:val="decimal"/>
      <w:lvlText w:val="%7."/>
      <w:lvlJc w:val="left"/>
      <w:pPr>
        <w:ind w:left="5040" w:hanging="360"/>
      </w:pPr>
    </w:lvl>
    <w:lvl w:ilvl="7" w:tplc="2EDE77BC" w:tentative="1">
      <w:start w:val="1"/>
      <w:numFmt w:val="lowerLetter"/>
      <w:lvlText w:val="%8."/>
      <w:lvlJc w:val="left"/>
      <w:pPr>
        <w:ind w:left="5760" w:hanging="360"/>
      </w:pPr>
    </w:lvl>
    <w:lvl w:ilvl="8" w:tplc="EE46A81C" w:tentative="1">
      <w:start w:val="1"/>
      <w:numFmt w:val="lowerRoman"/>
      <w:lvlText w:val="%9."/>
      <w:lvlJc w:val="right"/>
      <w:pPr>
        <w:ind w:left="6480" w:hanging="180"/>
      </w:pPr>
    </w:lvl>
  </w:abstractNum>
  <w:abstractNum w:abstractNumId="11" w15:restartNumberingAfterBreak="0">
    <w:nsid w:val="68194F8F"/>
    <w:multiLevelType w:val="hybridMultilevel"/>
    <w:tmpl w:val="6CB28376"/>
    <w:lvl w:ilvl="0" w:tplc="42C613E8">
      <w:start w:val="1"/>
      <w:numFmt w:val="lowerLetter"/>
      <w:pStyle w:val="Style2"/>
      <w:lvlText w:val="%1."/>
      <w:lvlJc w:val="left"/>
      <w:pPr>
        <w:ind w:left="1080" w:hanging="360"/>
      </w:pPr>
    </w:lvl>
    <w:lvl w:ilvl="1" w:tplc="ED8A8EAC" w:tentative="1">
      <w:start w:val="1"/>
      <w:numFmt w:val="lowerLetter"/>
      <w:lvlText w:val="%2."/>
      <w:lvlJc w:val="left"/>
      <w:pPr>
        <w:ind w:left="1800" w:hanging="360"/>
      </w:pPr>
    </w:lvl>
    <w:lvl w:ilvl="2" w:tplc="C7B4C0A8" w:tentative="1">
      <w:start w:val="1"/>
      <w:numFmt w:val="lowerRoman"/>
      <w:lvlText w:val="%3."/>
      <w:lvlJc w:val="right"/>
      <w:pPr>
        <w:ind w:left="2520" w:hanging="180"/>
      </w:pPr>
    </w:lvl>
    <w:lvl w:ilvl="3" w:tplc="959C0464" w:tentative="1">
      <w:start w:val="1"/>
      <w:numFmt w:val="decimal"/>
      <w:lvlText w:val="%4."/>
      <w:lvlJc w:val="left"/>
      <w:pPr>
        <w:ind w:left="3240" w:hanging="360"/>
      </w:pPr>
    </w:lvl>
    <w:lvl w:ilvl="4" w:tplc="B0648FF2" w:tentative="1">
      <w:start w:val="1"/>
      <w:numFmt w:val="lowerLetter"/>
      <w:lvlText w:val="%5."/>
      <w:lvlJc w:val="left"/>
      <w:pPr>
        <w:ind w:left="3960" w:hanging="360"/>
      </w:pPr>
    </w:lvl>
    <w:lvl w:ilvl="5" w:tplc="E07A62FC" w:tentative="1">
      <w:start w:val="1"/>
      <w:numFmt w:val="lowerRoman"/>
      <w:lvlText w:val="%6."/>
      <w:lvlJc w:val="right"/>
      <w:pPr>
        <w:ind w:left="4680" w:hanging="180"/>
      </w:pPr>
    </w:lvl>
    <w:lvl w:ilvl="6" w:tplc="BB9CFACE" w:tentative="1">
      <w:start w:val="1"/>
      <w:numFmt w:val="decimal"/>
      <w:lvlText w:val="%7."/>
      <w:lvlJc w:val="left"/>
      <w:pPr>
        <w:ind w:left="5400" w:hanging="360"/>
      </w:pPr>
    </w:lvl>
    <w:lvl w:ilvl="7" w:tplc="5B16EE4E" w:tentative="1">
      <w:start w:val="1"/>
      <w:numFmt w:val="lowerLetter"/>
      <w:lvlText w:val="%8."/>
      <w:lvlJc w:val="left"/>
      <w:pPr>
        <w:ind w:left="6120" w:hanging="360"/>
      </w:pPr>
    </w:lvl>
    <w:lvl w:ilvl="8" w:tplc="EDB867C6" w:tentative="1">
      <w:start w:val="1"/>
      <w:numFmt w:val="lowerRoman"/>
      <w:lvlText w:val="%9."/>
      <w:lvlJc w:val="right"/>
      <w:pPr>
        <w:ind w:left="6840" w:hanging="180"/>
      </w:pPr>
    </w:lvl>
  </w:abstractNum>
  <w:abstractNum w:abstractNumId="12" w15:restartNumberingAfterBreak="0">
    <w:nsid w:val="683D2B61"/>
    <w:multiLevelType w:val="hybridMultilevel"/>
    <w:tmpl w:val="19CC1234"/>
    <w:lvl w:ilvl="0" w:tplc="1D34C756">
      <w:start w:val="1"/>
      <w:numFmt w:val="upperLetter"/>
      <w:pStyle w:val="ListParagraph"/>
      <w:lvlText w:val="%1."/>
      <w:lvlJc w:val="left"/>
      <w:pPr>
        <w:ind w:left="360" w:hanging="360"/>
      </w:pPr>
      <w:rPr>
        <w:rFonts w:ascii="Arial" w:hAnsi="Arial" w:cs="Arial" w:hint="default"/>
        <w:sz w:val="22"/>
        <w:szCs w:val="20"/>
      </w:rPr>
    </w:lvl>
    <w:lvl w:ilvl="1" w:tplc="DCBEFC1A" w:tentative="1">
      <w:start w:val="1"/>
      <w:numFmt w:val="lowerLetter"/>
      <w:lvlText w:val="%2."/>
      <w:lvlJc w:val="left"/>
      <w:pPr>
        <w:ind w:left="1080" w:hanging="360"/>
      </w:pPr>
    </w:lvl>
    <w:lvl w:ilvl="2" w:tplc="FD44C532" w:tentative="1">
      <w:start w:val="1"/>
      <w:numFmt w:val="lowerRoman"/>
      <w:lvlText w:val="%3."/>
      <w:lvlJc w:val="right"/>
      <w:pPr>
        <w:ind w:left="1800" w:hanging="180"/>
      </w:pPr>
    </w:lvl>
    <w:lvl w:ilvl="3" w:tplc="869A5EAA" w:tentative="1">
      <w:start w:val="1"/>
      <w:numFmt w:val="decimal"/>
      <w:lvlText w:val="%4."/>
      <w:lvlJc w:val="left"/>
      <w:pPr>
        <w:ind w:left="2520" w:hanging="360"/>
      </w:pPr>
    </w:lvl>
    <w:lvl w:ilvl="4" w:tplc="3A040AB2" w:tentative="1">
      <w:start w:val="1"/>
      <w:numFmt w:val="lowerLetter"/>
      <w:lvlText w:val="%5."/>
      <w:lvlJc w:val="left"/>
      <w:pPr>
        <w:ind w:left="3240" w:hanging="360"/>
      </w:pPr>
    </w:lvl>
    <w:lvl w:ilvl="5" w:tplc="B8BA4BD8" w:tentative="1">
      <w:start w:val="1"/>
      <w:numFmt w:val="lowerRoman"/>
      <w:lvlText w:val="%6."/>
      <w:lvlJc w:val="right"/>
      <w:pPr>
        <w:ind w:left="3960" w:hanging="180"/>
      </w:pPr>
    </w:lvl>
    <w:lvl w:ilvl="6" w:tplc="18944522" w:tentative="1">
      <w:start w:val="1"/>
      <w:numFmt w:val="decimal"/>
      <w:lvlText w:val="%7."/>
      <w:lvlJc w:val="left"/>
      <w:pPr>
        <w:ind w:left="4680" w:hanging="360"/>
      </w:pPr>
    </w:lvl>
    <w:lvl w:ilvl="7" w:tplc="968618B2" w:tentative="1">
      <w:start w:val="1"/>
      <w:numFmt w:val="lowerLetter"/>
      <w:lvlText w:val="%8."/>
      <w:lvlJc w:val="left"/>
      <w:pPr>
        <w:ind w:left="5400" w:hanging="360"/>
      </w:pPr>
    </w:lvl>
    <w:lvl w:ilvl="8" w:tplc="D62601A6" w:tentative="1">
      <w:start w:val="1"/>
      <w:numFmt w:val="lowerRoman"/>
      <w:lvlText w:val="%9."/>
      <w:lvlJc w:val="right"/>
      <w:pPr>
        <w:ind w:left="6120" w:hanging="180"/>
      </w:pPr>
    </w:lvl>
  </w:abstractNum>
  <w:abstractNum w:abstractNumId="13"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4"/>
  </w:num>
  <w:num w:numId="2">
    <w:abstractNumId w:val="7"/>
  </w:num>
  <w:num w:numId="3">
    <w:abstractNumId w:val="11"/>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0"/>
  </w:num>
  <w:num w:numId="11">
    <w:abstractNumId w:val="12"/>
  </w:num>
  <w:num w:numId="12">
    <w:abstractNumId w:val="12"/>
  </w:num>
  <w:num w:numId="13">
    <w:abstractNumId w:val="12"/>
  </w:num>
  <w:num w:numId="14">
    <w:abstractNumId w:val="12"/>
    <w:lvlOverride w:ilvl="0">
      <w:startOverride w:val="1"/>
    </w:lvlOverride>
  </w:num>
  <w:num w:numId="15">
    <w:abstractNumId w:val="12"/>
  </w:num>
  <w:num w:numId="16">
    <w:abstractNumId w:val="0"/>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5"/>
  </w:num>
  <w:num w:numId="20">
    <w:abstractNumId w:val="0"/>
    <w:lvlOverride w:ilvl="0">
      <w:startOverride w:val="1"/>
    </w:lvlOverride>
  </w:num>
  <w:num w:numId="21">
    <w:abstractNumId w:val="11"/>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0"/>
    <w:lvlOverride w:ilvl="0">
      <w:startOverride w:val="1"/>
    </w:lvlOverride>
  </w:num>
  <w:num w:numId="27">
    <w:abstractNumId w:val="8"/>
  </w:num>
  <w:num w:numId="28">
    <w:abstractNumId w:val="0"/>
    <w:lvlOverride w:ilvl="0">
      <w:startOverride w:val="1"/>
    </w:lvlOverride>
  </w:num>
  <w:num w:numId="29">
    <w:abstractNumId w:val="0"/>
    <w:lvlOverride w:ilvl="0">
      <w:startOverride w:val="1"/>
    </w:lvlOverride>
  </w:num>
  <w:num w:numId="30">
    <w:abstractNumId w:val="1"/>
  </w:num>
  <w:num w:numId="31">
    <w:abstractNumId w:val="0"/>
    <w:lvlOverride w:ilvl="0">
      <w:startOverride w:val="1"/>
    </w:lvlOverride>
  </w:num>
  <w:num w:numId="32">
    <w:abstractNumId w:val="0"/>
    <w:lvlOverride w:ilvl="0">
      <w:startOverride w:val="1"/>
    </w:lvlOverride>
  </w:num>
  <w:num w:numId="33">
    <w:abstractNumId w:val="9"/>
  </w:num>
  <w:num w:numId="34">
    <w:abstractNumId w:val="3"/>
  </w:num>
  <w:num w:numId="35">
    <w:abstractNumId w:val="6"/>
  </w:num>
  <w:num w:numId="36">
    <w:abstractNumId w:val="12"/>
    <w:lvlOverride w:ilvl="0">
      <w:startOverride w:val="1"/>
    </w:lvlOverride>
  </w:num>
  <w:num w:numId="3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 Title" w:val="Proficiency Testing Point of Care HPMC"/>
    <w:docVar w:name="Effective Date" w:val="Not Set"/>
    <w:docVar w:name="Original Creation Date" w:val="05/09/2023"/>
  </w:docVars>
  <w:rsids>
    <w:rsidRoot w:val="00A05FAA"/>
    <w:rsid w:val="00022B28"/>
    <w:rsid w:val="00022E65"/>
    <w:rsid w:val="00026C49"/>
    <w:rsid w:val="000347EB"/>
    <w:rsid w:val="00035CA8"/>
    <w:rsid w:val="0003641D"/>
    <w:rsid w:val="00036EC2"/>
    <w:rsid w:val="000553EF"/>
    <w:rsid w:val="000562B3"/>
    <w:rsid w:val="00064A9A"/>
    <w:rsid w:val="000676BB"/>
    <w:rsid w:val="00072C00"/>
    <w:rsid w:val="0008348F"/>
    <w:rsid w:val="00092447"/>
    <w:rsid w:val="00097591"/>
    <w:rsid w:val="000A09B1"/>
    <w:rsid w:val="000A1EA4"/>
    <w:rsid w:val="000A43F4"/>
    <w:rsid w:val="000A728C"/>
    <w:rsid w:val="000B033C"/>
    <w:rsid w:val="000B04ED"/>
    <w:rsid w:val="000C05F2"/>
    <w:rsid w:val="000C14D9"/>
    <w:rsid w:val="000C2A6A"/>
    <w:rsid w:val="000C6891"/>
    <w:rsid w:val="000D2C90"/>
    <w:rsid w:val="000D2EF1"/>
    <w:rsid w:val="000D51CC"/>
    <w:rsid w:val="000E3CE2"/>
    <w:rsid w:val="000E4334"/>
    <w:rsid w:val="000E5B8B"/>
    <w:rsid w:val="000E65E3"/>
    <w:rsid w:val="000E6907"/>
    <w:rsid w:val="000E758D"/>
    <w:rsid w:val="000F5CD6"/>
    <w:rsid w:val="001002EE"/>
    <w:rsid w:val="001028EE"/>
    <w:rsid w:val="0010697A"/>
    <w:rsid w:val="001073A9"/>
    <w:rsid w:val="001136AE"/>
    <w:rsid w:val="001307B1"/>
    <w:rsid w:val="00131331"/>
    <w:rsid w:val="00133E25"/>
    <w:rsid w:val="00135863"/>
    <w:rsid w:val="001413C5"/>
    <w:rsid w:val="00142476"/>
    <w:rsid w:val="00147218"/>
    <w:rsid w:val="00174F3C"/>
    <w:rsid w:val="001827EB"/>
    <w:rsid w:val="00185320"/>
    <w:rsid w:val="0019056B"/>
    <w:rsid w:val="0019262D"/>
    <w:rsid w:val="00196438"/>
    <w:rsid w:val="001A06E4"/>
    <w:rsid w:val="001A44EF"/>
    <w:rsid w:val="001A4B8D"/>
    <w:rsid w:val="001C0D78"/>
    <w:rsid w:val="001D1429"/>
    <w:rsid w:val="001D4731"/>
    <w:rsid w:val="001E2497"/>
    <w:rsid w:val="001E6D1E"/>
    <w:rsid w:val="001E73A6"/>
    <w:rsid w:val="00200A78"/>
    <w:rsid w:val="002032E0"/>
    <w:rsid w:val="00206E98"/>
    <w:rsid w:val="0021052D"/>
    <w:rsid w:val="00217743"/>
    <w:rsid w:val="002330EA"/>
    <w:rsid w:val="002347C1"/>
    <w:rsid w:val="002406B9"/>
    <w:rsid w:val="002413E5"/>
    <w:rsid w:val="002425FA"/>
    <w:rsid w:val="00245194"/>
    <w:rsid w:val="002451BA"/>
    <w:rsid w:val="00247A03"/>
    <w:rsid w:val="00250DCD"/>
    <w:rsid w:val="00251171"/>
    <w:rsid w:val="00253095"/>
    <w:rsid w:val="002544FF"/>
    <w:rsid w:val="002554A6"/>
    <w:rsid w:val="00256946"/>
    <w:rsid w:val="00256BD9"/>
    <w:rsid w:val="0026202E"/>
    <w:rsid w:val="002629AC"/>
    <w:rsid w:val="00262C5B"/>
    <w:rsid w:val="00274C26"/>
    <w:rsid w:val="00284B38"/>
    <w:rsid w:val="00285F6D"/>
    <w:rsid w:val="00287164"/>
    <w:rsid w:val="002973A2"/>
    <w:rsid w:val="002B0145"/>
    <w:rsid w:val="002B2FFF"/>
    <w:rsid w:val="002B7EAC"/>
    <w:rsid w:val="002E06AD"/>
    <w:rsid w:val="002E2BA6"/>
    <w:rsid w:val="002E7E39"/>
    <w:rsid w:val="002F64B9"/>
    <w:rsid w:val="00301570"/>
    <w:rsid w:val="003037E7"/>
    <w:rsid w:val="003041C6"/>
    <w:rsid w:val="00310484"/>
    <w:rsid w:val="00327C4D"/>
    <w:rsid w:val="0034059C"/>
    <w:rsid w:val="00341E64"/>
    <w:rsid w:val="003432C0"/>
    <w:rsid w:val="003509F9"/>
    <w:rsid w:val="00353C0F"/>
    <w:rsid w:val="00354570"/>
    <w:rsid w:val="003551FD"/>
    <w:rsid w:val="00366A9A"/>
    <w:rsid w:val="00372D6D"/>
    <w:rsid w:val="003766A1"/>
    <w:rsid w:val="0038097D"/>
    <w:rsid w:val="00380DF7"/>
    <w:rsid w:val="003821CE"/>
    <w:rsid w:val="00391558"/>
    <w:rsid w:val="00393BBD"/>
    <w:rsid w:val="00397944"/>
    <w:rsid w:val="003A497A"/>
    <w:rsid w:val="003A63DA"/>
    <w:rsid w:val="003A666B"/>
    <w:rsid w:val="003B0CBF"/>
    <w:rsid w:val="003B53B5"/>
    <w:rsid w:val="003B660A"/>
    <w:rsid w:val="003B6F7E"/>
    <w:rsid w:val="003C092E"/>
    <w:rsid w:val="003C4DEB"/>
    <w:rsid w:val="003C7519"/>
    <w:rsid w:val="003D7FD1"/>
    <w:rsid w:val="003F0C2D"/>
    <w:rsid w:val="003F3A39"/>
    <w:rsid w:val="004008F3"/>
    <w:rsid w:val="0040645B"/>
    <w:rsid w:val="004071A1"/>
    <w:rsid w:val="00411B16"/>
    <w:rsid w:val="00413A0C"/>
    <w:rsid w:val="00416FF3"/>
    <w:rsid w:val="0041764C"/>
    <w:rsid w:val="004235C5"/>
    <w:rsid w:val="004304BF"/>
    <w:rsid w:val="0044388D"/>
    <w:rsid w:val="004511F3"/>
    <w:rsid w:val="00451770"/>
    <w:rsid w:val="00461364"/>
    <w:rsid w:val="004619BF"/>
    <w:rsid w:val="00463AAA"/>
    <w:rsid w:val="0046616B"/>
    <w:rsid w:val="00474EBA"/>
    <w:rsid w:val="00491E5A"/>
    <w:rsid w:val="00494C27"/>
    <w:rsid w:val="004A683B"/>
    <w:rsid w:val="004C5749"/>
    <w:rsid w:val="004D58AA"/>
    <w:rsid w:val="004E01F1"/>
    <w:rsid w:val="004E0456"/>
    <w:rsid w:val="004E766F"/>
    <w:rsid w:val="004F3FAB"/>
    <w:rsid w:val="00501099"/>
    <w:rsid w:val="0052064A"/>
    <w:rsid w:val="0052326B"/>
    <w:rsid w:val="00523474"/>
    <w:rsid w:val="005235EA"/>
    <w:rsid w:val="00524D92"/>
    <w:rsid w:val="00526E21"/>
    <w:rsid w:val="00542F3C"/>
    <w:rsid w:val="005448BC"/>
    <w:rsid w:val="00551715"/>
    <w:rsid w:val="00553225"/>
    <w:rsid w:val="0055446D"/>
    <w:rsid w:val="00561CB9"/>
    <w:rsid w:val="0056313C"/>
    <w:rsid w:val="005870D2"/>
    <w:rsid w:val="005871EB"/>
    <w:rsid w:val="0059273D"/>
    <w:rsid w:val="00593284"/>
    <w:rsid w:val="00593A9F"/>
    <w:rsid w:val="00596FCE"/>
    <w:rsid w:val="005A4E3F"/>
    <w:rsid w:val="005B4471"/>
    <w:rsid w:val="005C0C7D"/>
    <w:rsid w:val="005C0EB7"/>
    <w:rsid w:val="005C144C"/>
    <w:rsid w:val="005C690D"/>
    <w:rsid w:val="005C7461"/>
    <w:rsid w:val="005D0115"/>
    <w:rsid w:val="005D2591"/>
    <w:rsid w:val="005D6FB4"/>
    <w:rsid w:val="005E5684"/>
    <w:rsid w:val="005E5CF7"/>
    <w:rsid w:val="005E7993"/>
    <w:rsid w:val="005E7DAC"/>
    <w:rsid w:val="005F2765"/>
    <w:rsid w:val="005F56F3"/>
    <w:rsid w:val="005F7018"/>
    <w:rsid w:val="005F7AD0"/>
    <w:rsid w:val="00605CB6"/>
    <w:rsid w:val="00606A36"/>
    <w:rsid w:val="00607FFA"/>
    <w:rsid w:val="006136F9"/>
    <w:rsid w:val="00620295"/>
    <w:rsid w:val="006260DA"/>
    <w:rsid w:val="006302E7"/>
    <w:rsid w:val="00642467"/>
    <w:rsid w:val="0064468E"/>
    <w:rsid w:val="00647DF5"/>
    <w:rsid w:val="00650915"/>
    <w:rsid w:val="006568DA"/>
    <w:rsid w:val="00657AE6"/>
    <w:rsid w:val="00661B1A"/>
    <w:rsid w:val="006736C5"/>
    <w:rsid w:val="00674718"/>
    <w:rsid w:val="00683267"/>
    <w:rsid w:val="00683CAE"/>
    <w:rsid w:val="006859D8"/>
    <w:rsid w:val="00691DA1"/>
    <w:rsid w:val="0069572C"/>
    <w:rsid w:val="006A1EF8"/>
    <w:rsid w:val="006A7525"/>
    <w:rsid w:val="006B1B95"/>
    <w:rsid w:val="006B4152"/>
    <w:rsid w:val="006B7B84"/>
    <w:rsid w:val="006C0CAB"/>
    <w:rsid w:val="006C2C85"/>
    <w:rsid w:val="006C37E2"/>
    <w:rsid w:val="006C6C7E"/>
    <w:rsid w:val="006E03C4"/>
    <w:rsid w:val="006E2203"/>
    <w:rsid w:val="006F20FA"/>
    <w:rsid w:val="006F342C"/>
    <w:rsid w:val="0071378D"/>
    <w:rsid w:val="007151C7"/>
    <w:rsid w:val="007156DD"/>
    <w:rsid w:val="00716A19"/>
    <w:rsid w:val="00720CD8"/>
    <w:rsid w:val="007220A8"/>
    <w:rsid w:val="007238BB"/>
    <w:rsid w:val="007258B2"/>
    <w:rsid w:val="00733951"/>
    <w:rsid w:val="00745A63"/>
    <w:rsid w:val="00760894"/>
    <w:rsid w:val="0076260C"/>
    <w:rsid w:val="00771B60"/>
    <w:rsid w:val="00772448"/>
    <w:rsid w:val="007767DA"/>
    <w:rsid w:val="00785422"/>
    <w:rsid w:val="007A767B"/>
    <w:rsid w:val="007A79F4"/>
    <w:rsid w:val="007B2DD3"/>
    <w:rsid w:val="007B3C9E"/>
    <w:rsid w:val="007B57FD"/>
    <w:rsid w:val="007B7E37"/>
    <w:rsid w:val="007C60EA"/>
    <w:rsid w:val="007D22C6"/>
    <w:rsid w:val="007F6B7A"/>
    <w:rsid w:val="00804CAE"/>
    <w:rsid w:val="00807A36"/>
    <w:rsid w:val="00813717"/>
    <w:rsid w:val="00816E35"/>
    <w:rsid w:val="00820F2D"/>
    <w:rsid w:val="00822A08"/>
    <w:rsid w:val="0082412E"/>
    <w:rsid w:val="00824D03"/>
    <w:rsid w:val="008460AD"/>
    <w:rsid w:val="00853232"/>
    <w:rsid w:val="0085714B"/>
    <w:rsid w:val="00860BDB"/>
    <w:rsid w:val="00862AEF"/>
    <w:rsid w:val="00863C01"/>
    <w:rsid w:val="00866359"/>
    <w:rsid w:val="00870E14"/>
    <w:rsid w:val="00872044"/>
    <w:rsid w:val="0088105A"/>
    <w:rsid w:val="008852EE"/>
    <w:rsid w:val="00887AE0"/>
    <w:rsid w:val="00890053"/>
    <w:rsid w:val="00893C16"/>
    <w:rsid w:val="008A29BB"/>
    <w:rsid w:val="008A36A1"/>
    <w:rsid w:val="008A7FE8"/>
    <w:rsid w:val="008B55D6"/>
    <w:rsid w:val="008B61CC"/>
    <w:rsid w:val="008C413A"/>
    <w:rsid w:val="008D5D61"/>
    <w:rsid w:val="008E16B1"/>
    <w:rsid w:val="008E261F"/>
    <w:rsid w:val="008E4FB8"/>
    <w:rsid w:val="008F3AB7"/>
    <w:rsid w:val="00902501"/>
    <w:rsid w:val="00904FFE"/>
    <w:rsid w:val="00920578"/>
    <w:rsid w:val="00923023"/>
    <w:rsid w:val="00926971"/>
    <w:rsid w:val="0093172B"/>
    <w:rsid w:val="0094557E"/>
    <w:rsid w:val="00952900"/>
    <w:rsid w:val="00952ADC"/>
    <w:rsid w:val="009623C8"/>
    <w:rsid w:val="00962F89"/>
    <w:rsid w:val="00974CB9"/>
    <w:rsid w:val="00982D37"/>
    <w:rsid w:val="00987EE9"/>
    <w:rsid w:val="00996275"/>
    <w:rsid w:val="009A3908"/>
    <w:rsid w:val="009A7393"/>
    <w:rsid w:val="009B6A9E"/>
    <w:rsid w:val="009B70B1"/>
    <w:rsid w:val="009B7C7D"/>
    <w:rsid w:val="009B7DF1"/>
    <w:rsid w:val="009C2A11"/>
    <w:rsid w:val="009C7A62"/>
    <w:rsid w:val="009D115E"/>
    <w:rsid w:val="009D2B08"/>
    <w:rsid w:val="009D69D9"/>
    <w:rsid w:val="009D6A6B"/>
    <w:rsid w:val="009D6F32"/>
    <w:rsid w:val="009E6AF7"/>
    <w:rsid w:val="009F4193"/>
    <w:rsid w:val="00A00C4F"/>
    <w:rsid w:val="00A033AC"/>
    <w:rsid w:val="00A05FAA"/>
    <w:rsid w:val="00A10198"/>
    <w:rsid w:val="00A139E6"/>
    <w:rsid w:val="00A153FF"/>
    <w:rsid w:val="00A1776F"/>
    <w:rsid w:val="00A2219E"/>
    <w:rsid w:val="00A46999"/>
    <w:rsid w:val="00A53D4F"/>
    <w:rsid w:val="00A65865"/>
    <w:rsid w:val="00A7748A"/>
    <w:rsid w:val="00A93F53"/>
    <w:rsid w:val="00A95CBA"/>
    <w:rsid w:val="00AB6757"/>
    <w:rsid w:val="00AC1232"/>
    <w:rsid w:val="00AD204B"/>
    <w:rsid w:val="00AD3ED3"/>
    <w:rsid w:val="00AD6497"/>
    <w:rsid w:val="00AD6EAA"/>
    <w:rsid w:val="00AE1BC2"/>
    <w:rsid w:val="00AE6A3C"/>
    <w:rsid w:val="00AF3C6E"/>
    <w:rsid w:val="00B033F7"/>
    <w:rsid w:val="00B03745"/>
    <w:rsid w:val="00B04543"/>
    <w:rsid w:val="00B048D9"/>
    <w:rsid w:val="00B159E2"/>
    <w:rsid w:val="00B1796D"/>
    <w:rsid w:val="00B24E08"/>
    <w:rsid w:val="00B31A6D"/>
    <w:rsid w:val="00B32CC8"/>
    <w:rsid w:val="00B33830"/>
    <w:rsid w:val="00B344BC"/>
    <w:rsid w:val="00B3456B"/>
    <w:rsid w:val="00B36034"/>
    <w:rsid w:val="00B3765F"/>
    <w:rsid w:val="00B40B6E"/>
    <w:rsid w:val="00B40CD8"/>
    <w:rsid w:val="00B459D0"/>
    <w:rsid w:val="00B476A4"/>
    <w:rsid w:val="00B56F84"/>
    <w:rsid w:val="00B73F85"/>
    <w:rsid w:val="00B80A9E"/>
    <w:rsid w:val="00B84425"/>
    <w:rsid w:val="00B87470"/>
    <w:rsid w:val="00B9216F"/>
    <w:rsid w:val="00B96DAD"/>
    <w:rsid w:val="00BB31C2"/>
    <w:rsid w:val="00BB7407"/>
    <w:rsid w:val="00BB7414"/>
    <w:rsid w:val="00BC1856"/>
    <w:rsid w:val="00BC1F42"/>
    <w:rsid w:val="00BC280A"/>
    <w:rsid w:val="00BC5C9E"/>
    <w:rsid w:val="00BC6988"/>
    <w:rsid w:val="00BD3BF0"/>
    <w:rsid w:val="00BD47A1"/>
    <w:rsid w:val="00BE0C19"/>
    <w:rsid w:val="00BE0DE4"/>
    <w:rsid w:val="00BE2EF5"/>
    <w:rsid w:val="00BE3B5F"/>
    <w:rsid w:val="00BF1D42"/>
    <w:rsid w:val="00BF4179"/>
    <w:rsid w:val="00BF5F7B"/>
    <w:rsid w:val="00C06601"/>
    <w:rsid w:val="00C135B8"/>
    <w:rsid w:val="00C158D3"/>
    <w:rsid w:val="00C31CE1"/>
    <w:rsid w:val="00C4787D"/>
    <w:rsid w:val="00C503CB"/>
    <w:rsid w:val="00C5052A"/>
    <w:rsid w:val="00C50630"/>
    <w:rsid w:val="00C62B47"/>
    <w:rsid w:val="00C63E5D"/>
    <w:rsid w:val="00C66A25"/>
    <w:rsid w:val="00C67BC1"/>
    <w:rsid w:val="00C71292"/>
    <w:rsid w:val="00C750CD"/>
    <w:rsid w:val="00C814A6"/>
    <w:rsid w:val="00C86665"/>
    <w:rsid w:val="00C86767"/>
    <w:rsid w:val="00C9041A"/>
    <w:rsid w:val="00C95B9D"/>
    <w:rsid w:val="00CA7E82"/>
    <w:rsid w:val="00CB26E1"/>
    <w:rsid w:val="00CC0B3E"/>
    <w:rsid w:val="00CC6583"/>
    <w:rsid w:val="00CD4F7C"/>
    <w:rsid w:val="00CD7420"/>
    <w:rsid w:val="00CE56A2"/>
    <w:rsid w:val="00CF2308"/>
    <w:rsid w:val="00CF4BE2"/>
    <w:rsid w:val="00CF4DC6"/>
    <w:rsid w:val="00D02414"/>
    <w:rsid w:val="00D11CD9"/>
    <w:rsid w:val="00D1490F"/>
    <w:rsid w:val="00D20EC1"/>
    <w:rsid w:val="00D33F1F"/>
    <w:rsid w:val="00D340EE"/>
    <w:rsid w:val="00D3656D"/>
    <w:rsid w:val="00D421A9"/>
    <w:rsid w:val="00D54417"/>
    <w:rsid w:val="00D572CE"/>
    <w:rsid w:val="00D61618"/>
    <w:rsid w:val="00D64644"/>
    <w:rsid w:val="00D7219A"/>
    <w:rsid w:val="00D77EDD"/>
    <w:rsid w:val="00D80D15"/>
    <w:rsid w:val="00D84A3E"/>
    <w:rsid w:val="00D93B19"/>
    <w:rsid w:val="00D96018"/>
    <w:rsid w:val="00D9745D"/>
    <w:rsid w:val="00DA0CD2"/>
    <w:rsid w:val="00DA39D9"/>
    <w:rsid w:val="00DA7E98"/>
    <w:rsid w:val="00DB1546"/>
    <w:rsid w:val="00DB1DB8"/>
    <w:rsid w:val="00DB5527"/>
    <w:rsid w:val="00DB617B"/>
    <w:rsid w:val="00DC0884"/>
    <w:rsid w:val="00DC3CD1"/>
    <w:rsid w:val="00DC46C4"/>
    <w:rsid w:val="00DC4CAB"/>
    <w:rsid w:val="00DC5F2B"/>
    <w:rsid w:val="00DD3BA0"/>
    <w:rsid w:val="00DD701F"/>
    <w:rsid w:val="00DD7A44"/>
    <w:rsid w:val="00DE2E06"/>
    <w:rsid w:val="00DE3F97"/>
    <w:rsid w:val="00DF1404"/>
    <w:rsid w:val="00DF54C6"/>
    <w:rsid w:val="00DF6E1E"/>
    <w:rsid w:val="00E04AAB"/>
    <w:rsid w:val="00E05795"/>
    <w:rsid w:val="00E079DB"/>
    <w:rsid w:val="00E235FD"/>
    <w:rsid w:val="00E26DD8"/>
    <w:rsid w:val="00E27893"/>
    <w:rsid w:val="00E4334E"/>
    <w:rsid w:val="00E4419B"/>
    <w:rsid w:val="00E5047D"/>
    <w:rsid w:val="00E60452"/>
    <w:rsid w:val="00E63D04"/>
    <w:rsid w:val="00E657CD"/>
    <w:rsid w:val="00E731F2"/>
    <w:rsid w:val="00E73EFC"/>
    <w:rsid w:val="00E7495B"/>
    <w:rsid w:val="00E76715"/>
    <w:rsid w:val="00E85228"/>
    <w:rsid w:val="00E85CEC"/>
    <w:rsid w:val="00E873C0"/>
    <w:rsid w:val="00E91657"/>
    <w:rsid w:val="00E91BFD"/>
    <w:rsid w:val="00E9336A"/>
    <w:rsid w:val="00E96A8E"/>
    <w:rsid w:val="00EA3318"/>
    <w:rsid w:val="00EA3447"/>
    <w:rsid w:val="00EA5BC7"/>
    <w:rsid w:val="00EA7CEE"/>
    <w:rsid w:val="00EC1026"/>
    <w:rsid w:val="00EC6337"/>
    <w:rsid w:val="00EC7EF2"/>
    <w:rsid w:val="00ED180A"/>
    <w:rsid w:val="00ED52DD"/>
    <w:rsid w:val="00ED771E"/>
    <w:rsid w:val="00EF4D17"/>
    <w:rsid w:val="00EF6FF9"/>
    <w:rsid w:val="00F24667"/>
    <w:rsid w:val="00F33D15"/>
    <w:rsid w:val="00F41790"/>
    <w:rsid w:val="00F44E83"/>
    <w:rsid w:val="00F455F9"/>
    <w:rsid w:val="00F45F34"/>
    <w:rsid w:val="00F55595"/>
    <w:rsid w:val="00F61739"/>
    <w:rsid w:val="00F66251"/>
    <w:rsid w:val="00F74775"/>
    <w:rsid w:val="00F81001"/>
    <w:rsid w:val="00F83075"/>
    <w:rsid w:val="00F85C8D"/>
    <w:rsid w:val="00F87244"/>
    <w:rsid w:val="00F921FA"/>
    <w:rsid w:val="00F93401"/>
    <w:rsid w:val="00F97592"/>
    <w:rsid w:val="00FA195B"/>
    <w:rsid w:val="00FA33E0"/>
    <w:rsid w:val="00FA3DD3"/>
    <w:rsid w:val="00FA6367"/>
    <w:rsid w:val="00FB13B2"/>
    <w:rsid w:val="00FD226B"/>
    <w:rsid w:val="00FD42FE"/>
    <w:rsid w:val="00FD60C5"/>
    <w:rsid w:val="00FD687D"/>
    <w:rsid w:val="00FF1238"/>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2224DE91"/>
  <w15:chartTrackingRefBased/>
  <w15:docId w15:val="{A1845E81-D6C0-4413-93C6-ABE5AEC8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character" w:styleId="Hyperlink">
    <w:name w:val="Hyperlink"/>
    <w:basedOn w:val="DefaultParagraphFont"/>
    <w:rsid w:val="00F45F34"/>
    <w:rPr>
      <w:color w:val="23346A" w:themeColor="hyperlink"/>
      <w:u w:val="single"/>
    </w:rPr>
  </w:style>
  <w:style w:type="paragraph" w:customStyle="1" w:styleId="Default">
    <w:name w:val="Default"/>
    <w:rsid w:val="00F45F34"/>
    <w:pPr>
      <w:autoSpaceDE w:val="0"/>
      <w:autoSpaceDN w:val="0"/>
      <w:adjustRightInd w:val="0"/>
    </w:pPr>
    <w:rPr>
      <w:rFonts w:ascii="Arial" w:hAnsi="Arial" w:cs="Arial"/>
      <w:color w:val="000000"/>
      <w:sz w:val="24"/>
      <w:szCs w:val="24"/>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100009127">
    <w:name w:val="Pt1100009127"/>
    <w:hidden/>
  </w:style>
  <w:style w:type="character" w:customStyle="1" w:styleId="Pt1000009127">
    <w:name w:val="Pt1000009127"/>
    <w:hidden/>
  </w:style>
  <w:style w:type="character" w:customStyle="1" w:styleId="Pt1200009127">
    <w:name w:val="Pt1200009127"/>
    <w:hidden/>
  </w:style>
  <w:style w:type="character" w:customStyle="1" w:styleId="Pt1300009127">
    <w:name w:val="Pt1300009127"/>
    <w:hidden/>
  </w:style>
  <w:style w:type="character" w:customStyle="1" w:styleId="Pt1400009127">
    <w:name w:val="Pt1400009127"/>
    <w:hidden/>
  </w:style>
  <w:style w:type="character" w:customStyle="1" w:styleId="Pt1100009129">
    <w:name w:val="Pt1100009129"/>
    <w:hidden/>
  </w:style>
  <w:style w:type="character" w:customStyle="1" w:styleId="Pt1000009129">
    <w:name w:val="Pt1000009129"/>
    <w:hidden/>
  </w:style>
  <w:style w:type="character" w:customStyle="1" w:styleId="Pt1200009129">
    <w:name w:val="Pt1200009129"/>
    <w:hidden/>
  </w:style>
  <w:style w:type="character" w:customStyle="1" w:styleId="Pt1300009129">
    <w:name w:val="Pt1300009129"/>
    <w:hidden/>
  </w:style>
  <w:style w:type="character" w:customStyle="1" w:styleId="Pt1400009129">
    <w:name w:val="Pt1400009129"/>
    <w:hidden/>
  </w:style>
  <w:style w:type="character" w:customStyle="1" w:styleId="Pt1100009136">
    <w:name w:val="Pt1100009136"/>
    <w:hidden/>
  </w:style>
  <w:style w:type="character" w:customStyle="1" w:styleId="Pt1000009136">
    <w:name w:val="Pt1000009136"/>
    <w:hidden/>
  </w:style>
  <w:style w:type="character" w:customStyle="1" w:styleId="Pt1200009136">
    <w:name w:val="Pt1200009136"/>
    <w:hidden/>
  </w:style>
  <w:style w:type="character" w:customStyle="1" w:styleId="Pt1300009136">
    <w:name w:val="Pt1300009136"/>
    <w:hidden/>
  </w:style>
  <w:style w:type="character" w:customStyle="1" w:styleId="Pt1400009136">
    <w:name w:val="Pt1400009136"/>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ms.gov/Regulations-and-Guidance/Legislation/CLIA/Proficiency_Testing_Providers" TargetMode="External"/><Relationship Id="rId18" Type="http://schemas.openxmlformats.org/officeDocument/2006/relationships/hyperlink" Target="https://www.cms.gov/Regulations-and-Guidance/Legislation/CLIA/Proficiency_Testing_Providers"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ms.gov/Regulations-and-Guidance/Legislation/CLIA/Downloads/CLIAbrochure8.pdf"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cms.gov/Regulations-and-Guidance/Legislation/CLIA/Proficiency_Testing_Provide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eader" Target="header4.xml"/><Relationship Id="rId30"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CDC4F52-9D40-41E8-94AB-9CD88966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4615</Words>
  <Characters>27447</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creator>Cynthia Wall</dc:creator>
  <cp:lastModifiedBy>Valerie Jordan-Banks</cp:lastModifiedBy>
  <cp:revision>2</cp:revision>
  <cp:lastPrinted>2011-02-16T21:14:00Z</cp:lastPrinted>
  <dcterms:created xsi:type="dcterms:W3CDTF">2023-05-09T18:45:00Z</dcterms:created>
  <dcterms:modified xsi:type="dcterms:W3CDTF">2023-05-09T18:45:00Z</dcterms:modified>
</cp:coreProperties>
</file>