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B623" w14:textId="77777777" w:rsidR="00606A36" w:rsidRPr="00D84A3E" w:rsidRDefault="001C63A8" w:rsidP="00887AE0">
      <w:pPr>
        <w:pStyle w:val="Heading1"/>
      </w:pPr>
      <w:r>
        <w:t>Applicable Laboratory(s)</w:t>
      </w:r>
      <w:r w:rsidR="00606A36" w:rsidRPr="00D84A3E">
        <w:t>)</w:t>
      </w:r>
      <w:r w:rsidR="00606A36">
        <w:t>:</w:t>
      </w:r>
    </w:p>
    <w:p w14:paraId="53FF0DF1"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7AC6BD59" w14:textId="77777777" w:rsidR="00606A36" w:rsidRPr="00887AE0" w:rsidRDefault="00F36359" w:rsidP="0056313C">
      <w:pPr>
        <w:rPr>
          <w:rFonts w:cs="Arial"/>
        </w:rPr>
      </w:pPr>
      <w:sdt>
        <w:sdtPr>
          <w:id w:val="-761983799"/>
          <w14:checkbox>
            <w14:checked w14:val="1"/>
            <w14:checkedState w14:val="2612" w14:font="MS Gothic"/>
            <w14:uncheckedState w14:val="2610" w14:font="MS Gothic"/>
          </w14:checkbox>
        </w:sdtPr>
        <w:sdtEndPr/>
        <w:sdtContent>
          <w:r w:rsidR="00EA4BD1">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355B07A1" w14:textId="77777777" w:rsidR="00606A36" w:rsidRPr="00887AE0" w:rsidRDefault="00F36359"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14:paraId="00406E8E" w14:textId="77777777" w:rsidR="00606A36" w:rsidRPr="00887AE0" w:rsidRDefault="00F36359"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42DDE081" w14:textId="77777777" w:rsidR="00606A36" w:rsidRPr="00887AE0" w:rsidRDefault="00F36359"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54FA8111" w14:textId="77777777" w:rsidR="00606A36" w:rsidRPr="00887AE0" w:rsidRDefault="00F36359"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293646FD" w14:textId="77777777" w:rsidR="00606A36" w:rsidRDefault="00F36359"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224E1B46" w14:textId="77777777" w:rsidR="00636B43" w:rsidRDefault="00F36359"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29790B39" w14:textId="77777777" w:rsidR="00BF5F7B" w:rsidRDefault="00BF5F7B" w:rsidP="00BF5F7B"/>
    <w:p w14:paraId="23B0456D" w14:textId="77777777" w:rsidR="00353C0F" w:rsidRDefault="00524D92" w:rsidP="00BF5F7B">
      <w:pPr>
        <w:pStyle w:val="Heading1"/>
      </w:pPr>
      <w:r>
        <w:t>Procedure</w:t>
      </w:r>
      <w:r w:rsidR="00B048D9">
        <w:t xml:space="preserve"> Statement</w:t>
      </w:r>
    </w:p>
    <w:p w14:paraId="3C643785" w14:textId="77777777" w:rsidR="00BF5F7B" w:rsidRDefault="00BF5F7B" w:rsidP="00887AE0"/>
    <w:p w14:paraId="6BB2C9BF" w14:textId="77777777" w:rsidR="008E16B1" w:rsidRDefault="008E16B1" w:rsidP="00887AE0">
      <w:r>
        <w:t xml:space="preserve">The purpose of this </w:t>
      </w:r>
      <w:r w:rsidR="00B80B6D">
        <w:t xml:space="preserve">policy is </w:t>
      </w:r>
      <w:r w:rsidR="00EA4BD1">
        <w:t xml:space="preserve">to outline the requirements for ABO/RH determination on patients with NO prior ABO/RH history. </w:t>
      </w:r>
    </w:p>
    <w:p w14:paraId="44F29BD3" w14:textId="77777777" w:rsidR="0056313C" w:rsidRDefault="0056313C" w:rsidP="00887AE0"/>
    <w:p w14:paraId="2A50B5CF" w14:textId="77777777" w:rsidR="00B048D9" w:rsidRDefault="00B048D9" w:rsidP="00887AE0">
      <w:pPr>
        <w:pStyle w:val="Heading1"/>
      </w:pPr>
      <w:r>
        <w:t>Scope</w:t>
      </w:r>
    </w:p>
    <w:p w14:paraId="755B9CF7" w14:textId="77777777" w:rsidR="0056313C" w:rsidRDefault="0056313C" w:rsidP="0056313C"/>
    <w:p w14:paraId="56A1969B" w14:textId="77777777" w:rsidR="00FE32AC" w:rsidRDefault="00FE32AC" w:rsidP="00FE32AC">
      <w:r>
        <w:t xml:space="preserve">i.    Protocol owner/Implementer:  </w:t>
      </w:r>
      <w:r w:rsidR="000A6017">
        <w:t>Emmanuel Fadeyi</w:t>
      </w:r>
    </w:p>
    <w:p w14:paraId="101BA149" w14:textId="77777777" w:rsidR="00FE32AC" w:rsidRDefault="00FE32AC" w:rsidP="00FE32AC">
      <w:r>
        <w:t>ii.</w:t>
      </w:r>
      <w:r>
        <w:tab/>
        <w:t>Protocol prepared by:  Julie H. Simmons</w:t>
      </w:r>
    </w:p>
    <w:p w14:paraId="0F07335B" w14:textId="77777777" w:rsidR="00FE32AC" w:rsidRDefault="00FE32AC" w:rsidP="00FE32AC">
      <w:r>
        <w:t>iii.</w:t>
      </w:r>
      <w:r>
        <w:tab/>
        <w:t xml:space="preserve">Who performs protocol:     Department staff/management       </w:t>
      </w:r>
    </w:p>
    <w:p w14:paraId="2249E8A0" w14:textId="77777777" w:rsidR="00FE32AC" w:rsidRPr="00B3765F" w:rsidRDefault="00FE32AC" w:rsidP="00FE32AC"/>
    <w:p w14:paraId="086E0F4E" w14:textId="77777777" w:rsidR="002451BA" w:rsidRPr="00B3765F" w:rsidRDefault="002451BA" w:rsidP="0056313C"/>
    <w:p w14:paraId="014DDA43" w14:textId="77777777" w:rsidR="00B048D9" w:rsidRDefault="00B048D9" w:rsidP="00887AE0">
      <w:pPr>
        <w:pStyle w:val="Heading1"/>
      </w:pPr>
      <w:r>
        <w:t>Definitions</w:t>
      </w:r>
    </w:p>
    <w:p w14:paraId="22BAF54A" w14:textId="77777777" w:rsidR="00BF5F7B" w:rsidRPr="00BF5F7B" w:rsidRDefault="00BF5F7B" w:rsidP="00BF5F7B"/>
    <w:p w14:paraId="7960CD28" w14:textId="77777777" w:rsidR="003C4DEB" w:rsidRDefault="00524D92" w:rsidP="00110234">
      <w:pPr>
        <w:pStyle w:val="ListParagraph"/>
      </w:pPr>
      <w:r>
        <w:t>P</w:t>
      </w:r>
      <w:r w:rsidR="00110234">
        <w:t xml:space="preserve">olicy: </w:t>
      </w:r>
      <w:r w:rsidR="003C4DEB" w:rsidRPr="00887AE0">
        <w:t xml:space="preserve"> </w:t>
      </w:r>
      <w:r w:rsidR="00110234">
        <w:t>As defined in the Policy on Creating and Amending Policy, a statement of principle that is developed for the purpose of guiding decisions and activities related to governance, administration, or management of care, treatment, services or other activities of WFBH.  A policy may help to ensure compliance with applicable laws and regulations, promote one or more of the missions of WFBH, contain guidelines for governance, and set parameters within which faculty, staff, students, visitors and others are expected to operate.</w:t>
      </w:r>
    </w:p>
    <w:p w14:paraId="11AB627F" w14:textId="77777777" w:rsidR="00854115" w:rsidRPr="00854115" w:rsidRDefault="00854115" w:rsidP="00854115"/>
    <w:p w14:paraId="76EE4DAB" w14:textId="77777777"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14:paraId="2F26876B" w14:textId="77777777" w:rsidR="00FE32AC" w:rsidRDefault="00FE32AC" w:rsidP="00FE32AC"/>
    <w:p w14:paraId="7425D5BB" w14:textId="77777777" w:rsidR="00854115" w:rsidRDefault="000A2499" w:rsidP="00854115">
      <w:pPr>
        <w:pStyle w:val="ListParagraph"/>
      </w:pPr>
      <w:r>
        <w:t>TYHD</w:t>
      </w:r>
      <w:r w:rsidR="00854115">
        <w:t>:  Type and Screen</w:t>
      </w:r>
    </w:p>
    <w:p w14:paraId="6A855A2C" w14:textId="77777777" w:rsidR="00854115" w:rsidRPr="00854115" w:rsidRDefault="00854115" w:rsidP="00854115"/>
    <w:p w14:paraId="18E131EA" w14:textId="77777777" w:rsidR="00854115" w:rsidRPr="00854115" w:rsidRDefault="000A2499" w:rsidP="00854115">
      <w:pPr>
        <w:pStyle w:val="ListParagraph"/>
      </w:pPr>
      <w:r>
        <w:t>Sunquest</w:t>
      </w:r>
      <w:r w:rsidR="00854115">
        <w:t xml:space="preserve">:  Blood Bank computer system </w:t>
      </w:r>
    </w:p>
    <w:p w14:paraId="12448F04" w14:textId="77777777" w:rsidR="00854115" w:rsidRDefault="00854115" w:rsidP="00854115"/>
    <w:p w14:paraId="6B2F37FC" w14:textId="77777777" w:rsidR="00EA4BD1" w:rsidRPr="00830F9F" w:rsidRDefault="00EA4BD1" w:rsidP="00EA4BD1">
      <w:pPr>
        <w:pStyle w:val="ListParagraph"/>
        <w:rPr>
          <w:u w:val="single"/>
        </w:rPr>
      </w:pPr>
      <w:r w:rsidRPr="00830F9F">
        <w:rPr>
          <w:u w:val="single"/>
        </w:rPr>
        <w:lastRenderedPageBreak/>
        <w:t>AABB Standards</w:t>
      </w:r>
      <w:r w:rsidR="00DC6660" w:rsidRPr="00830F9F">
        <w:rPr>
          <w:u w:val="single"/>
        </w:rPr>
        <w:t xml:space="preserve">: </w:t>
      </w:r>
    </w:p>
    <w:p w14:paraId="0D83ACD8" w14:textId="77777777" w:rsidR="00EA4BD1" w:rsidRPr="00EA4BD1" w:rsidRDefault="00EA4BD1" w:rsidP="00EA4BD1">
      <w:pPr>
        <w:ind w:left="360"/>
        <w:rPr>
          <w:b/>
        </w:rPr>
      </w:pPr>
      <w:r w:rsidRPr="00EA4BD1">
        <w:rPr>
          <w:b/>
        </w:rPr>
        <w:t>5.11 Samples and Requests</w:t>
      </w:r>
    </w:p>
    <w:p w14:paraId="0F8A9C56" w14:textId="77777777" w:rsidR="00EA4BD1" w:rsidRPr="00EA4BD1" w:rsidRDefault="00EA4BD1" w:rsidP="00EA4BD1">
      <w:pPr>
        <w:ind w:left="720"/>
      </w:pPr>
      <w:r>
        <w:t xml:space="preserve">Identifying information of the patient and the sample shall correspond and be confirmed at the time of collection using two independent identifiers. </w:t>
      </w:r>
    </w:p>
    <w:p w14:paraId="539C35C1" w14:textId="77777777" w:rsidR="00EA4BD1" w:rsidRPr="00EA4BD1" w:rsidRDefault="00EA4BD1" w:rsidP="00EA4BD1">
      <w:pPr>
        <w:ind w:left="360"/>
        <w:rPr>
          <w:b/>
        </w:rPr>
      </w:pPr>
      <w:r w:rsidRPr="00EA4BD1">
        <w:rPr>
          <w:b/>
        </w:rPr>
        <w:t>5.14.1  ABO Group</w:t>
      </w:r>
    </w:p>
    <w:p w14:paraId="2AC714E4" w14:textId="77777777" w:rsidR="00EA4BD1" w:rsidRDefault="00EA4BD1" w:rsidP="00EA4BD1">
      <w:pPr>
        <w:ind w:left="720"/>
      </w:pPr>
      <w:r>
        <w:t>The ABO group shall be determined by testing the red cells with anti-A and anti-B reagents and by testing the serum or plasma f</w:t>
      </w:r>
      <w:r w:rsidR="00036F38">
        <w:t>or</w:t>
      </w:r>
      <w:r>
        <w:t xml:space="preserve"> expected antibodies with A1 and B reagent red cells.  If a discrepancy is detected and transfusion is necessary before resolution, only Group O Red Blood Cells shall be issued.</w:t>
      </w:r>
    </w:p>
    <w:p w14:paraId="32793842" w14:textId="77777777" w:rsidR="00EA4BD1" w:rsidRPr="00EA4BD1" w:rsidRDefault="00EA4BD1" w:rsidP="00EA4BD1">
      <w:pPr>
        <w:ind w:left="360"/>
      </w:pPr>
    </w:p>
    <w:p w14:paraId="6F70161D" w14:textId="77777777" w:rsidR="00EA4BD1" w:rsidRDefault="00EA4BD1" w:rsidP="00EA4BD1">
      <w:pPr>
        <w:ind w:left="360"/>
        <w:rPr>
          <w:b/>
        </w:rPr>
      </w:pPr>
      <w:r w:rsidRPr="00EA4BD1">
        <w:rPr>
          <w:b/>
        </w:rPr>
        <w:t xml:space="preserve">5.14.5  Pretransfusion Testing for Allogeneic Transfusion of Whole Blood, Red Blood </w:t>
      </w:r>
    </w:p>
    <w:p w14:paraId="3A0D4415" w14:textId="77777777" w:rsidR="00EA4BD1" w:rsidRDefault="00EA4BD1" w:rsidP="00EA4BD1">
      <w:pPr>
        <w:ind w:left="360"/>
      </w:pPr>
      <w:r>
        <w:rPr>
          <w:b/>
        </w:rPr>
        <w:tab/>
      </w:r>
      <w:r w:rsidRPr="00EA4BD1">
        <w:rPr>
          <w:b/>
        </w:rPr>
        <w:t>Cell, and Granulocyte Components</w:t>
      </w:r>
      <w:r>
        <w:t>.</w:t>
      </w:r>
    </w:p>
    <w:p w14:paraId="29F9A2B0" w14:textId="77777777" w:rsidR="00EA4BD1" w:rsidRDefault="00EA4BD1" w:rsidP="00EA4BD1">
      <w:pPr>
        <w:ind w:left="720"/>
      </w:pPr>
      <w:r>
        <w:t>There shall be two determinations of the recipient’s ABO group as specified in Standard 5.14.1.  The first determination shall be performed on a current sample</w:t>
      </w:r>
      <w:r w:rsidR="006E4E76">
        <w:t xml:space="preserve"> </w:t>
      </w:r>
      <w:r>
        <w:t>a</w:t>
      </w:r>
      <w:r w:rsidR="006E4E76">
        <w:t>nd</w:t>
      </w:r>
      <w:r>
        <w:t xml:space="preserve"> the second determination by one of the following methods:</w:t>
      </w:r>
    </w:p>
    <w:p w14:paraId="68E2F13B" w14:textId="77777777" w:rsidR="00EA4BD1" w:rsidRDefault="00EA4BD1" w:rsidP="00EA4BD1">
      <w:pPr>
        <w:pStyle w:val="ListParagraph"/>
        <w:numPr>
          <w:ilvl w:val="0"/>
          <w:numId w:val="15"/>
        </w:numPr>
      </w:pPr>
      <w:r>
        <w:t xml:space="preserve">Comparison with </w:t>
      </w:r>
      <w:r w:rsidR="006E4E76">
        <w:t>previous</w:t>
      </w:r>
      <w:r>
        <w:t xml:space="preserve"> </w:t>
      </w:r>
      <w:r w:rsidR="006E4E76">
        <w:t>records</w:t>
      </w:r>
    </w:p>
    <w:p w14:paraId="654D6695" w14:textId="77777777" w:rsidR="00EA4BD1" w:rsidRDefault="00EA4BD1" w:rsidP="00EA4BD1">
      <w:pPr>
        <w:pStyle w:val="ListParagraph"/>
        <w:numPr>
          <w:ilvl w:val="0"/>
          <w:numId w:val="15"/>
        </w:numPr>
      </w:pPr>
      <w:r>
        <w:t>Testing a second sample collected at a time different from the first sample, including a new verification of patient identification.</w:t>
      </w:r>
    </w:p>
    <w:p w14:paraId="65654F86" w14:textId="77777777" w:rsidR="00EA4BD1" w:rsidRDefault="00EA4BD1" w:rsidP="00EA4BD1">
      <w:pPr>
        <w:pStyle w:val="ListParagraph"/>
        <w:numPr>
          <w:ilvl w:val="0"/>
          <w:numId w:val="15"/>
        </w:numPr>
      </w:pPr>
      <w:r>
        <w:t>Retesting the same sample</w:t>
      </w:r>
      <w:r w:rsidR="00CA55ED">
        <w:t xml:space="preserve"> </w:t>
      </w:r>
      <w:r>
        <w:t>if patient identification was verified using a validated electronic identification system.</w:t>
      </w:r>
    </w:p>
    <w:p w14:paraId="7AA8A902" w14:textId="77777777" w:rsidR="00EA4BD1" w:rsidRPr="00EA4BD1" w:rsidRDefault="00EA4BD1" w:rsidP="00EA4BD1">
      <w:pPr>
        <w:ind w:left="360" w:firstLine="360"/>
      </w:pPr>
      <w:r>
        <w:t>Standards 5.11 and 5.27.1 apply.</w:t>
      </w:r>
    </w:p>
    <w:p w14:paraId="3368B00F" w14:textId="77777777" w:rsidR="00EA4BD1" w:rsidRDefault="00EA4BD1" w:rsidP="00EA4BD1">
      <w:pPr>
        <w:ind w:left="360"/>
      </w:pPr>
      <w:r w:rsidRPr="00EA4BD1">
        <w:rPr>
          <w:b/>
        </w:rPr>
        <w:t xml:space="preserve">5.27.1 </w:t>
      </w:r>
      <w:r w:rsidRPr="00EA4BD1">
        <w:t>Re</w:t>
      </w:r>
      <w:r>
        <w:t xml:space="preserve">cipients whose ABO group is not known or has not been confirmed shall receive </w:t>
      </w:r>
    </w:p>
    <w:p w14:paraId="5236EC84" w14:textId="77777777" w:rsidR="003C4DEB" w:rsidRDefault="00EA4BD1" w:rsidP="00EA4BD1">
      <w:pPr>
        <w:ind w:left="360"/>
      </w:pPr>
      <w:r>
        <w:rPr>
          <w:b/>
        </w:rPr>
        <w:tab/>
      </w:r>
      <w:r>
        <w:t xml:space="preserve">group O Red Blood Cells or low-titer group O Whole Blood. </w:t>
      </w:r>
    </w:p>
    <w:p w14:paraId="201C5F38" w14:textId="77777777" w:rsidR="00BC5EFA" w:rsidRPr="00605CB6" w:rsidRDefault="00BC5EFA" w:rsidP="00EA4BD1">
      <w:pPr>
        <w:ind w:left="360"/>
      </w:pPr>
    </w:p>
    <w:p w14:paraId="7B7DA3F5" w14:textId="77777777" w:rsidR="00BC5EFA" w:rsidRPr="00BC5EFA" w:rsidRDefault="00BC5EFA" w:rsidP="00830F9F">
      <w:pPr>
        <w:pStyle w:val="ListParagraph"/>
      </w:pPr>
      <w:r w:rsidRPr="00BC5EFA">
        <w:t>CAP Checklist</w:t>
      </w:r>
    </w:p>
    <w:p w14:paraId="1E07EC2F" w14:textId="77777777" w:rsidR="00BC5EFA" w:rsidRDefault="00BC5EFA" w:rsidP="00BC5EFA">
      <w:r w:rsidRPr="00BC5EFA">
        <w:rPr>
          <w:b/>
        </w:rPr>
        <w:t>TRM.30575 Misidentification Risk</w:t>
      </w:r>
      <w:r>
        <w:t xml:space="preserve"> </w:t>
      </w:r>
    </w:p>
    <w:p w14:paraId="30FC9C6B" w14:textId="77777777" w:rsidR="00BC5EFA" w:rsidRDefault="00BC5EFA" w:rsidP="00BC5EFA">
      <w:r>
        <w:t xml:space="preserve">The facility has a system to reduce the risk of </w:t>
      </w:r>
      <w:proofErr w:type="spellStart"/>
      <w:r>
        <w:t>mistransfusion</w:t>
      </w:r>
      <w:proofErr w:type="spellEnd"/>
      <w:r>
        <w:t xml:space="preserve"> for non-emergent red cell</w:t>
      </w:r>
    </w:p>
    <w:p w14:paraId="66098A70" w14:textId="77777777" w:rsidR="00BC5EFA" w:rsidRDefault="00BC5EFA" w:rsidP="00BC5EFA">
      <w:r>
        <w:t>transfusions.</w:t>
      </w:r>
    </w:p>
    <w:p w14:paraId="1710D52A" w14:textId="77777777" w:rsidR="00BC5EFA" w:rsidRDefault="00BC5EFA" w:rsidP="00BC5EFA">
      <w:r>
        <w:t xml:space="preserve">NOTE: </w:t>
      </w:r>
      <w:proofErr w:type="spellStart"/>
      <w:r>
        <w:t>Mistransfusion</w:t>
      </w:r>
      <w:proofErr w:type="spellEnd"/>
      <w:r>
        <w:t xml:space="preserve"> occurs from misidentification of the intended recipient at the time of</w:t>
      </w:r>
    </w:p>
    <w:p w14:paraId="7BCE6400" w14:textId="77777777" w:rsidR="00BC5EFA" w:rsidRDefault="00BC5EFA" w:rsidP="00BC5EFA">
      <w:r>
        <w:t>specimen collection for pretransfusion testing, during laboratory testing and preparation of</w:t>
      </w:r>
    </w:p>
    <w:p w14:paraId="37DF5999" w14:textId="77777777" w:rsidR="00BC5EFA" w:rsidRDefault="00BC5EFA" w:rsidP="00BC5EFA">
      <w:r>
        <w:t>units to be issued, and at the time of transfusion. Misidentification at sample collection occurs</w:t>
      </w:r>
    </w:p>
    <w:p w14:paraId="0E7D1754" w14:textId="77777777" w:rsidR="00BC5EFA" w:rsidRDefault="00BC5EFA" w:rsidP="00BC5EFA">
      <w:r>
        <w:t>approximately once in every 1,000 samples, and in one in every 12,000 transfusions the recipient</w:t>
      </w:r>
      <w:r w:rsidR="00FE32AC">
        <w:t xml:space="preserve"> </w:t>
      </w:r>
      <w:r>
        <w:t>receives a unit not intended for or not properly selected for him/her.</w:t>
      </w:r>
    </w:p>
    <w:p w14:paraId="6FF4B5B3" w14:textId="77777777" w:rsidR="00BC5EFA" w:rsidRDefault="00BC5EFA" w:rsidP="00BC5EFA">
      <w:r>
        <w:t>Risk reduction options that might be considered include:</w:t>
      </w:r>
    </w:p>
    <w:p w14:paraId="19EB791C" w14:textId="77777777" w:rsidR="00BC5EFA" w:rsidRDefault="00BC5EFA" w:rsidP="00BC5EFA">
      <w:pPr>
        <w:ind w:left="720"/>
      </w:pPr>
      <w:r>
        <w:t>● Verifying the ABO group of the intended recipient on a second sample collected</w:t>
      </w:r>
    </w:p>
    <w:p w14:paraId="7991DBFE" w14:textId="77777777" w:rsidR="00BC5EFA" w:rsidRDefault="00BC5EFA" w:rsidP="00BC5EFA">
      <w:pPr>
        <w:ind w:left="1080"/>
      </w:pPr>
      <w:r>
        <w:t>at a separate phlebotomy (including the recording of the result in the institution's</w:t>
      </w:r>
    </w:p>
    <w:p w14:paraId="6BB1A1A5" w14:textId="77777777" w:rsidR="00BC5EFA" w:rsidRDefault="00BC5EFA" w:rsidP="00BC5EFA">
      <w:pPr>
        <w:ind w:left="1080"/>
      </w:pPr>
      <w:r>
        <w:t>historical record)</w:t>
      </w:r>
    </w:p>
    <w:p w14:paraId="1893393F" w14:textId="77777777" w:rsidR="00BC5EFA" w:rsidRDefault="00BC5EFA" w:rsidP="00BC5EFA">
      <w:pPr>
        <w:ind w:left="720"/>
      </w:pPr>
      <w:r>
        <w:t>● Utilizing a mechanical barrier system</w:t>
      </w:r>
    </w:p>
    <w:p w14:paraId="6307D491" w14:textId="77777777" w:rsidR="00BC5EFA" w:rsidRDefault="00BC5EFA" w:rsidP="00BC5EFA">
      <w:pPr>
        <w:ind w:left="720"/>
      </w:pPr>
      <w:r>
        <w:t>● Utilizing an electronic identification verification system that ensures that the</w:t>
      </w:r>
    </w:p>
    <w:p w14:paraId="3E729EBC" w14:textId="77777777" w:rsidR="00BC5EFA" w:rsidRDefault="00BC5EFA" w:rsidP="00BC5EFA">
      <w:pPr>
        <w:ind w:left="1080"/>
      </w:pPr>
      <w:r>
        <w:t>patient from whom the pretransfusion specimen was collected is the same</w:t>
      </w:r>
    </w:p>
    <w:p w14:paraId="4E4066E4" w14:textId="77777777" w:rsidR="00BC5EFA" w:rsidRDefault="00BC5EFA" w:rsidP="00BC5EFA">
      <w:pPr>
        <w:ind w:left="1080"/>
      </w:pPr>
      <w:r>
        <w:t>patient who is about to be transfused</w:t>
      </w:r>
    </w:p>
    <w:p w14:paraId="17B81571" w14:textId="77777777" w:rsidR="00BC5EFA" w:rsidRDefault="00BC5EFA" w:rsidP="00BC5EFA">
      <w:pPr>
        <w:ind w:left="720"/>
      </w:pPr>
      <w:r>
        <w:t xml:space="preserve">● Other approaches capable of reducing the risk of </w:t>
      </w:r>
      <w:proofErr w:type="spellStart"/>
      <w:r>
        <w:t>mistransfusion</w:t>
      </w:r>
      <w:proofErr w:type="spellEnd"/>
      <w:r>
        <w:t>.</w:t>
      </w:r>
    </w:p>
    <w:p w14:paraId="0C1B5703" w14:textId="77777777" w:rsidR="00BC5EFA" w:rsidRDefault="00BC5EFA" w:rsidP="00BC5EFA">
      <w:r>
        <w:t>The laboratory is expected to participate in monitoring the effectiveness of the system that it</w:t>
      </w:r>
    </w:p>
    <w:p w14:paraId="0FE5C218" w14:textId="77777777" w:rsidR="00BC5EFA" w:rsidRDefault="00BC5EFA" w:rsidP="00BC5EFA">
      <w:r>
        <w:t>implements.</w:t>
      </w:r>
    </w:p>
    <w:p w14:paraId="7C53C870" w14:textId="77777777" w:rsidR="00BC5EFA" w:rsidRDefault="00BC5EFA" w:rsidP="00BC5EFA">
      <w:r>
        <w:t>The laboratory should also consider improvements in procedures and/or educational efforts as</w:t>
      </w:r>
    </w:p>
    <w:p w14:paraId="353D79F5" w14:textId="77777777" w:rsidR="00A2219E" w:rsidRDefault="00BC5EFA" w:rsidP="00BC5EFA">
      <w:r>
        <w:t xml:space="preserve">part of its program to reduce the risk of </w:t>
      </w:r>
      <w:proofErr w:type="spellStart"/>
      <w:r>
        <w:t>mistransfusion</w:t>
      </w:r>
      <w:proofErr w:type="spellEnd"/>
      <w:r>
        <w:t>.</w:t>
      </w:r>
    </w:p>
    <w:p w14:paraId="127C7CDB" w14:textId="77777777" w:rsidR="00BC5EFA" w:rsidRDefault="00BC5EFA" w:rsidP="00BC5EFA"/>
    <w:p w14:paraId="4CCE90A9" w14:textId="77777777" w:rsidR="00FE32AC" w:rsidRDefault="00FE32AC" w:rsidP="00BC5EFA"/>
    <w:p w14:paraId="2B907897" w14:textId="77777777" w:rsidR="00854115" w:rsidRDefault="00854115" w:rsidP="00BC5EFA"/>
    <w:p w14:paraId="606F007C" w14:textId="77777777" w:rsidR="00854115" w:rsidRDefault="00854115" w:rsidP="00BC5EFA"/>
    <w:p w14:paraId="1D7287C4" w14:textId="77777777" w:rsidR="00FE32AC" w:rsidRPr="00B3765F" w:rsidRDefault="00FE32AC" w:rsidP="00BC5EFA"/>
    <w:p w14:paraId="4DCF2133" w14:textId="77777777" w:rsidR="00B048D9" w:rsidRDefault="00DC0D2A" w:rsidP="00887AE0">
      <w:pPr>
        <w:pStyle w:val="Heading1"/>
      </w:pPr>
      <w:r>
        <w:lastRenderedPageBreak/>
        <w:t>Policy</w:t>
      </w:r>
      <w:r w:rsidR="008E16B1">
        <w:t xml:space="preserve"> </w:t>
      </w:r>
      <w:r w:rsidR="003B660A">
        <w:t>Guidelines</w:t>
      </w:r>
    </w:p>
    <w:p w14:paraId="1E3987CF" w14:textId="77777777" w:rsidR="008A7FE8" w:rsidRDefault="008A7FE8" w:rsidP="0056313C"/>
    <w:p w14:paraId="201BC15B" w14:textId="77777777" w:rsidR="008A7FE8" w:rsidRDefault="00524D92" w:rsidP="00524D92">
      <w:pPr>
        <w:pStyle w:val="ListParagraph"/>
        <w:numPr>
          <w:ilvl w:val="0"/>
          <w:numId w:val="14"/>
        </w:numPr>
      </w:pPr>
      <w:r>
        <w:t>Content</w:t>
      </w:r>
    </w:p>
    <w:p w14:paraId="63D57987" w14:textId="77777777" w:rsidR="00B40CD8" w:rsidRPr="00B40CD8" w:rsidRDefault="00B40CD8" w:rsidP="00B40CD8"/>
    <w:p w14:paraId="0FA41619" w14:textId="77777777" w:rsidR="006E4E76" w:rsidRDefault="006E4E76" w:rsidP="00887AE0">
      <w:pPr>
        <w:pStyle w:val="Style1"/>
      </w:pPr>
      <w:r>
        <w:t>Potential recipients of red blood cells,</w:t>
      </w:r>
      <w:r w:rsidR="00CA55ED">
        <w:t xml:space="preserve"> low titer</w:t>
      </w:r>
      <w:r>
        <w:t xml:space="preserve"> whole blood or granulocytes should have two Group/types documented before the issue of </w:t>
      </w:r>
      <w:r w:rsidR="00854115">
        <w:t xml:space="preserve">NON </w:t>
      </w:r>
      <w:r>
        <w:t>Group O packed cells, low titer whole blood or granulocytes</w:t>
      </w:r>
      <w:r w:rsidR="00BC5EFA">
        <w:t xml:space="preserve"> per AABB Standard 5.14.5.</w:t>
      </w:r>
    </w:p>
    <w:p w14:paraId="24F07FB2" w14:textId="77777777" w:rsidR="006E4E76" w:rsidRDefault="006E4E76" w:rsidP="006E4E76">
      <w:pPr>
        <w:pStyle w:val="Style1"/>
        <w:numPr>
          <w:ilvl w:val="0"/>
          <w:numId w:val="16"/>
        </w:numPr>
      </w:pPr>
      <w:r>
        <w:t>The first should be the current sample and the second can be either historical, a second sample collected at a different time with verification of patient identity or testing of the same sample IF patient identification was verified with an electronic identification system</w:t>
      </w:r>
      <w:r w:rsidR="0073028D">
        <w:t xml:space="preserve"> </w:t>
      </w:r>
      <w:r w:rsidR="00926AE4">
        <w:t>AND</w:t>
      </w:r>
      <w:r w:rsidR="0073028D">
        <w:t xml:space="preserve"> the patient has a blood type history in the archived BB database</w:t>
      </w:r>
      <w:r>
        <w:t>.</w:t>
      </w:r>
    </w:p>
    <w:p w14:paraId="395F957F" w14:textId="77777777" w:rsidR="00DC6660" w:rsidRDefault="00DC6660" w:rsidP="006E4E76">
      <w:pPr>
        <w:pStyle w:val="Style1"/>
        <w:numPr>
          <w:ilvl w:val="0"/>
          <w:numId w:val="16"/>
        </w:numPr>
      </w:pPr>
      <w:r>
        <w:t>Inpatient</w:t>
      </w:r>
      <w:r w:rsidR="0073028D">
        <w:t>s</w:t>
      </w:r>
      <w:r>
        <w:t xml:space="preserve"> </w:t>
      </w:r>
      <w:r w:rsidR="0073028D">
        <w:t xml:space="preserve">are collected with </w:t>
      </w:r>
      <w:r>
        <w:t xml:space="preserve">the </w:t>
      </w:r>
      <w:r w:rsidR="00926AE4">
        <w:t>electronic identification system (PPID)</w:t>
      </w:r>
      <w:r>
        <w:t>.</w:t>
      </w:r>
    </w:p>
    <w:p w14:paraId="22F70E11" w14:textId="77777777" w:rsidR="00DC6660" w:rsidRDefault="00DC6660" w:rsidP="006E4E76">
      <w:pPr>
        <w:pStyle w:val="Style1"/>
        <w:numPr>
          <w:ilvl w:val="0"/>
          <w:numId w:val="16"/>
        </w:numPr>
      </w:pPr>
      <w:r>
        <w:t>Outpatient phlebotomists and nursing do NOT use the electronic identification system.</w:t>
      </w:r>
    </w:p>
    <w:p w14:paraId="7AE36F59" w14:textId="77777777" w:rsidR="00DE5986" w:rsidRDefault="00DE5986" w:rsidP="00DE5986">
      <w:pPr>
        <w:pStyle w:val="Style1"/>
        <w:numPr>
          <w:ilvl w:val="0"/>
          <w:numId w:val="0"/>
        </w:numPr>
        <w:ind w:left="1080"/>
      </w:pPr>
    </w:p>
    <w:p w14:paraId="0233ACFC" w14:textId="77777777" w:rsidR="00DC6660" w:rsidRDefault="00DC6660" w:rsidP="00887AE0">
      <w:pPr>
        <w:pStyle w:val="Style1"/>
      </w:pPr>
      <w:r>
        <w:t xml:space="preserve">Recipients who are collected </w:t>
      </w:r>
      <w:r w:rsidR="0073028D">
        <w:t xml:space="preserve">with PPID AND have a blood type history from SCC </w:t>
      </w:r>
      <w:r>
        <w:t xml:space="preserve">may have the current sample repeated by a second technologist </w:t>
      </w:r>
      <w:r w:rsidR="00814BAF">
        <w:t xml:space="preserve">or other instrument </w:t>
      </w:r>
      <w:r>
        <w:t>with a different suspension since th</w:t>
      </w:r>
      <w:r w:rsidR="00FE32AC">
        <w:t>ey</w:t>
      </w:r>
      <w:r>
        <w:t xml:space="preserve"> are collected using an electronic identification system. </w:t>
      </w:r>
      <w:r w:rsidR="00814BAF">
        <w:t xml:space="preserve"> S</w:t>
      </w:r>
      <w:r w:rsidR="0073028D">
        <w:t>unquest Test: PRCXM</w:t>
      </w:r>
    </w:p>
    <w:p w14:paraId="137FF892" w14:textId="77777777" w:rsidR="0073028D" w:rsidRDefault="0073028D" w:rsidP="0073028D">
      <w:pPr>
        <w:pStyle w:val="Style1"/>
        <w:numPr>
          <w:ilvl w:val="0"/>
          <w:numId w:val="21"/>
        </w:numPr>
      </w:pPr>
      <w:r>
        <w:t xml:space="preserve">PRCXM test must be ordered in Encompass and tested since </w:t>
      </w:r>
      <w:r w:rsidR="00926AE4">
        <w:t xml:space="preserve">Sunquest requires a new accession number for each blood type. </w:t>
      </w:r>
    </w:p>
    <w:p w14:paraId="2F6FB549" w14:textId="77777777" w:rsidR="00DE5986" w:rsidRDefault="00DE5986" w:rsidP="00DE5986">
      <w:pPr>
        <w:pStyle w:val="Style1"/>
        <w:numPr>
          <w:ilvl w:val="0"/>
          <w:numId w:val="0"/>
        </w:numPr>
        <w:ind w:left="720"/>
      </w:pPr>
    </w:p>
    <w:p w14:paraId="6B8A7D7F" w14:textId="77777777" w:rsidR="00926AE4" w:rsidRDefault="00926AE4" w:rsidP="00887AE0">
      <w:pPr>
        <w:pStyle w:val="Style1"/>
      </w:pPr>
      <w:r>
        <w:t xml:space="preserve">Encompass will perform a history check on each patient once the TYHD sample has been received in the blood bank. </w:t>
      </w:r>
      <w:r w:rsidR="00A401E8">
        <w:t xml:space="preserve">If Encompass does not find a blood type on file, a PRCXM will automatically be ordered on the patient. </w:t>
      </w:r>
    </w:p>
    <w:p w14:paraId="3AFD5205" w14:textId="77777777" w:rsidR="00003892" w:rsidRDefault="00003892" w:rsidP="00A401E8">
      <w:pPr>
        <w:pStyle w:val="Style1"/>
        <w:numPr>
          <w:ilvl w:val="0"/>
          <w:numId w:val="22"/>
        </w:numPr>
      </w:pPr>
      <w:r>
        <w:t xml:space="preserve">All patients with no history shall have a second sample obtained so that the ABO/RH can be repeated. </w:t>
      </w:r>
    </w:p>
    <w:p w14:paraId="23405E6A" w14:textId="77777777" w:rsidR="00A401E8" w:rsidRDefault="00A401E8" w:rsidP="00A401E8">
      <w:pPr>
        <w:pStyle w:val="Style1"/>
        <w:numPr>
          <w:ilvl w:val="0"/>
          <w:numId w:val="22"/>
        </w:numPr>
      </w:pPr>
      <w:r>
        <w:t xml:space="preserve">If the patient as no history, the sample shall stay pending so nursing or phlebotomy can collect. </w:t>
      </w:r>
    </w:p>
    <w:p w14:paraId="7772BEC1" w14:textId="77777777" w:rsidR="00A401E8" w:rsidRDefault="00A401E8" w:rsidP="00A401E8">
      <w:pPr>
        <w:pStyle w:val="Style1"/>
        <w:numPr>
          <w:ilvl w:val="0"/>
          <w:numId w:val="22"/>
        </w:numPr>
      </w:pPr>
      <w:r>
        <w:t>If the patient has a history in SCC, BB staff will collect the sample in Encompass</w:t>
      </w:r>
      <w:r w:rsidR="00003892">
        <w:t xml:space="preserve">. The label will be printed and the current TYHD sample will be retested using this order number. </w:t>
      </w:r>
    </w:p>
    <w:p w14:paraId="080CDF70" w14:textId="77777777" w:rsidR="00003892" w:rsidRDefault="00003892" w:rsidP="00A401E8">
      <w:pPr>
        <w:pStyle w:val="Style1"/>
        <w:numPr>
          <w:ilvl w:val="0"/>
          <w:numId w:val="22"/>
        </w:numPr>
      </w:pPr>
      <w:r>
        <w:t xml:space="preserve">The goal is to prevent patients with a history in the old LIS form having to be recollected. </w:t>
      </w:r>
    </w:p>
    <w:p w14:paraId="70E47FC3" w14:textId="77777777" w:rsidR="00003892" w:rsidRDefault="00003892" w:rsidP="00003892">
      <w:pPr>
        <w:pStyle w:val="Style1"/>
        <w:numPr>
          <w:ilvl w:val="0"/>
          <w:numId w:val="0"/>
        </w:numPr>
        <w:ind w:left="1080"/>
      </w:pPr>
    </w:p>
    <w:p w14:paraId="09063EE6" w14:textId="77777777" w:rsidR="00CA55ED" w:rsidRDefault="00003892" w:rsidP="00887AE0">
      <w:pPr>
        <w:pStyle w:val="Style1"/>
      </w:pPr>
      <w:r>
        <w:t>If Encompass has a history of blood type on the patient</w:t>
      </w:r>
      <w:r w:rsidR="008F3E6D">
        <w:t xml:space="preserve"> but the testing was not done at NCBH, a second blood type will need to be ordered. </w:t>
      </w:r>
    </w:p>
    <w:p w14:paraId="4FA7B620" w14:textId="77777777" w:rsidR="00CA55ED" w:rsidRDefault="00CA55ED" w:rsidP="00CA55ED">
      <w:pPr>
        <w:pStyle w:val="Style2"/>
      </w:pPr>
      <w:r>
        <w:t>The second sample can be obtaine</w:t>
      </w:r>
      <w:r w:rsidR="00803E57">
        <w:t xml:space="preserve">d from Core Lab if collected at a different time (either </w:t>
      </w:r>
      <w:r w:rsidR="00FE32AC">
        <w:t>before/after</w:t>
      </w:r>
      <w:r w:rsidR="00803E57">
        <w:t>)</w:t>
      </w:r>
      <w:r>
        <w:t xml:space="preserve"> the </w:t>
      </w:r>
      <w:r w:rsidR="00FE32AC">
        <w:t xml:space="preserve">collection </w:t>
      </w:r>
      <w:r>
        <w:t>time of the current Blood Bank sample.</w:t>
      </w:r>
    </w:p>
    <w:p w14:paraId="7002C8C8" w14:textId="77777777" w:rsidR="00803E57" w:rsidRDefault="00803E57" w:rsidP="00803E57">
      <w:pPr>
        <w:pStyle w:val="Style2"/>
      </w:pPr>
      <w:r>
        <w:t xml:space="preserve">If Core Lab sample is available, then the technologist </w:t>
      </w:r>
      <w:r w:rsidR="00003892">
        <w:t>can</w:t>
      </w:r>
      <w:r>
        <w:t xml:space="preserve"> request t</w:t>
      </w:r>
      <w:r w:rsidR="00F970F9">
        <w:t xml:space="preserve">he sample be sent using a Blood Bank Request for Hematology Sample Form. </w:t>
      </w:r>
    </w:p>
    <w:p w14:paraId="35DD94B9" w14:textId="77777777" w:rsidR="00F970F9" w:rsidRPr="00F970F9" w:rsidRDefault="00F970F9" w:rsidP="00F970F9">
      <w:pPr>
        <w:pStyle w:val="Style2"/>
        <w:numPr>
          <w:ilvl w:val="0"/>
          <w:numId w:val="0"/>
        </w:numPr>
        <w:ind w:left="1080"/>
        <w:rPr>
          <w:i/>
          <w:color w:val="00B0F0"/>
        </w:rPr>
      </w:pPr>
      <w:r w:rsidRPr="00F970F9">
        <w:rPr>
          <w:i/>
          <w:color w:val="00B0F0"/>
        </w:rPr>
        <w:t>Refer to BB-FORMS-0237</w:t>
      </w:r>
    </w:p>
    <w:p w14:paraId="109F3E9F" w14:textId="77777777" w:rsidR="00CA55ED" w:rsidRDefault="00803E57" w:rsidP="00803E57">
      <w:pPr>
        <w:pStyle w:val="Style2"/>
      </w:pPr>
      <w:r w:rsidRPr="00803E57">
        <w:t xml:space="preserve">If no Core Lab sample is available, then the technologist will place the PRCXM order STAT in </w:t>
      </w:r>
      <w:r w:rsidR="008F3E6D">
        <w:t>Encompass</w:t>
      </w:r>
      <w:r w:rsidRPr="00803E57">
        <w:t xml:space="preserve">. </w:t>
      </w:r>
    </w:p>
    <w:p w14:paraId="48322331" w14:textId="77777777" w:rsidR="008F3E6D" w:rsidRDefault="008F3E6D" w:rsidP="008F3E6D">
      <w:pPr>
        <w:pStyle w:val="Style2"/>
        <w:numPr>
          <w:ilvl w:val="0"/>
          <w:numId w:val="0"/>
        </w:numPr>
        <w:ind w:left="1800"/>
      </w:pPr>
      <w:r w:rsidRPr="008F3E6D">
        <w:rPr>
          <w:u w:val="single"/>
        </w:rPr>
        <w:t>Adult ED process</w:t>
      </w:r>
      <w:r>
        <w:t>:</w:t>
      </w:r>
    </w:p>
    <w:p w14:paraId="467CE8F0" w14:textId="77777777" w:rsidR="00803E57" w:rsidRDefault="00803E57" w:rsidP="00803E57">
      <w:pPr>
        <w:pStyle w:val="Style2"/>
        <w:numPr>
          <w:ilvl w:val="1"/>
          <w:numId w:val="3"/>
        </w:numPr>
      </w:pPr>
      <w:r>
        <w:t xml:space="preserve">Blood Bank tech will </w:t>
      </w:r>
      <w:r w:rsidRPr="003860E2">
        <w:rPr>
          <w:color w:val="FF0000"/>
        </w:rPr>
        <w:t xml:space="preserve">call the floor </w:t>
      </w:r>
      <w:r>
        <w:t xml:space="preserve">and alert the provider that an ABO2 is required, has been ordered, and a tube is on the way to be used for collection of the specimen. </w:t>
      </w:r>
    </w:p>
    <w:p w14:paraId="41012CBC" w14:textId="77777777" w:rsidR="00765FB5" w:rsidRDefault="00765FB5" w:rsidP="00765FB5">
      <w:pPr>
        <w:pStyle w:val="Style2"/>
        <w:numPr>
          <w:ilvl w:val="1"/>
          <w:numId w:val="3"/>
        </w:numPr>
      </w:pPr>
      <w:r>
        <w:t>Blood Bank will stock 2mL pink top tubes and send them to the floor.</w:t>
      </w:r>
      <w:r w:rsidR="00F970F9">
        <w:t xml:space="preserve"> No other location should stock this product.</w:t>
      </w:r>
    </w:p>
    <w:p w14:paraId="651DF133" w14:textId="77777777" w:rsidR="00765FB5" w:rsidRDefault="00765FB5" w:rsidP="00765FB5">
      <w:pPr>
        <w:pStyle w:val="Style2"/>
        <w:numPr>
          <w:ilvl w:val="0"/>
          <w:numId w:val="0"/>
        </w:numPr>
        <w:ind w:left="1800"/>
      </w:pPr>
      <w:r>
        <w:rPr>
          <w:noProof/>
        </w:rPr>
        <w:lastRenderedPageBreak/>
        <w:drawing>
          <wp:inline distT="0" distB="0" distL="0" distR="0" wp14:anchorId="01E48F45" wp14:editId="3858F35A">
            <wp:extent cx="1075255" cy="2551642"/>
            <wp:effectExtent l="4763"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rot="16200000">
                      <a:off x="0" y="0"/>
                      <a:ext cx="1084290" cy="2573082"/>
                    </a:xfrm>
                    <a:prstGeom prst="rect">
                      <a:avLst/>
                    </a:prstGeom>
                  </pic:spPr>
                </pic:pic>
              </a:graphicData>
            </a:graphic>
          </wp:inline>
        </w:drawing>
      </w:r>
    </w:p>
    <w:p w14:paraId="48BB279D" w14:textId="77777777" w:rsidR="003860E2" w:rsidRDefault="003860E2" w:rsidP="003860E2">
      <w:pPr>
        <w:pStyle w:val="Style2"/>
        <w:numPr>
          <w:ilvl w:val="1"/>
          <w:numId w:val="3"/>
        </w:numPr>
      </w:pPr>
      <w:r>
        <w:t>Blood Bank will initial and date the top of the tube prior to sending</w:t>
      </w:r>
      <w:r w:rsidR="00937E43">
        <w:t>.</w:t>
      </w:r>
      <w:r>
        <w:t xml:space="preserve"> </w:t>
      </w:r>
      <w:r w:rsidR="00937E43">
        <w:t>A</w:t>
      </w:r>
      <w:r>
        <w:t xml:space="preserve"> Blood Bank Request for ABO Confirmation Tube (ABO2) Form </w:t>
      </w:r>
      <w:r w:rsidR="007E44A2">
        <w:t xml:space="preserve">(kept at FD) </w:t>
      </w:r>
      <w:r w:rsidR="00937E43">
        <w:t>will be sent</w:t>
      </w:r>
      <w:r>
        <w:t xml:space="preserve"> with sample. Blood Bank tech/date/time on form should match tube. </w:t>
      </w:r>
      <w:r w:rsidR="00713163">
        <w:t>Top copy will be sent to floor while bottom pink copy retained in BB.</w:t>
      </w:r>
    </w:p>
    <w:p w14:paraId="4EEB9610" w14:textId="77777777" w:rsidR="0015270A" w:rsidRDefault="003860E2" w:rsidP="008F3E6D">
      <w:pPr>
        <w:pStyle w:val="Style2"/>
        <w:numPr>
          <w:ilvl w:val="1"/>
          <w:numId w:val="3"/>
        </w:numPr>
      </w:pPr>
      <w:r>
        <w:t xml:space="preserve">Acceptable receipt of ABO2 will include comparing tube received from floor with pink carbon copy of request in blood bank. Patient name, blood bank tech/date must match. </w:t>
      </w:r>
    </w:p>
    <w:p w14:paraId="3EE8D075" w14:textId="77777777" w:rsidR="00992A80" w:rsidRDefault="003860E2" w:rsidP="008F3E6D">
      <w:pPr>
        <w:pStyle w:val="Style2"/>
        <w:numPr>
          <w:ilvl w:val="1"/>
          <w:numId w:val="3"/>
        </w:numPr>
      </w:pPr>
      <w:r>
        <w:t xml:space="preserve">File </w:t>
      </w:r>
      <w:r w:rsidR="00814C90">
        <w:t xml:space="preserve">acceptable </w:t>
      </w:r>
      <w:r>
        <w:t>completed forms with patient acetate. U</w:t>
      </w:r>
      <w:r w:rsidR="00361B1C">
        <w:t>ncompleted</w:t>
      </w:r>
      <w:r>
        <w:t xml:space="preserve"> </w:t>
      </w:r>
      <w:r w:rsidR="00814C90">
        <w:t>forms (samples never sent)</w:t>
      </w:r>
      <w:r>
        <w:t xml:space="preserve"> or unacceptable samples will be reviewed by management weekly</w:t>
      </w:r>
      <w:r w:rsidR="00361B1C">
        <w:t xml:space="preserve">. Retain pink carbon copies of uncompleted requests at front desk. </w:t>
      </w:r>
    </w:p>
    <w:p w14:paraId="049200E2" w14:textId="77777777" w:rsidR="00DE5986" w:rsidRDefault="00DE5986" w:rsidP="002D5BEC">
      <w:pPr>
        <w:pStyle w:val="Style2"/>
        <w:numPr>
          <w:ilvl w:val="0"/>
          <w:numId w:val="0"/>
        </w:numPr>
        <w:ind w:left="1080"/>
      </w:pPr>
    </w:p>
    <w:p w14:paraId="7038928C" w14:textId="77777777" w:rsidR="008F3E6D" w:rsidRDefault="008F3E6D" w:rsidP="00CA55ED">
      <w:pPr>
        <w:pStyle w:val="Style1"/>
      </w:pPr>
      <w:r>
        <w:t xml:space="preserve">Place a flag in the patient’s acetate indicating that only Group O RBCs can be issued pending receipt and testing of second ABO/Rh. This flag will be removed upon completion of the ABO2 sample. </w:t>
      </w:r>
    </w:p>
    <w:p w14:paraId="455B0AC2" w14:textId="77777777" w:rsidR="008F3E6D" w:rsidRDefault="008F3E6D" w:rsidP="008F3E6D">
      <w:pPr>
        <w:pStyle w:val="Style1"/>
        <w:numPr>
          <w:ilvl w:val="0"/>
          <w:numId w:val="0"/>
        </w:numPr>
        <w:ind w:left="720"/>
      </w:pPr>
    </w:p>
    <w:p w14:paraId="50B87EBB" w14:textId="77777777" w:rsidR="00CA55ED" w:rsidRDefault="00CA55ED" w:rsidP="00CA55ED">
      <w:pPr>
        <w:pStyle w:val="Style1"/>
      </w:pPr>
      <w:r>
        <w:t xml:space="preserve">Only Group O red blood cells, low titer whole blood or granulocytes may be issued until a second separate </w:t>
      </w:r>
      <w:r w:rsidR="00BC5EFA">
        <w:t>specimen is received and tested.</w:t>
      </w:r>
      <w:r w:rsidR="00EB1482" w:rsidRPr="00814BAF">
        <w:t xml:space="preserve"> </w:t>
      </w:r>
      <w:r w:rsidR="00275FC0">
        <w:t>The provider must sign the Blood Product Release form.</w:t>
      </w:r>
    </w:p>
    <w:p w14:paraId="50E2A5FF" w14:textId="77777777" w:rsidR="00DE5986" w:rsidRPr="00887AE0" w:rsidRDefault="00DE5986" w:rsidP="00F970F9">
      <w:pPr>
        <w:pStyle w:val="Style1"/>
        <w:numPr>
          <w:ilvl w:val="0"/>
          <w:numId w:val="0"/>
        </w:numPr>
      </w:pPr>
    </w:p>
    <w:p w14:paraId="22070E37" w14:textId="77777777" w:rsidR="00814BAF" w:rsidRDefault="00814BAF" w:rsidP="00CF2462">
      <w:pPr>
        <w:pStyle w:val="Style1"/>
      </w:pPr>
      <w:r>
        <w:t>If blood is needed BEFORE the second sample is received</w:t>
      </w:r>
      <w:r w:rsidR="008F3E6D">
        <w:t xml:space="preserve"> for an outpatient</w:t>
      </w:r>
      <w:r w:rsidR="001222AF">
        <w:t xml:space="preserve"> collection (example: Dialysis), Group O RBCs shall be sent for transfusion. Blood Product Release is not needed for these patients. </w:t>
      </w:r>
    </w:p>
    <w:p w14:paraId="03B92103" w14:textId="77777777" w:rsidR="001D01F9" w:rsidRDefault="001D01F9" w:rsidP="001222AF">
      <w:pPr>
        <w:ind w:left="360" w:hanging="360"/>
      </w:pPr>
    </w:p>
    <w:p w14:paraId="70341913" w14:textId="77777777" w:rsidR="001D01F9" w:rsidRDefault="001D01F9" w:rsidP="00CF2462">
      <w:pPr>
        <w:pStyle w:val="Style1"/>
      </w:pPr>
      <w:r>
        <w:t xml:space="preserve">If a sample is received from surgery and the patient does not have a prior history, notify surgery immediately that additional sample is needed. Do NOT wait for testing to be completed. </w:t>
      </w:r>
    </w:p>
    <w:p w14:paraId="19B2D575" w14:textId="77777777" w:rsidR="00DE5986" w:rsidRDefault="00DE5986" w:rsidP="00DE5986">
      <w:pPr>
        <w:pStyle w:val="Style1"/>
        <w:numPr>
          <w:ilvl w:val="0"/>
          <w:numId w:val="0"/>
        </w:numPr>
        <w:ind w:left="720" w:hanging="360"/>
      </w:pPr>
    </w:p>
    <w:p w14:paraId="7CB39E2D" w14:textId="77777777" w:rsidR="00992A80" w:rsidRDefault="00992A80" w:rsidP="00CF2462">
      <w:pPr>
        <w:pStyle w:val="Style1"/>
      </w:pPr>
      <w:r>
        <w:t xml:space="preserve">The second </w:t>
      </w:r>
      <w:proofErr w:type="spellStart"/>
      <w:r>
        <w:t>ABORh</w:t>
      </w:r>
      <w:proofErr w:type="spellEnd"/>
      <w:r>
        <w:t xml:space="preserve"> forward/reverse (ABO2) will be performed and resulted.  </w:t>
      </w:r>
    </w:p>
    <w:p w14:paraId="11C818CA" w14:textId="77777777" w:rsidR="00992A80" w:rsidRDefault="00992A80" w:rsidP="00992A80">
      <w:pPr>
        <w:pStyle w:val="Style1"/>
        <w:numPr>
          <w:ilvl w:val="0"/>
          <w:numId w:val="18"/>
        </w:numPr>
      </w:pPr>
      <w:r>
        <w:t>Once the ABO2 test has been per</w:t>
      </w:r>
      <w:r w:rsidR="003866A3">
        <w:t xml:space="preserve">formed, </w:t>
      </w:r>
      <w:r w:rsidR="004C7097">
        <w:t>remove the flag in the acetate and check the appropriate box on the stamp indicating ABO2 is complete</w:t>
      </w:r>
      <w:r>
        <w:t>.</w:t>
      </w:r>
    </w:p>
    <w:p w14:paraId="446BBB59" w14:textId="77777777" w:rsidR="00EB1482" w:rsidRDefault="00EB1482" w:rsidP="00EB1482">
      <w:pPr>
        <w:pStyle w:val="Style1"/>
        <w:numPr>
          <w:ilvl w:val="0"/>
          <w:numId w:val="0"/>
        </w:numPr>
        <w:ind w:left="720" w:hanging="360"/>
      </w:pPr>
    </w:p>
    <w:p w14:paraId="73FF277C" w14:textId="77777777" w:rsidR="00FE32AC" w:rsidRDefault="00CF2462" w:rsidP="004C7097">
      <w:pPr>
        <w:pStyle w:val="Style1"/>
      </w:pPr>
      <w:r>
        <w:t xml:space="preserve">Audits </w:t>
      </w:r>
      <w:r w:rsidR="004C7097">
        <w:t>may</w:t>
      </w:r>
      <w:r>
        <w:t xml:space="preserve"> be performed to verify that a second separate ABO has been obtained</w:t>
      </w:r>
      <w:r w:rsidR="00992A80">
        <w:t xml:space="preserve"> appropriately.</w:t>
      </w:r>
      <w:r>
        <w:t xml:space="preserve"> </w:t>
      </w:r>
    </w:p>
    <w:p w14:paraId="1E9ABE4E" w14:textId="77777777" w:rsidR="004C7097" w:rsidRDefault="004C7097">
      <w:pPr>
        <w:rPr>
          <w:szCs w:val="24"/>
        </w:rPr>
      </w:pPr>
      <w:r>
        <w:br w:type="page"/>
      </w:r>
    </w:p>
    <w:p w14:paraId="31836C5C" w14:textId="77777777" w:rsidR="00B048D9" w:rsidRDefault="00B048D9" w:rsidP="00887AE0">
      <w:pPr>
        <w:pStyle w:val="Heading1"/>
      </w:pPr>
      <w:r>
        <w:lastRenderedPageBreak/>
        <w:t>References</w:t>
      </w:r>
    </w:p>
    <w:p w14:paraId="19E0DDD7" w14:textId="77777777" w:rsidR="00CA16FD" w:rsidRDefault="00CA16FD" w:rsidP="00CA16FD"/>
    <w:p w14:paraId="62AB4178" w14:textId="77777777" w:rsidR="00BC39F2" w:rsidRDefault="00BC39F2" w:rsidP="00CA16FD"/>
    <w:p w14:paraId="5EFB738E" w14:textId="77777777" w:rsidR="00BC39F2" w:rsidRDefault="00BC39F2" w:rsidP="00CA16FD"/>
    <w:p w14:paraId="6F8CFC0E" w14:textId="77777777" w:rsidR="00BC39F2" w:rsidRDefault="00BC39F2" w:rsidP="00CA16FD"/>
    <w:p w14:paraId="0EAE8D64" w14:textId="77777777" w:rsidR="00CA16FD" w:rsidRPr="00CA16FD" w:rsidRDefault="00CA16FD" w:rsidP="00CA16FD"/>
    <w:p w14:paraId="5972E2CF" w14:textId="77777777" w:rsidR="00CA16FD" w:rsidRDefault="00CA16FD" w:rsidP="00CA16FD">
      <w:pPr>
        <w:pStyle w:val="Heading1"/>
      </w:pPr>
      <w:r>
        <w:t>Related policies/procedures (</w:t>
      </w:r>
      <w:proofErr w:type="spellStart"/>
      <w:r>
        <w:t>navex</w:t>
      </w:r>
      <w:proofErr w:type="spellEnd"/>
      <w:r>
        <w:t>)</w:t>
      </w:r>
    </w:p>
    <w:p w14:paraId="277402DB" w14:textId="77777777" w:rsidR="001C08C3" w:rsidRPr="001C08C3" w:rsidRDefault="001C08C3" w:rsidP="001C08C3"/>
    <w:p w14:paraId="289E555D" w14:textId="77777777" w:rsidR="00BF5F7B" w:rsidRDefault="001C08C3" w:rsidP="00BF5F7B">
      <w:r>
        <w:t>ABO Rh Protocol</w:t>
      </w:r>
    </w:p>
    <w:p w14:paraId="5D3DA767" w14:textId="77777777" w:rsidR="001C08C3" w:rsidRDefault="001C08C3" w:rsidP="00BF5F7B">
      <w:r>
        <w:t>ABO Testing Manual Method</w:t>
      </w:r>
    </w:p>
    <w:p w14:paraId="214BF35C" w14:textId="77777777" w:rsidR="001C08C3" w:rsidRPr="00BF5F7B" w:rsidRDefault="001C08C3" w:rsidP="00BF5F7B">
      <w:r>
        <w:t>Crossmatch Protocols</w:t>
      </w:r>
    </w:p>
    <w:p w14:paraId="79C3DB32" w14:textId="77777777" w:rsidR="00BF5F7B" w:rsidRPr="00BF5F7B" w:rsidRDefault="00BF5F7B" w:rsidP="00BF5F7B"/>
    <w:p w14:paraId="69BD1801" w14:textId="77777777" w:rsidR="00B048D9" w:rsidRDefault="00B048D9" w:rsidP="00887AE0">
      <w:pPr>
        <w:pStyle w:val="Heading1"/>
      </w:pPr>
      <w:r>
        <w:t>Attachments</w:t>
      </w:r>
      <w:r w:rsidR="00CA16FD">
        <w:t>/Linked documents (title 21)</w:t>
      </w:r>
    </w:p>
    <w:p w14:paraId="164ECE89" w14:textId="77777777" w:rsidR="00BF5F7B" w:rsidRDefault="00BF5F7B" w:rsidP="00BF5F7B"/>
    <w:p w14:paraId="5F50D10A" w14:textId="77777777" w:rsidR="00830F9F" w:rsidRDefault="00830F9F" w:rsidP="00BF5F7B"/>
    <w:p w14:paraId="3A70511D" w14:textId="77777777" w:rsidR="00BF5F7B" w:rsidRPr="00BF5F7B" w:rsidRDefault="00A7748A" w:rsidP="00830F9F">
      <w:pPr>
        <w:pStyle w:val="Heading1"/>
      </w:pPr>
      <w:r>
        <w:t>Revision Dates</w:t>
      </w:r>
      <w:r w:rsidR="001F0047">
        <w:t>: Review Change Summary as represented in Title 21.</w:t>
      </w:r>
    </w:p>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7EC19" w14:textId="77777777" w:rsidR="003921E7" w:rsidRDefault="003921E7" w:rsidP="009A3908">
      <w:r>
        <w:separator/>
      </w:r>
    </w:p>
  </w:endnote>
  <w:endnote w:type="continuationSeparator" w:id="0">
    <w:p w14:paraId="16CADBC2" w14:textId="77777777" w:rsidR="003921E7" w:rsidRDefault="003921E7"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TC Franklin Gothic Std Book">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58AF" w14:textId="77777777"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4F4DE31A" w14:textId="77777777"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4C7097">
              <w:rPr>
                <w:rFonts w:ascii="Franklin Gothic Book" w:hAnsi="Franklin Gothic Book" w:cs="Calibri"/>
                <w:i/>
                <w:iCs/>
                <w:noProof/>
                <w:sz w:val="18"/>
                <w:szCs w:val="18"/>
              </w:rPr>
              <w:t>5</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4C7097">
              <w:rPr>
                <w:rFonts w:ascii="Franklin Gothic Book" w:hAnsi="Franklin Gothic Book" w:cs="Calibri"/>
                <w:i/>
                <w:iCs/>
                <w:noProof/>
                <w:sz w:val="18"/>
                <w:szCs w:val="18"/>
              </w:rPr>
              <w:t>5</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B515" w14:textId="77777777" w:rsidR="00974CB9" w:rsidRDefault="00974CB9" w:rsidP="00A153FF">
    <w:pPr>
      <w:jc w:val="center"/>
      <w:rPr>
        <w:rFonts w:asciiTheme="minorHAnsi" w:hAnsiTheme="minorHAnsi" w:cstheme="minorHAnsi"/>
        <w:bCs/>
        <w:szCs w:val="22"/>
      </w:rPr>
    </w:pPr>
  </w:p>
  <w:p w14:paraId="0432C2A5" w14:textId="77777777"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2A61E984" w14:textId="77777777"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4C7097">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4C7097">
              <w:rPr>
                <w:rFonts w:ascii="Franklin Gothic Book" w:hAnsi="Franklin Gothic Book" w:cs="Calibri"/>
                <w:i/>
                <w:iCs/>
                <w:noProof/>
                <w:sz w:val="18"/>
                <w:szCs w:val="18"/>
              </w:rPr>
              <w:t>5</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013E3" w14:textId="77777777" w:rsidR="003921E7" w:rsidRDefault="003921E7" w:rsidP="009A3908">
      <w:r>
        <w:separator/>
      </w:r>
    </w:p>
  </w:footnote>
  <w:footnote w:type="continuationSeparator" w:id="0">
    <w:p w14:paraId="26DCCC6E" w14:textId="77777777" w:rsidR="003921E7" w:rsidRDefault="003921E7"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684F2" w14:textId="77777777"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3BED" w14:textId="77777777" w:rsidR="00A153FF" w:rsidRPr="002406B9" w:rsidRDefault="00FE32AC" w:rsidP="00A153FF">
    <w:pPr>
      <w:shd w:val="clear" w:color="auto" w:fill="A6A6A6" w:themeFill="background1" w:themeFillShade="A6"/>
      <w:spacing w:line="360" w:lineRule="auto"/>
      <w:ind w:right="90"/>
      <w:jc w:val="center"/>
      <w:rPr>
        <w:rFonts w:ascii="Franklin Gothic Demi" w:hAnsi="Franklin Gothic Demi"/>
        <w:b/>
        <w:szCs w:val="32"/>
      </w:rPr>
    </w:pPr>
    <w:r>
      <w:t>Second ABO Testing for No History Patients</w:t>
    </w:r>
  </w:p>
  <w:p w14:paraId="4D9BB7A8" w14:textId="77777777"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060"/>
      <w:gridCol w:w="3145"/>
    </w:tblGrid>
    <w:tr w:rsidR="00A153FF" w:rsidRPr="00F85C8D" w14:paraId="3F590EEC" w14:textId="77777777" w:rsidTr="00BC39F2">
      <w:tc>
        <w:tcPr>
          <w:tcW w:w="3145" w:type="dxa"/>
          <w:tcBorders>
            <w:left w:val="single" w:sz="4" w:space="0" w:color="auto"/>
            <w:bottom w:val="single" w:sz="4" w:space="0" w:color="auto"/>
          </w:tcBorders>
          <w:shd w:val="clear" w:color="auto" w:fill="auto"/>
          <w:vAlign w:val="center"/>
        </w:tcPr>
        <w:p w14:paraId="69E18996" w14:textId="77777777" w:rsidR="00A153FF" w:rsidRPr="00F85C8D" w:rsidRDefault="00BC39F2" w:rsidP="00BC39F2">
          <w:pPr>
            <w:jc w:val="center"/>
            <w:rPr>
              <w:rFonts w:ascii="Franklin Gothic Book" w:hAnsi="Franklin Gothic Book"/>
              <w:b/>
              <w:szCs w:val="22"/>
            </w:rPr>
          </w:pPr>
          <w:r w:rsidRPr="00BC39F2">
            <w:rPr>
              <w:rFonts w:ascii="Franklin Gothic Book" w:eastAsia="Calibri" w:hAnsi="Franklin Gothic Book"/>
              <w:b/>
              <w:noProof/>
              <w:szCs w:val="22"/>
            </w:rPr>
            <w:drawing>
              <wp:inline distT="0" distB="0" distL="0" distR="0" wp14:anchorId="446C1E5E" wp14:editId="02D5D864">
                <wp:extent cx="1568560" cy="301730"/>
                <wp:effectExtent l="0" t="0" r="0" b="3175"/>
                <wp:docPr id="3" name="Picture 3" descr="\\medctr.ad.wfubmc.edu\dfs\path_labs$\BloodBank_Staff\Staff Projects\Acrey, Stuart\11- TEMPLATES\AH_WFBH_Horizontal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ctr.ad.wfubmc.edu\dfs\path_labs$\BloodBank_Staff\Staff Projects\Acrey, Stuart\11- TEMPLATES\AH_WFBH_Horizontal_rgb(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664" cy="306944"/>
                        </a:xfrm>
                        <a:prstGeom prst="rect">
                          <a:avLst/>
                        </a:prstGeom>
                        <a:noFill/>
                        <a:ln>
                          <a:noFill/>
                        </a:ln>
                      </pic:spPr>
                    </pic:pic>
                  </a:graphicData>
                </a:graphic>
              </wp:inline>
            </w:drawing>
          </w:r>
        </w:p>
      </w:tc>
      <w:tc>
        <w:tcPr>
          <w:tcW w:w="3060" w:type="dxa"/>
          <w:tcBorders>
            <w:right w:val="single" w:sz="4" w:space="0" w:color="000000"/>
          </w:tcBorders>
          <w:shd w:val="clear" w:color="auto" w:fill="auto"/>
        </w:tcPr>
        <w:p w14:paraId="0C682C5E" w14:textId="77777777" w:rsidR="00A2219E" w:rsidRPr="00F85C8D" w:rsidRDefault="00605CB6" w:rsidP="00A2219E">
          <w:pPr>
            <w:rPr>
              <w:rFonts w:ascii="Franklin Gothic Demi" w:hAnsi="Franklin Gothic Demi"/>
              <w:smallCaps/>
              <w:szCs w:val="22"/>
            </w:rPr>
          </w:pPr>
          <w:r>
            <w:rPr>
              <w:rFonts w:ascii="Franklin Gothic Demi" w:hAnsi="Franklin Gothic Demi"/>
              <w:smallCaps/>
              <w:szCs w:val="22"/>
            </w:rPr>
            <w:t>Document Type:</w:t>
          </w:r>
        </w:p>
        <w:p w14:paraId="137AC2B4" w14:textId="77777777" w:rsidR="001F0047" w:rsidRPr="00887AE0" w:rsidRDefault="00F36359" w:rsidP="001F0047">
          <w:pPr>
            <w:rPr>
              <w:rFonts w:cs="Arial"/>
            </w:rPr>
          </w:pPr>
          <w:sdt>
            <w:sdtPr>
              <w:id w:val="-804309035"/>
              <w14:checkbox>
                <w14:checked w14:val="1"/>
                <w14:checkedState w14:val="2612" w14:font="MS Gothic"/>
                <w14:uncheckedState w14:val="2610" w14:font="MS Gothic"/>
              </w14:checkbox>
            </w:sdtPr>
            <w:sdtEndPr/>
            <w:sdtContent>
              <w:r w:rsidR="00EA4BD1">
                <w:rPr>
                  <w:rFonts w:ascii="MS Gothic" w:eastAsia="MS Gothic" w:hAnsi="MS Gothic" w:hint="eastAsia"/>
                </w:rPr>
                <w:t>☒</w:t>
              </w:r>
            </w:sdtContent>
          </w:sdt>
          <w:r w:rsidR="001F0047" w:rsidRPr="0056313C">
            <w:t xml:space="preserve"> </w:t>
          </w:r>
          <w:r w:rsidR="001F0047">
            <w:rPr>
              <w:rFonts w:cs="Arial"/>
            </w:rPr>
            <w:t>Policy</w:t>
          </w:r>
        </w:p>
        <w:p w14:paraId="678C41D7" w14:textId="77777777" w:rsidR="001F0047" w:rsidRDefault="001F0047" w:rsidP="001F0047">
          <w:pPr>
            <w:rPr>
              <w:rFonts w:cs="Arial"/>
            </w:rPr>
          </w:pPr>
        </w:p>
        <w:p w14:paraId="0AC6B5C4" w14:textId="77777777"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14:paraId="0437DFD2" w14:textId="77777777"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r>
            <w:rPr>
              <w:rFonts w:ascii="Franklin Gothic Demi" w:hAnsi="Franklin Gothic Demi"/>
              <w:smallCaps/>
              <w:szCs w:val="22"/>
            </w:rPr>
            <w:t xml:space="preserve"> in Title 21</w:t>
          </w:r>
        </w:p>
        <w:p w14:paraId="6E9236EE" w14:textId="77777777"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7A5238C6" w14:textId="77777777" w:rsidR="00A153FF" w:rsidRPr="00EF4D17" w:rsidRDefault="00EA4BD1" w:rsidP="00A153FF">
          <w:pPr>
            <w:rPr>
              <w:rFonts w:ascii="Franklin Gothic Book" w:hAnsi="Franklin Gothic Book"/>
              <w:b/>
              <w:sz w:val="28"/>
              <w:szCs w:val="28"/>
            </w:rPr>
          </w:pPr>
          <w:r>
            <w:rPr>
              <w:rFonts w:ascii="Franklin Gothic Book" w:hAnsi="Franklin Gothic Book"/>
              <w:b/>
              <w:sz w:val="28"/>
              <w:szCs w:val="28"/>
            </w:rPr>
            <w:t>January 2021</w:t>
          </w:r>
        </w:p>
      </w:tc>
    </w:tr>
    <w:tr w:rsidR="00A153FF" w:rsidRPr="00F85C8D" w14:paraId="14025368" w14:textId="77777777" w:rsidTr="00A2219E">
      <w:trPr>
        <w:trHeight w:val="1090"/>
      </w:trPr>
      <w:tc>
        <w:tcPr>
          <w:tcW w:w="3145" w:type="dxa"/>
          <w:tcBorders>
            <w:left w:val="single" w:sz="4" w:space="0" w:color="auto"/>
            <w:bottom w:val="single" w:sz="4" w:space="0" w:color="000000"/>
          </w:tcBorders>
          <w:shd w:val="clear" w:color="auto" w:fill="auto"/>
        </w:tcPr>
        <w:p w14:paraId="569E4B79" w14:textId="77777777" w:rsidR="001F0047" w:rsidRDefault="001F0047" w:rsidP="001F0047">
          <w:pPr>
            <w:rPr>
              <w:rFonts w:ascii="Franklin Gothic Book" w:hAnsi="Franklin Gothic Book"/>
              <w:b/>
              <w:szCs w:val="22"/>
            </w:rPr>
          </w:pPr>
          <w:r>
            <w:rPr>
              <w:rFonts w:ascii="Franklin Gothic Book" w:hAnsi="Franklin Gothic Book"/>
              <w:b/>
              <w:szCs w:val="22"/>
            </w:rPr>
            <w:t>CLIA Lab Director:</w:t>
          </w:r>
        </w:p>
        <w:p w14:paraId="11C255B3" w14:textId="77777777" w:rsidR="00830F9F" w:rsidRDefault="00830F9F" w:rsidP="001F0047">
          <w:pPr>
            <w:rPr>
              <w:rFonts w:ascii="Franklin Gothic Book" w:hAnsi="Franklin Gothic Book"/>
              <w:b/>
              <w:szCs w:val="22"/>
            </w:rPr>
          </w:pPr>
        </w:p>
        <w:p w14:paraId="675E675A" w14:textId="77777777" w:rsidR="00A153FF" w:rsidRPr="00F85C8D" w:rsidRDefault="00830F9F" w:rsidP="001F0047">
          <w:pPr>
            <w:rPr>
              <w:rFonts w:ascii="Franklin Gothic Book" w:hAnsi="Franklin Gothic Book"/>
              <w:b/>
              <w:szCs w:val="22"/>
            </w:rPr>
          </w:pPr>
          <w:r>
            <w:rPr>
              <w:rFonts w:ascii="Franklin Gothic Book" w:hAnsi="Franklin Gothic Book"/>
              <w:szCs w:val="22"/>
            </w:rPr>
            <w:t>Gregory Pomper, MD</w:t>
          </w:r>
        </w:p>
      </w:tc>
      <w:tc>
        <w:tcPr>
          <w:tcW w:w="3060" w:type="dxa"/>
          <w:tcBorders>
            <w:bottom w:val="single" w:sz="4" w:space="0" w:color="000000"/>
          </w:tcBorders>
          <w:shd w:val="clear" w:color="auto" w:fill="auto"/>
        </w:tcPr>
        <w:p w14:paraId="2BAFD1CC" w14:textId="77777777"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13103A61" w14:textId="77777777" w:rsidR="001F0047" w:rsidRPr="001F0047" w:rsidRDefault="00EA4BD1" w:rsidP="001F0047">
          <w:pPr>
            <w:rPr>
              <w:rFonts w:ascii="Franklin Gothic Demi" w:hAnsi="Franklin Gothic Demi"/>
              <w:smallCaps/>
              <w:szCs w:val="22"/>
            </w:rPr>
          </w:pPr>
          <w:r>
            <w:rPr>
              <w:rFonts w:ascii="Franklin Gothic Book" w:hAnsi="Franklin Gothic Book" w:cs="Calibri"/>
              <w:szCs w:val="22"/>
            </w:rPr>
            <w:t>Blood Bank</w:t>
          </w:r>
        </w:p>
      </w:tc>
      <w:tc>
        <w:tcPr>
          <w:tcW w:w="3145" w:type="dxa"/>
          <w:tcBorders>
            <w:bottom w:val="single" w:sz="4" w:space="0" w:color="000000"/>
          </w:tcBorders>
          <w:shd w:val="clear" w:color="auto" w:fill="auto"/>
        </w:tcPr>
        <w:p w14:paraId="709C68B6" w14:textId="77777777"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14:paraId="3B6A0747" w14:textId="77777777" w:rsidR="001F0047" w:rsidRPr="00A2219E" w:rsidRDefault="00EA4BD1" w:rsidP="001F0047">
          <w:pPr>
            <w:rPr>
              <w:rFonts w:ascii="Franklin Gothic Book" w:hAnsi="Franklin Gothic Book" w:cs="Calibri"/>
              <w:szCs w:val="22"/>
            </w:rPr>
          </w:pPr>
          <w:r>
            <w:rPr>
              <w:rFonts w:ascii="Franklin Gothic Book" w:hAnsi="Franklin Gothic Book" w:cs="Calibri"/>
              <w:szCs w:val="22"/>
            </w:rPr>
            <w:t>Blood bank Management</w:t>
          </w:r>
          <w:r w:rsidR="001F0047" w:rsidRPr="00A2219E">
            <w:rPr>
              <w:rFonts w:ascii="Franklin Gothic Book" w:hAnsi="Franklin Gothic Book" w:cs="Calibri"/>
              <w:szCs w:val="22"/>
            </w:rPr>
            <w:fldChar w:fldCharType="begin"/>
          </w:r>
          <w:r w:rsidR="001F0047" w:rsidRPr="00A2219E">
            <w:rPr>
              <w:rFonts w:ascii="Franklin Gothic Book" w:hAnsi="Franklin Gothic Book" w:cs="Calibri"/>
              <w:szCs w:val="22"/>
            </w:rPr>
            <w:instrText xml:space="preserve"> DOCVARIABLE "PO Job Title" \* MERGEFORMAT </w:instrText>
          </w:r>
          <w:r w:rsidR="001F0047" w:rsidRPr="00A2219E">
            <w:rPr>
              <w:rFonts w:ascii="Franklin Gothic Book" w:hAnsi="Franklin Gothic Book" w:cs="Calibri"/>
              <w:szCs w:val="22"/>
            </w:rPr>
            <w:fldChar w:fldCharType="end"/>
          </w:r>
        </w:p>
        <w:p w14:paraId="6DA5FDB1" w14:textId="77777777" w:rsidR="00636B43" w:rsidRPr="00636B43" w:rsidRDefault="00636B43" w:rsidP="00A153FF">
          <w:pPr>
            <w:rPr>
              <w:rFonts w:ascii="Franklin Gothic Book" w:hAnsi="Franklin Gothic Book"/>
              <w:szCs w:val="22"/>
            </w:rPr>
          </w:pPr>
        </w:p>
      </w:tc>
    </w:tr>
  </w:tbl>
  <w:p w14:paraId="38468A08" w14:textId="77777777"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665BF"/>
    <w:multiLevelType w:val="hybridMultilevel"/>
    <w:tmpl w:val="78F03486"/>
    <w:lvl w:ilvl="0" w:tplc="F6360B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F04C52"/>
    <w:multiLevelType w:val="hybridMultilevel"/>
    <w:tmpl w:val="A836B3B2"/>
    <w:lvl w:ilvl="0" w:tplc="E05A77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35D764D"/>
    <w:multiLevelType w:val="hybridMultilevel"/>
    <w:tmpl w:val="0E60C2A4"/>
    <w:lvl w:ilvl="0" w:tplc="2E109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435D6A"/>
    <w:multiLevelType w:val="hybridMultilevel"/>
    <w:tmpl w:val="8EC46E94"/>
    <w:lvl w:ilvl="0" w:tplc="180AA8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F31945"/>
    <w:multiLevelType w:val="hybridMultilevel"/>
    <w:tmpl w:val="86389AB2"/>
    <w:lvl w:ilvl="0" w:tplc="44C246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AA344F"/>
    <w:multiLevelType w:val="hybridMultilevel"/>
    <w:tmpl w:val="DD6E553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031032"/>
    <w:multiLevelType w:val="hybridMultilevel"/>
    <w:tmpl w:val="CCDCA466"/>
    <w:lvl w:ilvl="0" w:tplc="C66228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9813EF"/>
    <w:multiLevelType w:val="hybridMultilevel"/>
    <w:tmpl w:val="ED8CB01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194F8F"/>
    <w:multiLevelType w:val="hybridMultilevel"/>
    <w:tmpl w:val="BBA8C39C"/>
    <w:lvl w:ilvl="0" w:tplc="B13E455C">
      <w:start w:val="1"/>
      <w:numFmt w:val="lowerLetter"/>
      <w:pStyle w:val="Style2"/>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3D2B61"/>
    <w:multiLevelType w:val="hybridMultilevel"/>
    <w:tmpl w:val="E58A99F2"/>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16cid:durableId="913512287">
    <w:abstractNumId w:val="4"/>
  </w:num>
  <w:num w:numId="2" w16cid:durableId="1584484447">
    <w:abstractNumId w:val="6"/>
  </w:num>
  <w:num w:numId="3" w16cid:durableId="476458868">
    <w:abstractNumId w:val="13"/>
  </w:num>
  <w:num w:numId="4" w16cid:durableId="2007322598">
    <w:abstractNumId w:val="15"/>
  </w:num>
  <w:num w:numId="5" w16cid:durableId="1326320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66476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9544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5443905">
    <w:abstractNumId w:val="2"/>
  </w:num>
  <w:num w:numId="9" w16cid:durableId="376315571">
    <w:abstractNumId w:val="1"/>
  </w:num>
  <w:num w:numId="10" w16cid:durableId="39087500">
    <w:abstractNumId w:val="12"/>
  </w:num>
  <w:num w:numId="11" w16cid:durableId="1792170463">
    <w:abstractNumId w:val="14"/>
  </w:num>
  <w:num w:numId="12" w16cid:durableId="570311901">
    <w:abstractNumId w:val="14"/>
  </w:num>
  <w:num w:numId="13" w16cid:durableId="878666528">
    <w:abstractNumId w:val="14"/>
  </w:num>
  <w:num w:numId="14" w16cid:durableId="261645897">
    <w:abstractNumId w:val="14"/>
    <w:lvlOverride w:ilvl="0">
      <w:startOverride w:val="1"/>
    </w:lvlOverride>
  </w:num>
  <w:num w:numId="15" w16cid:durableId="455566890">
    <w:abstractNumId w:val="9"/>
  </w:num>
  <w:num w:numId="16" w16cid:durableId="1360542262">
    <w:abstractNumId w:val="11"/>
  </w:num>
  <w:num w:numId="17" w16cid:durableId="166795697">
    <w:abstractNumId w:val="8"/>
  </w:num>
  <w:num w:numId="18" w16cid:durableId="2130317919">
    <w:abstractNumId w:val="3"/>
  </w:num>
  <w:num w:numId="19" w16cid:durableId="1448620111">
    <w:abstractNumId w:val="10"/>
  </w:num>
  <w:num w:numId="20" w16cid:durableId="899287873">
    <w:abstractNumId w:val="7"/>
  </w:num>
  <w:num w:numId="21" w16cid:durableId="4597612">
    <w:abstractNumId w:val="0"/>
  </w:num>
  <w:num w:numId="22" w16cid:durableId="188936847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03892"/>
    <w:rsid w:val="00022E65"/>
    <w:rsid w:val="00026C49"/>
    <w:rsid w:val="000347EB"/>
    <w:rsid w:val="0003641D"/>
    <w:rsid w:val="00036EC2"/>
    <w:rsid w:val="00036F38"/>
    <w:rsid w:val="000553EF"/>
    <w:rsid w:val="000676BB"/>
    <w:rsid w:val="00072C00"/>
    <w:rsid w:val="0008348F"/>
    <w:rsid w:val="000860E4"/>
    <w:rsid w:val="00092447"/>
    <w:rsid w:val="00097591"/>
    <w:rsid w:val="000A1EA4"/>
    <w:rsid w:val="000A2499"/>
    <w:rsid w:val="000A43F4"/>
    <w:rsid w:val="000A51C0"/>
    <w:rsid w:val="000A6017"/>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222AF"/>
    <w:rsid w:val="001307B1"/>
    <w:rsid w:val="00133E25"/>
    <w:rsid w:val="00145F93"/>
    <w:rsid w:val="00147218"/>
    <w:rsid w:val="0015270A"/>
    <w:rsid w:val="00174F3C"/>
    <w:rsid w:val="001827EB"/>
    <w:rsid w:val="00184E9B"/>
    <w:rsid w:val="00185320"/>
    <w:rsid w:val="0019262D"/>
    <w:rsid w:val="00196438"/>
    <w:rsid w:val="001A44EF"/>
    <w:rsid w:val="001C08C3"/>
    <w:rsid w:val="001C0D78"/>
    <w:rsid w:val="001C63A8"/>
    <w:rsid w:val="001D01F9"/>
    <w:rsid w:val="001E09B7"/>
    <w:rsid w:val="001E2497"/>
    <w:rsid w:val="001E6D1E"/>
    <w:rsid w:val="001E73A6"/>
    <w:rsid w:val="001F0047"/>
    <w:rsid w:val="00200A78"/>
    <w:rsid w:val="002032E0"/>
    <w:rsid w:val="00206E98"/>
    <w:rsid w:val="002347C1"/>
    <w:rsid w:val="002406B9"/>
    <w:rsid w:val="002413E5"/>
    <w:rsid w:val="002425FA"/>
    <w:rsid w:val="002451BA"/>
    <w:rsid w:val="00251171"/>
    <w:rsid w:val="00253095"/>
    <w:rsid w:val="002544FF"/>
    <w:rsid w:val="002554A6"/>
    <w:rsid w:val="00256BD9"/>
    <w:rsid w:val="0026202E"/>
    <w:rsid w:val="002629AC"/>
    <w:rsid w:val="00275FC0"/>
    <w:rsid w:val="002973A2"/>
    <w:rsid w:val="002B7EAC"/>
    <w:rsid w:val="002D5BEC"/>
    <w:rsid w:val="002E06AD"/>
    <w:rsid w:val="002E2BA6"/>
    <w:rsid w:val="002E7E39"/>
    <w:rsid w:val="002F64B9"/>
    <w:rsid w:val="00301570"/>
    <w:rsid w:val="003041C6"/>
    <w:rsid w:val="00327C4D"/>
    <w:rsid w:val="00341E64"/>
    <w:rsid w:val="003432C0"/>
    <w:rsid w:val="003509F9"/>
    <w:rsid w:val="00353C0F"/>
    <w:rsid w:val="003551FD"/>
    <w:rsid w:val="00361B1C"/>
    <w:rsid w:val="00366A9A"/>
    <w:rsid w:val="0038097D"/>
    <w:rsid w:val="00380DF7"/>
    <w:rsid w:val="003821CE"/>
    <w:rsid w:val="003860E2"/>
    <w:rsid w:val="003866A3"/>
    <w:rsid w:val="00391558"/>
    <w:rsid w:val="003921E7"/>
    <w:rsid w:val="00393BBD"/>
    <w:rsid w:val="003A497A"/>
    <w:rsid w:val="003A63DA"/>
    <w:rsid w:val="003A666B"/>
    <w:rsid w:val="003B0CBF"/>
    <w:rsid w:val="003B12C4"/>
    <w:rsid w:val="003B660A"/>
    <w:rsid w:val="003B6F7E"/>
    <w:rsid w:val="003C092E"/>
    <w:rsid w:val="003C4DEB"/>
    <w:rsid w:val="003C7519"/>
    <w:rsid w:val="003D7FD1"/>
    <w:rsid w:val="003F0C2D"/>
    <w:rsid w:val="003F3A39"/>
    <w:rsid w:val="004008F3"/>
    <w:rsid w:val="004071A1"/>
    <w:rsid w:val="00411B16"/>
    <w:rsid w:val="00413A0C"/>
    <w:rsid w:val="0041764C"/>
    <w:rsid w:val="004235C5"/>
    <w:rsid w:val="0044388D"/>
    <w:rsid w:val="004511F3"/>
    <w:rsid w:val="00451770"/>
    <w:rsid w:val="00461364"/>
    <w:rsid w:val="004619BF"/>
    <w:rsid w:val="00463AAA"/>
    <w:rsid w:val="0046616B"/>
    <w:rsid w:val="00474EBA"/>
    <w:rsid w:val="00491E5A"/>
    <w:rsid w:val="004A683B"/>
    <w:rsid w:val="004C075D"/>
    <w:rsid w:val="004C5749"/>
    <w:rsid w:val="004C7097"/>
    <w:rsid w:val="004D3F73"/>
    <w:rsid w:val="004D58AA"/>
    <w:rsid w:val="004E766F"/>
    <w:rsid w:val="004F3FAB"/>
    <w:rsid w:val="00510757"/>
    <w:rsid w:val="0052064A"/>
    <w:rsid w:val="0052326B"/>
    <w:rsid w:val="00523474"/>
    <w:rsid w:val="005235EA"/>
    <w:rsid w:val="00524D92"/>
    <w:rsid w:val="00526E21"/>
    <w:rsid w:val="005448BC"/>
    <w:rsid w:val="00551715"/>
    <w:rsid w:val="00561CB9"/>
    <w:rsid w:val="0056313C"/>
    <w:rsid w:val="005870D2"/>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4152"/>
    <w:rsid w:val="006B7B84"/>
    <w:rsid w:val="006C2C85"/>
    <w:rsid w:val="006C37E2"/>
    <w:rsid w:val="006E03C4"/>
    <w:rsid w:val="006E2203"/>
    <w:rsid w:val="006E4E76"/>
    <w:rsid w:val="006E6328"/>
    <w:rsid w:val="006F20FA"/>
    <w:rsid w:val="006F342C"/>
    <w:rsid w:val="00713163"/>
    <w:rsid w:val="0071378D"/>
    <w:rsid w:val="007151C7"/>
    <w:rsid w:val="007156DD"/>
    <w:rsid w:val="00716A19"/>
    <w:rsid w:val="00720CD8"/>
    <w:rsid w:val="007220A8"/>
    <w:rsid w:val="007238BB"/>
    <w:rsid w:val="0073028D"/>
    <w:rsid w:val="00765FB5"/>
    <w:rsid w:val="00771B60"/>
    <w:rsid w:val="00772448"/>
    <w:rsid w:val="00785422"/>
    <w:rsid w:val="007A767B"/>
    <w:rsid w:val="007B2DD3"/>
    <w:rsid w:val="007B3C9E"/>
    <w:rsid w:val="007B7E37"/>
    <w:rsid w:val="007C60EA"/>
    <w:rsid w:val="007C79F1"/>
    <w:rsid w:val="007E44A2"/>
    <w:rsid w:val="007F6B7A"/>
    <w:rsid w:val="00803E57"/>
    <w:rsid w:val="00813717"/>
    <w:rsid w:val="00814BAF"/>
    <w:rsid w:val="00814C90"/>
    <w:rsid w:val="00816E35"/>
    <w:rsid w:val="00820F2D"/>
    <w:rsid w:val="00822A08"/>
    <w:rsid w:val="00824D03"/>
    <w:rsid w:val="00830F9F"/>
    <w:rsid w:val="00854115"/>
    <w:rsid w:val="00862AEF"/>
    <w:rsid w:val="00866359"/>
    <w:rsid w:val="00870B1C"/>
    <w:rsid w:val="00870E14"/>
    <w:rsid w:val="00872044"/>
    <w:rsid w:val="0088105A"/>
    <w:rsid w:val="008852EE"/>
    <w:rsid w:val="00887AE0"/>
    <w:rsid w:val="00890053"/>
    <w:rsid w:val="00893C16"/>
    <w:rsid w:val="008A29BB"/>
    <w:rsid w:val="008A36A1"/>
    <w:rsid w:val="008A7FE8"/>
    <w:rsid w:val="008B61CC"/>
    <w:rsid w:val="008C413A"/>
    <w:rsid w:val="008E16B1"/>
    <w:rsid w:val="008E261F"/>
    <w:rsid w:val="008E4FB8"/>
    <w:rsid w:val="008F3AB7"/>
    <w:rsid w:val="008F3E6D"/>
    <w:rsid w:val="00902501"/>
    <w:rsid w:val="00904FFE"/>
    <w:rsid w:val="00920578"/>
    <w:rsid w:val="00926971"/>
    <w:rsid w:val="00926AE4"/>
    <w:rsid w:val="00937E43"/>
    <w:rsid w:val="0094557E"/>
    <w:rsid w:val="00952900"/>
    <w:rsid w:val="00952ADC"/>
    <w:rsid w:val="009623C8"/>
    <w:rsid w:val="00962F89"/>
    <w:rsid w:val="00974CB9"/>
    <w:rsid w:val="00982D37"/>
    <w:rsid w:val="00992A80"/>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39E6"/>
    <w:rsid w:val="00A153FF"/>
    <w:rsid w:val="00A1776F"/>
    <w:rsid w:val="00A2219E"/>
    <w:rsid w:val="00A401E8"/>
    <w:rsid w:val="00A46999"/>
    <w:rsid w:val="00A65865"/>
    <w:rsid w:val="00A7748A"/>
    <w:rsid w:val="00A93F53"/>
    <w:rsid w:val="00AB6757"/>
    <w:rsid w:val="00AD3ED3"/>
    <w:rsid w:val="00AD6EAA"/>
    <w:rsid w:val="00AE1BC2"/>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80A9E"/>
    <w:rsid w:val="00B80B6D"/>
    <w:rsid w:val="00B84425"/>
    <w:rsid w:val="00B87470"/>
    <w:rsid w:val="00B9216F"/>
    <w:rsid w:val="00B96DAD"/>
    <w:rsid w:val="00BB31C2"/>
    <w:rsid w:val="00BB7407"/>
    <w:rsid w:val="00BC1856"/>
    <w:rsid w:val="00BC1F42"/>
    <w:rsid w:val="00BC1FAB"/>
    <w:rsid w:val="00BC39F2"/>
    <w:rsid w:val="00BC5C9E"/>
    <w:rsid w:val="00BC5EFA"/>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62B47"/>
    <w:rsid w:val="00C66A25"/>
    <w:rsid w:val="00C67BC1"/>
    <w:rsid w:val="00C71292"/>
    <w:rsid w:val="00C750CD"/>
    <w:rsid w:val="00C86665"/>
    <w:rsid w:val="00C9041A"/>
    <w:rsid w:val="00C95B9D"/>
    <w:rsid w:val="00CA16FD"/>
    <w:rsid w:val="00CA55ED"/>
    <w:rsid w:val="00CA7E82"/>
    <w:rsid w:val="00CC6583"/>
    <w:rsid w:val="00CE56A2"/>
    <w:rsid w:val="00CF2462"/>
    <w:rsid w:val="00CF4DC6"/>
    <w:rsid w:val="00D02414"/>
    <w:rsid w:val="00D20EC1"/>
    <w:rsid w:val="00D33F1F"/>
    <w:rsid w:val="00D3656D"/>
    <w:rsid w:val="00D37C48"/>
    <w:rsid w:val="00D54417"/>
    <w:rsid w:val="00D61618"/>
    <w:rsid w:val="00D7219A"/>
    <w:rsid w:val="00D77EDD"/>
    <w:rsid w:val="00D837ED"/>
    <w:rsid w:val="00D84A3E"/>
    <w:rsid w:val="00D93B19"/>
    <w:rsid w:val="00D96018"/>
    <w:rsid w:val="00D96343"/>
    <w:rsid w:val="00D9745D"/>
    <w:rsid w:val="00DA39D9"/>
    <w:rsid w:val="00DA7E98"/>
    <w:rsid w:val="00DB1546"/>
    <w:rsid w:val="00DB5527"/>
    <w:rsid w:val="00DC0884"/>
    <w:rsid w:val="00DC0D2A"/>
    <w:rsid w:val="00DC3CD1"/>
    <w:rsid w:val="00DC46C4"/>
    <w:rsid w:val="00DC5F2B"/>
    <w:rsid w:val="00DC6660"/>
    <w:rsid w:val="00DD3BA0"/>
    <w:rsid w:val="00DD701F"/>
    <w:rsid w:val="00DD7A44"/>
    <w:rsid w:val="00DE3F97"/>
    <w:rsid w:val="00DE5986"/>
    <w:rsid w:val="00DF1404"/>
    <w:rsid w:val="00DF54C6"/>
    <w:rsid w:val="00DF6E1E"/>
    <w:rsid w:val="00E05795"/>
    <w:rsid w:val="00E079DB"/>
    <w:rsid w:val="00E114E3"/>
    <w:rsid w:val="00E26DD8"/>
    <w:rsid w:val="00E27893"/>
    <w:rsid w:val="00E4334E"/>
    <w:rsid w:val="00E4419B"/>
    <w:rsid w:val="00E54307"/>
    <w:rsid w:val="00E60452"/>
    <w:rsid w:val="00E63D04"/>
    <w:rsid w:val="00E731F2"/>
    <w:rsid w:val="00E73EFC"/>
    <w:rsid w:val="00E76715"/>
    <w:rsid w:val="00E85228"/>
    <w:rsid w:val="00E85CEC"/>
    <w:rsid w:val="00E91657"/>
    <w:rsid w:val="00E91BFD"/>
    <w:rsid w:val="00E96A8E"/>
    <w:rsid w:val="00EA4BD1"/>
    <w:rsid w:val="00EA5BC7"/>
    <w:rsid w:val="00EB1482"/>
    <w:rsid w:val="00EC7EF2"/>
    <w:rsid w:val="00ED771E"/>
    <w:rsid w:val="00EF4D17"/>
    <w:rsid w:val="00EF6FF9"/>
    <w:rsid w:val="00F24667"/>
    <w:rsid w:val="00F33D15"/>
    <w:rsid w:val="00F36359"/>
    <w:rsid w:val="00F41790"/>
    <w:rsid w:val="00F455F9"/>
    <w:rsid w:val="00F55595"/>
    <w:rsid w:val="00F574B4"/>
    <w:rsid w:val="00F61739"/>
    <w:rsid w:val="00F63F3B"/>
    <w:rsid w:val="00F66251"/>
    <w:rsid w:val="00F81001"/>
    <w:rsid w:val="00F83075"/>
    <w:rsid w:val="00F921FA"/>
    <w:rsid w:val="00F970F9"/>
    <w:rsid w:val="00F97592"/>
    <w:rsid w:val="00FA195B"/>
    <w:rsid w:val="00FA33E0"/>
    <w:rsid w:val="00FB13B2"/>
    <w:rsid w:val="00FD60C5"/>
    <w:rsid w:val="00FD687D"/>
    <w:rsid w:val="00FE32AC"/>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0459605"/>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48AE32E-D24E-482C-B9F6-C32E2CB1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Labs.dotx</Template>
  <TotalTime>1</TotalTime>
  <Pages>5</Pages>
  <Words>1453</Words>
  <Characters>7600</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3</cp:revision>
  <cp:lastPrinted>2021-01-06T15:06:00Z</cp:lastPrinted>
  <dcterms:created xsi:type="dcterms:W3CDTF">2024-02-13T16:45:00Z</dcterms:created>
  <dcterms:modified xsi:type="dcterms:W3CDTF">2024-02-19T16:32:00Z</dcterms:modified>
</cp:coreProperties>
</file>