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FB850" w14:textId="77777777" w:rsidR="00606A36" w:rsidRPr="00D84A3E" w:rsidRDefault="001C63A8" w:rsidP="00887AE0">
      <w:pPr>
        <w:pStyle w:val="Heading1"/>
      </w:pPr>
      <w:r>
        <w:t>Applicable Laboratory(s)</w:t>
      </w:r>
      <w:r w:rsidR="00606A36" w:rsidRPr="00D84A3E">
        <w:t>)</w:t>
      </w:r>
      <w:r w:rsidR="00606A36">
        <w:t>:</w:t>
      </w:r>
    </w:p>
    <w:p w14:paraId="037E9608"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2A4E5087" w14:textId="190BADDD" w:rsidR="00606A36" w:rsidRPr="00887AE0" w:rsidRDefault="001E5452" w:rsidP="0056313C">
      <w:pPr>
        <w:rPr>
          <w:rFonts w:cs="Arial"/>
        </w:rPr>
      </w:pPr>
      <w:sdt>
        <w:sdtPr>
          <w:id w:val="-761983799"/>
          <w14:checkbox>
            <w14:checked w14:val="1"/>
            <w14:checkedState w14:val="2612" w14:font="MS Gothic"/>
            <w14:uncheckedState w14:val="2610" w14:font="MS Gothic"/>
          </w14:checkbox>
        </w:sdtPr>
        <w:sdtEndPr/>
        <w:sdtContent>
          <w:r w:rsidR="004D54EE">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1974178C" w14:textId="77777777" w:rsidR="00606A36" w:rsidRPr="00887AE0" w:rsidRDefault="001E5452"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15B81ACC" w14:textId="77777777" w:rsidR="00606A36" w:rsidRPr="00887AE0" w:rsidRDefault="001E5452"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52E8BBC8" w14:textId="77777777" w:rsidR="00606A36" w:rsidRPr="00887AE0" w:rsidRDefault="001E5452"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4578BFEC" w14:textId="77777777" w:rsidR="00606A36" w:rsidRPr="00887AE0" w:rsidRDefault="001E5452"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44679986" w14:textId="77777777" w:rsidR="00606A36" w:rsidRDefault="001E5452"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55798CE2" w14:textId="77777777" w:rsidR="00636B43" w:rsidRDefault="001E5452"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331EA6D3" w14:textId="77777777" w:rsidR="00BF5F7B" w:rsidRDefault="00BF5F7B" w:rsidP="00BF5F7B"/>
    <w:p w14:paraId="39F2B5A2" w14:textId="77777777" w:rsidR="00353C0F" w:rsidRDefault="00524D92" w:rsidP="00BF5F7B">
      <w:pPr>
        <w:pStyle w:val="Heading1"/>
      </w:pPr>
      <w:r>
        <w:t>Procedure</w:t>
      </w:r>
      <w:r w:rsidR="00B048D9">
        <w:t xml:space="preserve"> Statement</w:t>
      </w:r>
    </w:p>
    <w:p w14:paraId="2F2EDE8C" w14:textId="77777777" w:rsidR="00BF5F7B" w:rsidRDefault="00BF5F7B" w:rsidP="00887AE0"/>
    <w:p w14:paraId="341C5A68" w14:textId="1BC08125" w:rsidR="008E16B1" w:rsidRDefault="008E16B1" w:rsidP="00887AE0">
      <w:r>
        <w:t xml:space="preserve">The purpose of this </w:t>
      </w:r>
      <w:r w:rsidR="00B80B6D">
        <w:t xml:space="preserve">policy is </w:t>
      </w:r>
      <w:r w:rsidR="004D54EE">
        <w:t>list exceptions generated by SCC</w:t>
      </w:r>
      <w:r w:rsidR="00D8229E">
        <w:t xml:space="preserve">.  </w:t>
      </w:r>
      <w:proofErr w:type="gramStart"/>
      <w:r w:rsidR="00D8229E">
        <w:t>Also</w:t>
      </w:r>
      <w:proofErr w:type="gramEnd"/>
      <w:r w:rsidR="00D8229E">
        <w:t xml:space="preserve"> when and which actions trigger each one</w:t>
      </w:r>
      <w:r w:rsidR="004D54EE">
        <w:t xml:space="preserve">.  </w:t>
      </w:r>
    </w:p>
    <w:p w14:paraId="3EC50E70" w14:textId="77777777" w:rsidR="0056313C" w:rsidRDefault="0056313C" w:rsidP="00887AE0"/>
    <w:p w14:paraId="28C7C38B" w14:textId="77777777" w:rsidR="00B048D9" w:rsidRDefault="00B048D9" w:rsidP="00887AE0">
      <w:pPr>
        <w:pStyle w:val="Heading1"/>
      </w:pPr>
      <w:r>
        <w:t>Scope</w:t>
      </w:r>
    </w:p>
    <w:p w14:paraId="12A571B5" w14:textId="77777777" w:rsidR="0056313C" w:rsidRDefault="0056313C" w:rsidP="0056313C"/>
    <w:p w14:paraId="7250A3F3" w14:textId="2BD114C2" w:rsidR="00D8229E" w:rsidRDefault="00D8229E" w:rsidP="00D8229E">
      <w:pPr>
        <w:pStyle w:val="Default"/>
        <w:rPr>
          <w:sz w:val="22"/>
          <w:szCs w:val="22"/>
        </w:rPr>
      </w:pPr>
      <w:r>
        <w:rPr>
          <w:sz w:val="22"/>
          <w:szCs w:val="22"/>
        </w:rPr>
        <w:t xml:space="preserve">Protocol owner/Implementer: Blood Bank Management </w:t>
      </w:r>
    </w:p>
    <w:p w14:paraId="1AAE8D7A" w14:textId="7BC5DA7A" w:rsidR="00D8229E" w:rsidRDefault="00D8229E" w:rsidP="00D8229E">
      <w:pPr>
        <w:pStyle w:val="Default"/>
        <w:rPr>
          <w:sz w:val="22"/>
          <w:szCs w:val="22"/>
        </w:rPr>
      </w:pPr>
      <w:r>
        <w:rPr>
          <w:sz w:val="22"/>
          <w:szCs w:val="22"/>
        </w:rPr>
        <w:t>Protocol prepared by: Julie Jackson</w:t>
      </w:r>
    </w:p>
    <w:p w14:paraId="7A545C0A" w14:textId="35763FE3" w:rsidR="002451BA" w:rsidRPr="00B3765F" w:rsidRDefault="00D8229E" w:rsidP="00D8229E">
      <w:r>
        <w:rPr>
          <w:szCs w:val="22"/>
        </w:rPr>
        <w:t>Who performs protocol: Department staff/management</w:t>
      </w:r>
    </w:p>
    <w:p w14:paraId="5F571B78" w14:textId="77777777" w:rsidR="00D8229E" w:rsidRDefault="00D8229E" w:rsidP="00887AE0">
      <w:pPr>
        <w:pStyle w:val="Heading1"/>
      </w:pPr>
    </w:p>
    <w:p w14:paraId="115BF13C" w14:textId="0F16235B" w:rsidR="00B048D9" w:rsidRDefault="00B048D9" w:rsidP="00887AE0">
      <w:pPr>
        <w:pStyle w:val="Heading1"/>
      </w:pPr>
      <w:r>
        <w:t>Definitions</w:t>
      </w:r>
    </w:p>
    <w:p w14:paraId="0F42392E" w14:textId="77777777" w:rsidR="00BF5F7B" w:rsidRPr="00BF5F7B" w:rsidRDefault="00BF5F7B" w:rsidP="00BF5F7B"/>
    <w:p w14:paraId="7A985DE4" w14:textId="77777777" w:rsidR="003C4DEB" w:rsidRDefault="00524D92" w:rsidP="00110234">
      <w:pPr>
        <w:pStyle w:val="ListParagraph"/>
      </w:pPr>
      <w:r>
        <w:t>P</w:t>
      </w:r>
      <w:r w:rsidR="00110234">
        <w:t xml:space="preserve">olicy: </w:t>
      </w:r>
      <w:r w:rsidR="003C4DEB" w:rsidRPr="00887AE0">
        <w:t xml:space="preserve"> </w:t>
      </w:r>
      <w:r w:rsidR="00110234">
        <w:t>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14:paraId="4256FF45" w14:textId="2C268D7E"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5E0EE51A" w14:textId="35072D19" w:rsidR="004D54EE" w:rsidRPr="004D54EE" w:rsidRDefault="00D356BB" w:rsidP="00D356BB">
      <w:pPr>
        <w:pStyle w:val="ListParagraph"/>
      </w:pPr>
      <w:r>
        <w:t>SCC: Soft Computer Consultants.  The Blood Bank/Transfusion Services computer system for all sites of WFBH Lab System that have a Blood Bank/Transfusion Service.</w:t>
      </w:r>
    </w:p>
    <w:p w14:paraId="1E8BD542" w14:textId="77777777" w:rsidR="003C4DEB" w:rsidRPr="00605CB6" w:rsidRDefault="003C4DEB" w:rsidP="0056313C"/>
    <w:p w14:paraId="7580FA9F" w14:textId="77777777" w:rsidR="00A2219E" w:rsidRPr="00B3765F" w:rsidRDefault="00A2219E" w:rsidP="0056313C"/>
    <w:p w14:paraId="7D14A30F" w14:textId="77777777" w:rsidR="00D3238D" w:rsidRDefault="00D3238D">
      <w:pPr>
        <w:rPr>
          <w:b/>
          <w:smallCaps/>
          <w:szCs w:val="22"/>
        </w:rPr>
      </w:pPr>
      <w:r>
        <w:br w:type="page"/>
      </w:r>
    </w:p>
    <w:p w14:paraId="701BA80F" w14:textId="70E4300F" w:rsidR="00B048D9" w:rsidRDefault="00DC0D2A" w:rsidP="00887AE0">
      <w:pPr>
        <w:pStyle w:val="Heading1"/>
      </w:pPr>
      <w:r>
        <w:lastRenderedPageBreak/>
        <w:t>Policy</w:t>
      </w:r>
      <w:r w:rsidR="008E16B1">
        <w:t xml:space="preserve"> </w:t>
      </w:r>
      <w:r w:rsidR="003B660A">
        <w:t>Guidelines</w:t>
      </w:r>
    </w:p>
    <w:p w14:paraId="700B42DA" w14:textId="77777777" w:rsidR="008A7FE8" w:rsidRDefault="008A7FE8" w:rsidP="0056313C"/>
    <w:p w14:paraId="7B10ABB0" w14:textId="5B60226E" w:rsidR="008A7FE8" w:rsidRDefault="001E5452" w:rsidP="00B47EBA">
      <w:pPr>
        <w:pStyle w:val="ListParagraph"/>
        <w:numPr>
          <w:ilvl w:val="0"/>
          <w:numId w:val="14"/>
        </w:numPr>
        <w:spacing w:after="120"/>
        <w:contextualSpacing w:val="0"/>
      </w:pPr>
      <w:r>
        <w:t xml:space="preserve">QA Warnings </w:t>
      </w:r>
      <w:r w:rsidR="00D8229E">
        <w:t xml:space="preserve">are generated when an action performed in </w:t>
      </w:r>
      <w:r>
        <w:t>Sunquest</w:t>
      </w:r>
      <w:r w:rsidR="00D8229E">
        <w:t xml:space="preserve"> is outside of the normal procedure or </w:t>
      </w:r>
      <w:r w:rsidR="00CC501D">
        <w:t>ab</w:t>
      </w:r>
      <w:r w:rsidR="00D8229E">
        <w:t xml:space="preserve">normal results and needs an explanation as to the circumstances of the action.  This includes, but is not limited to, </w:t>
      </w:r>
      <w:proofErr w:type="gramStart"/>
      <w:r w:rsidR="00D8229E">
        <w:t>Issuing</w:t>
      </w:r>
      <w:proofErr w:type="gramEnd"/>
      <w:r w:rsidR="00D8229E">
        <w:t xml:space="preserve"> products, Emergency issuing products, Selecting products, Resulting patient testing, </w:t>
      </w:r>
      <w:proofErr w:type="spellStart"/>
      <w:r w:rsidR="00D8229E">
        <w:t>etc</w:t>
      </w:r>
      <w:proofErr w:type="spellEnd"/>
      <w:r w:rsidR="00D8229E">
        <w:t>…</w:t>
      </w:r>
    </w:p>
    <w:p w14:paraId="5D1DC162" w14:textId="72F99E85" w:rsidR="008A7FE8" w:rsidRPr="00887AE0" w:rsidRDefault="00D8229E" w:rsidP="00B47EBA">
      <w:pPr>
        <w:pStyle w:val="Style1"/>
        <w:spacing w:after="120"/>
        <w:contextualSpacing w:val="0"/>
      </w:pPr>
      <w:r>
        <w:t>Examples would include:</w:t>
      </w:r>
    </w:p>
    <w:p w14:paraId="5990C60F" w14:textId="1087A046" w:rsidR="008A7FE8" w:rsidRDefault="00CC501D" w:rsidP="006D14D9">
      <w:pPr>
        <w:pStyle w:val="Style2"/>
        <w:spacing w:after="120"/>
        <w:ind w:left="1440"/>
        <w:contextualSpacing w:val="0"/>
      </w:pPr>
      <w:r>
        <w:t xml:space="preserve">When a </w:t>
      </w:r>
      <w:proofErr w:type="gramStart"/>
      <w:r>
        <w:t>Rh positive</w:t>
      </w:r>
      <w:proofErr w:type="gramEnd"/>
      <w:r>
        <w:t xml:space="preserve"> red cell unit is issued to</w:t>
      </w:r>
      <w:r w:rsidR="003E5D54">
        <w:t xml:space="preserve"> a Rh negative </w:t>
      </w:r>
      <w:r w:rsidR="001E5452">
        <w:t>patient</w:t>
      </w:r>
    </w:p>
    <w:p w14:paraId="464BDFB2" w14:textId="62C95C95" w:rsidR="001E5452" w:rsidRDefault="001E5452" w:rsidP="006D14D9">
      <w:pPr>
        <w:pStyle w:val="Style2"/>
        <w:spacing w:after="120"/>
        <w:ind w:left="1440"/>
        <w:contextualSpacing w:val="0"/>
      </w:pPr>
      <w:r>
        <w:t>Antigen positive or untested blood is selected to a patient with a clinically significant antibody.</w:t>
      </w:r>
    </w:p>
    <w:p w14:paraId="1191D862" w14:textId="69D8597E" w:rsidR="001E5452" w:rsidRDefault="001E5452" w:rsidP="006D14D9">
      <w:pPr>
        <w:pStyle w:val="Style2"/>
        <w:spacing w:after="120"/>
        <w:ind w:left="1440"/>
        <w:contextualSpacing w:val="0"/>
      </w:pPr>
      <w:r>
        <w:t xml:space="preserve">Emergency issue of red cells before XM testing is completed. </w:t>
      </w:r>
    </w:p>
    <w:p w14:paraId="152AB0C2" w14:textId="5A71DDC6" w:rsidR="003E5D54" w:rsidRDefault="001E5452" w:rsidP="00B47EBA">
      <w:pPr>
        <w:pStyle w:val="Style1"/>
        <w:spacing w:after="120"/>
        <w:contextualSpacing w:val="0"/>
      </w:pPr>
      <w:r>
        <w:t>QA warnings</w:t>
      </w:r>
      <w:r w:rsidR="003E5D54">
        <w:t xml:space="preserve"> must be answered</w:t>
      </w:r>
      <w:r w:rsidR="006F2F1C">
        <w:t>, they cannot be bypassed.</w:t>
      </w:r>
    </w:p>
    <w:p w14:paraId="0778054C" w14:textId="77777777" w:rsidR="001E5452" w:rsidRDefault="001E5452" w:rsidP="006D14D9">
      <w:pPr>
        <w:pStyle w:val="Style1"/>
        <w:numPr>
          <w:ilvl w:val="1"/>
          <w:numId w:val="9"/>
        </w:numPr>
        <w:spacing w:after="120"/>
        <w:contextualSpacing w:val="0"/>
      </w:pPr>
      <w:r>
        <w:t xml:space="preserve">Reason Codes </w:t>
      </w:r>
      <w:r w:rsidR="006F2F1C">
        <w:t xml:space="preserve">are available </w:t>
      </w:r>
      <w:r w:rsidR="009D27CC">
        <w:t xml:space="preserve">that may be used.  </w:t>
      </w:r>
    </w:p>
    <w:p w14:paraId="41B8A262" w14:textId="056E0199" w:rsidR="006F2F1C" w:rsidRDefault="001E5452" w:rsidP="006D14D9">
      <w:pPr>
        <w:pStyle w:val="Style1"/>
        <w:numPr>
          <w:ilvl w:val="1"/>
          <w:numId w:val="9"/>
        </w:numPr>
        <w:spacing w:after="120"/>
        <w:contextualSpacing w:val="0"/>
      </w:pPr>
      <w:r>
        <w:t xml:space="preserve">If tech cannot find the appropriate reason, use BBR (Blood Bank Reason) and free text in the explanation. </w:t>
      </w:r>
    </w:p>
    <w:p w14:paraId="23B0A277" w14:textId="25664115" w:rsidR="009D27CC" w:rsidRDefault="0068020C" w:rsidP="00B47EBA">
      <w:pPr>
        <w:pStyle w:val="Style1"/>
        <w:spacing w:after="120"/>
        <w:contextualSpacing w:val="0"/>
      </w:pPr>
      <w:r>
        <w:t xml:space="preserve">When </w:t>
      </w:r>
      <w:r w:rsidR="001E5452">
        <w:t>a warning</w:t>
      </w:r>
      <w:r>
        <w:t xml:space="preserve"> is </w:t>
      </w:r>
      <w:r w:rsidR="00D3238D">
        <w:t>triggered,</w:t>
      </w:r>
      <w:r>
        <w:t xml:space="preserve"> there is information in the box pertaining to the issue.</w:t>
      </w:r>
    </w:p>
    <w:p w14:paraId="1728CC76" w14:textId="37FAB319" w:rsidR="0068020C" w:rsidRDefault="0068020C" w:rsidP="006D14D9">
      <w:pPr>
        <w:pStyle w:val="Style1"/>
        <w:numPr>
          <w:ilvl w:val="1"/>
          <w:numId w:val="9"/>
        </w:numPr>
        <w:spacing w:after="120" w:line="360" w:lineRule="auto"/>
        <w:contextualSpacing w:val="0"/>
      </w:pPr>
      <w:r>
        <w:t xml:space="preserve">In </w:t>
      </w:r>
      <w:r w:rsidR="002B367D">
        <w:t>the following</w:t>
      </w:r>
      <w:r>
        <w:t xml:space="preserve"> example, </w:t>
      </w:r>
      <w:r w:rsidR="001E5452">
        <w:t>a</w:t>
      </w:r>
      <w:r>
        <w:t xml:space="preserve"> </w:t>
      </w:r>
      <w:proofErr w:type="gramStart"/>
      <w:r>
        <w:t>units</w:t>
      </w:r>
      <w:proofErr w:type="gramEnd"/>
      <w:r>
        <w:t xml:space="preserve"> of blood </w:t>
      </w:r>
      <w:r w:rsidR="001E5452">
        <w:t xml:space="preserve">is </w:t>
      </w:r>
      <w:r>
        <w:t xml:space="preserve">emergency issued to a patient that </w:t>
      </w:r>
      <w:r w:rsidR="001E5452">
        <w:t xml:space="preserve">that requires irradiated, </w:t>
      </w:r>
      <w:proofErr w:type="spellStart"/>
      <w:r w:rsidR="001E5452">
        <w:t>HgbS</w:t>
      </w:r>
      <w:proofErr w:type="spellEnd"/>
      <w:r w:rsidR="001E5452">
        <w:t xml:space="preserve"> negative units, but the unit is not registered as IRR or SDNEG</w:t>
      </w:r>
      <w:r>
        <w:t>.</w:t>
      </w:r>
    </w:p>
    <w:p w14:paraId="7D9F9416" w14:textId="7994E5FA" w:rsidR="001E5452" w:rsidRDefault="001E5452" w:rsidP="006D14D9">
      <w:pPr>
        <w:pStyle w:val="Style1"/>
        <w:numPr>
          <w:ilvl w:val="1"/>
          <w:numId w:val="9"/>
        </w:numPr>
        <w:spacing w:after="120" w:line="360" w:lineRule="auto"/>
        <w:contextualSpacing w:val="0"/>
      </w:pPr>
      <w:r>
        <w:t xml:space="preserve">The first warning is triggered at allocation. You must acknowledge the warning. </w:t>
      </w:r>
    </w:p>
    <w:p w14:paraId="465086A7" w14:textId="1927B8F5" w:rsidR="001E5452" w:rsidRDefault="001E5452" w:rsidP="001E5452">
      <w:pPr>
        <w:pStyle w:val="Style1"/>
        <w:numPr>
          <w:ilvl w:val="0"/>
          <w:numId w:val="0"/>
        </w:numPr>
        <w:spacing w:after="120" w:line="360" w:lineRule="auto"/>
        <w:ind w:left="270"/>
        <w:contextualSpacing w:val="0"/>
      </w:pPr>
      <w:r>
        <w:rPr>
          <w:noProof/>
        </w:rPr>
        <w:drawing>
          <wp:inline distT="0" distB="0" distL="0" distR="0" wp14:anchorId="23EF5BA9" wp14:editId="13075A8B">
            <wp:extent cx="5943600" cy="2334895"/>
            <wp:effectExtent l="0" t="0" r="0" b="8255"/>
            <wp:docPr id="10601795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79515" name="Picture 1" descr="A screenshot of a computer&#10;&#10;Description automatically generated"/>
                    <pic:cNvPicPr/>
                  </pic:nvPicPr>
                  <pic:blipFill>
                    <a:blip r:embed="rId12"/>
                    <a:stretch>
                      <a:fillRect/>
                    </a:stretch>
                  </pic:blipFill>
                  <pic:spPr>
                    <a:xfrm>
                      <a:off x="0" y="0"/>
                      <a:ext cx="5943600" cy="2334895"/>
                    </a:xfrm>
                    <a:prstGeom prst="rect">
                      <a:avLst/>
                    </a:prstGeom>
                  </pic:spPr>
                </pic:pic>
              </a:graphicData>
            </a:graphic>
          </wp:inline>
        </w:drawing>
      </w:r>
    </w:p>
    <w:p w14:paraId="382DFE1E" w14:textId="30F53C61" w:rsidR="001E5452" w:rsidRDefault="001E5452" w:rsidP="006D14D9">
      <w:pPr>
        <w:pStyle w:val="Style1"/>
        <w:numPr>
          <w:ilvl w:val="1"/>
          <w:numId w:val="9"/>
        </w:numPr>
        <w:spacing w:after="120" w:line="360" w:lineRule="auto"/>
        <w:contextualSpacing w:val="0"/>
      </w:pPr>
      <w:r>
        <w:t xml:space="preserve">When you click save you will be prompted to override the QA warning. </w:t>
      </w:r>
    </w:p>
    <w:p w14:paraId="791419BE" w14:textId="3D0B5326" w:rsidR="001E5452" w:rsidRDefault="001E5452" w:rsidP="001E5452">
      <w:pPr>
        <w:pStyle w:val="Style1"/>
        <w:numPr>
          <w:ilvl w:val="0"/>
          <w:numId w:val="0"/>
        </w:numPr>
        <w:spacing w:after="120" w:line="360" w:lineRule="auto"/>
        <w:contextualSpacing w:val="0"/>
        <w:jc w:val="center"/>
      </w:pPr>
      <w:r>
        <w:rPr>
          <w:noProof/>
        </w:rPr>
        <w:lastRenderedPageBreak/>
        <w:drawing>
          <wp:inline distT="0" distB="0" distL="0" distR="0" wp14:anchorId="7681BD35" wp14:editId="031C7248">
            <wp:extent cx="6524738" cy="2381250"/>
            <wp:effectExtent l="0" t="0" r="9525" b="0"/>
            <wp:docPr id="61367381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673811" name="Picture 1" descr="A screenshot of a computer&#10;&#10;Description automatically generated"/>
                    <pic:cNvPicPr/>
                  </pic:nvPicPr>
                  <pic:blipFill>
                    <a:blip r:embed="rId13"/>
                    <a:stretch>
                      <a:fillRect/>
                    </a:stretch>
                  </pic:blipFill>
                  <pic:spPr>
                    <a:xfrm>
                      <a:off x="0" y="0"/>
                      <a:ext cx="6569886" cy="2397727"/>
                    </a:xfrm>
                    <a:prstGeom prst="rect">
                      <a:avLst/>
                    </a:prstGeom>
                  </pic:spPr>
                </pic:pic>
              </a:graphicData>
            </a:graphic>
          </wp:inline>
        </w:drawing>
      </w:r>
    </w:p>
    <w:p w14:paraId="635C3B08" w14:textId="66405404" w:rsidR="0068020C" w:rsidRDefault="001E5452" w:rsidP="001E5452">
      <w:pPr>
        <w:pStyle w:val="Style1"/>
        <w:numPr>
          <w:ilvl w:val="1"/>
          <w:numId w:val="9"/>
        </w:numPr>
        <w:contextualSpacing w:val="0"/>
      </w:pPr>
      <w:r>
        <w:t xml:space="preserve">Ensure that you thoroughly read the Warning message. If you do not understand the meaning of the QA warning, consult management before proceeding. </w:t>
      </w:r>
    </w:p>
    <w:p w14:paraId="70111422" w14:textId="77777777" w:rsidR="001E5452" w:rsidRDefault="001E5452" w:rsidP="001E5452">
      <w:pPr>
        <w:pStyle w:val="Style1"/>
        <w:numPr>
          <w:ilvl w:val="0"/>
          <w:numId w:val="0"/>
        </w:numPr>
        <w:ind w:left="1440"/>
        <w:contextualSpacing w:val="0"/>
      </w:pPr>
    </w:p>
    <w:p w14:paraId="4F15F545" w14:textId="74ECADEC" w:rsidR="001E5452" w:rsidRDefault="001E5452" w:rsidP="001E5452">
      <w:pPr>
        <w:pStyle w:val="ListParagraph"/>
        <w:numPr>
          <w:ilvl w:val="0"/>
          <w:numId w:val="14"/>
        </w:numPr>
        <w:contextualSpacing w:val="0"/>
      </w:pPr>
      <w:r>
        <w:t>QA Warnings</w:t>
      </w:r>
      <w:r w:rsidR="00931468">
        <w:t xml:space="preserve"> are reviewed by Blood Bank Management routinely. </w:t>
      </w:r>
    </w:p>
    <w:p w14:paraId="45E3F7E8" w14:textId="77777777" w:rsidR="001E5452" w:rsidRPr="001E5452" w:rsidRDefault="001E5452" w:rsidP="001E5452"/>
    <w:p w14:paraId="1C259070" w14:textId="4C4FA105" w:rsidR="00931468" w:rsidRDefault="001E5452" w:rsidP="001E5452">
      <w:pPr>
        <w:pStyle w:val="ListParagraph"/>
        <w:numPr>
          <w:ilvl w:val="1"/>
          <w:numId w:val="14"/>
        </w:numPr>
        <w:contextualSpacing w:val="0"/>
      </w:pPr>
      <w:r>
        <w:t>Print the Quality Assurance Report</w:t>
      </w:r>
    </w:p>
    <w:p w14:paraId="44F8B62E" w14:textId="6E34CCC5" w:rsidR="001E5452" w:rsidRDefault="001E5452" w:rsidP="001E5452">
      <w:pPr>
        <w:pStyle w:val="ListParagraph"/>
        <w:numPr>
          <w:ilvl w:val="0"/>
          <w:numId w:val="17"/>
        </w:numPr>
        <w:contextualSpacing w:val="0"/>
      </w:pPr>
      <w:r>
        <w:t xml:space="preserve">Open and log in to </w:t>
      </w:r>
      <w:proofErr w:type="spellStart"/>
      <w:proofErr w:type="gramStart"/>
      <w:r>
        <w:t>SmarTerm</w:t>
      </w:r>
      <w:proofErr w:type="spellEnd"/>
      <w:proofErr w:type="gramEnd"/>
    </w:p>
    <w:p w14:paraId="7B65C29C" w14:textId="331D0E32" w:rsidR="001E5452" w:rsidRDefault="001E5452" w:rsidP="001E5452">
      <w:pPr>
        <w:pStyle w:val="ListParagraph"/>
        <w:numPr>
          <w:ilvl w:val="0"/>
          <w:numId w:val="17"/>
        </w:numPr>
        <w:contextualSpacing w:val="0"/>
      </w:pPr>
      <w:r>
        <w:t>Function: BBR</w:t>
      </w:r>
    </w:p>
    <w:p w14:paraId="7DE06B72" w14:textId="21C9BE66" w:rsidR="001E5452" w:rsidRDefault="001E5452" w:rsidP="001E5452">
      <w:pPr>
        <w:pStyle w:val="ListParagraph"/>
        <w:numPr>
          <w:ilvl w:val="0"/>
          <w:numId w:val="17"/>
        </w:numPr>
        <w:contextualSpacing w:val="0"/>
      </w:pPr>
      <w:proofErr w:type="gramStart"/>
      <w:r>
        <w:t>?:</w:t>
      </w:r>
      <w:proofErr w:type="gramEnd"/>
      <w:r>
        <w:t xml:space="preserve"> 7 (Quality Assurance Report)</w:t>
      </w:r>
    </w:p>
    <w:p w14:paraId="589BF357" w14:textId="32FFD532" w:rsidR="001E5452" w:rsidRDefault="001E5452" w:rsidP="001E5452">
      <w:pPr>
        <w:pStyle w:val="ListParagraph"/>
        <w:numPr>
          <w:ilvl w:val="0"/>
          <w:numId w:val="17"/>
        </w:numPr>
      </w:pPr>
      <w:r>
        <w:t>Hospital ID: AHWA</w:t>
      </w:r>
    </w:p>
    <w:p w14:paraId="4872DD25" w14:textId="36F1818D" w:rsidR="001E5452" w:rsidRDefault="001E5452" w:rsidP="001E5452">
      <w:pPr>
        <w:pStyle w:val="ListParagraph"/>
        <w:numPr>
          <w:ilvl w:val="0"/>
          <w:numId w:val="17"/>
        </w:numPr>
      </w:pPr>
      <w:r>
        <w:t>Area: WIN</w:t>
      </w:r>
    </w:p>
    <w:p w14:paraId="2CFE1818" w14:textId="4B2F472B" w:rsidR="001E5452" w:rsidRDefault="001E5452" w:rsidP="001E5452">
      <w:pPr>
        <w:pStyle w:val="ListParagraph"/>
        <w:numPr>
          <w:ilvl w:val="0"/>
          <w:numId w:val="17"/>
        </w:numPr>
      </w:pPr>
      <w:r>
        <w:t>Accept (A), Modify (M), or Reject (R): A</w:t>
      </w:r>
    </w:p>
    <w:p w14:paraId="38B8086D" w14:textId="15D97678" w:rsidR="001E5452" w:rsidRDefault="001E5452" w:rsidP="001E5452">
      <w:pPr>
        <w:pStyle w:val="ListParagraph"/>
        <w:numPr>
          <w:ilvl w:val="0"/>
          <w:numId w:val="17"/>
        </w:numPr>
      </w:pPr>
      <w:r>
        <w:t>Location: WIN</w:t>
      </w:r>
    </w:p>
    <w:p w14:paraId="443DF85A" w14:textId="7CCC7CDA" w:rsidR="001E5452" w:rsidRDefault="001E5452" w:rsidP="001E5452">
      <w:pPr>
        <w:pStyle w:val="ListParagraph"/>
        <w:numPr>
          <w:ilvl w:val="0"/>
          <w:numId w:val="17"/>
        </w:numPr>
      </w:pPr>
      <w:r>
        <w:t>Accept (A), Modify (M), or Reject (R): A</w:t>
      </w:r>
    </w:p>
    <w:p w14:paraId="3A7392B3" w14:textId="22D35A16" w:rsidR="001E5452" w:rsidRDefault="001E5452" w:rsidP="001E5452">
      <w:pPr>
        <w:pStyle w:val="ListParagraph"/>
        <w:numPr>
          <w:ilvl w:val="0"/>
          <w:numId w:val="17"/>
        </w:numPr>
      </w:pPr>
      <w:proofErr w:type="gramStart"/>
      <w:r>
        <w:t>?:</w:t>
      </w:r>
      <w:proofErr w:type="gramEnd"/>
      <w:r>
        <w:t xml:space="preserve"> F (for full report)</w:t>
      </w:r>
    </w:p>
    <w:p w14:paraId="57209AC8" w14:textId="2997BD52" w:rsidR="001E5452" w:rsidRDefault="001E5452" w:rsidP="001E5452">
      <w:pPr>
        <w:pStyle w:val="ListParagraph"/>
        <w:numPr>
          <w:ilvl w:val="0"/>
          <w:numId w:val="17"/>
        </w:numPr>
      </w:pPr>
      <w:r>
        <w:t>Start Date: T- # (Only 8 days are kept)</w:t>
      </w:r>
    </w:p>
    <w:p w14:paraId="5F339906" w14:textId="7081E2FA" w:rsidR="001E5452" w:rsidRDefault="001E5452" w:rsidP="001E5452">
      <w:pPr>
        <w:pStyle w:val="ListParagraph"/>
        <w:numPr>
          <w:ilvl w:val="0"/>
          <w:numId w:val="17"/>
        </w:numPr>
      </w:pPr>
      <w:r>
        <w:t>End Date: Enter (Today)</w:t>
      </w:r>
    </w:p>
    <w:p w14:paraId="04465F22" w14:textId="77777777" w:rsidR="001E5452" w:rsidRPr="001E5452" w:rsidRDefault="001E5452" w:rsidP="001E5452"/>
    <w:p w14:paraId="500CD9EE" w14:textId="3D92D8EC" w:rsidR="001E5452" w:rsidRDefault="001E5452" w:rsidP="001E5452">
      <w:pPr>
        <w:pStyle w:val="ListParagraph"/>
        <w:numPr>
          <w:ilvl w:val="1"/>
          <w:numId w:val="14"/>
        </w:numPr>
      </w:pPr>
      <w:r>
        <w:t xml:space="preserve">This report should be printed daily M-F and ensure that ALL days have been printed and reviewed. </w:t>
      </w:r>
    </w:p>
    <w:p w14:paraId="47313548" w14:textId="77777777" w:rsidR="001E5452" w:rsidRPr="001E5452" w:rsidRDefault="001E5452" w:rsidP="001E5452"/>
    <w:p w14:paraId="0DF067F0" w14:textId="2657F02E" w:rsidR="001E5452" w:rsidRDefault="001E5452" w:rsidP="001E5452">
      <w:pPr>
        <w:pStyle w:val="ListParagraph"/>
        <w:numPr>
          <w:ilvl w:val="1"/>
          <w:numId w:val="14"/>
        </w:numPr>
      </w:pPr>
      <w:r>
        <w:t xml:space="preserve">Staple report, review, initial, and file in Quality Assurance Report Binder. </w:t>
      </w:r>
    </w:p>
    <w:p w14:paraId="37211A71" w14:textId="77777777" w:rsidR="001E5452" w:rsidRPr="001E5452" w:rsidRDefault="001E5452" w:rsidP="001E5452"/>
    <w:p w14:paraId="72483C3C" w14:textId="23EE92B7" w:rsidR="001E5452" w:rsidRDefault="001E5452" w:rsidP="001E5452">
      <w:pPr>
        <w:pStyle w:val="ListParagraph"/>
        <w:numPr>
          <w:ilvl w:val="1"/>
          <w:numId w:val="14"/>
        </w:numPr>
      </w:pPr>
      <w:r>
        <w:t xml:space="preserve">Management will investigate any questionable QA Warnings. </w:t>
      </w:r>
    </w:p>
    <w:p w14:paraId="3D35A3B6" w14:textId="77777777" w:rsidR="001E5452" w:rsidRDefault="001E5452" w:rsidP="001E5452"/>
    <w:p w14:paraId="312959D1" w14:textId="7A0A4E34" w:rsidR="001E5452" w:rsidRPr="001E5452" w:rsidRDefault="001E5452" w:rsidP="001E5452">
      <w:pPr>
        <w:pStyle w:val="ListParagraph"/>
        <w:numPr>
          <w:ilvl w:val="1"/>
          <w:numId w:val="14"/>
        </w:numPr>
      </w:pPr>
      <w:r>
        <w:t>Example: QA Warning for “Patient/unit attribute incompatiblilty”</w:t>
      </w:r>
    </w:p>
    <w:p w14:paraId="4068C21B" w14:textId="48AD640F" w:rsidR="00931468" w:rsidRPr="004675F5" w:rsidRDefault="001E5452" w:rsidP="001E5452">
      <w:pPr>
        <w:ind w:left="-1350" w:firstLine="360"/>
        <w:rPr>
          <w:b/>
          <w:bCs/>
        </w:rPr>
      </w:pPr>
      <w:r>
        <w:rPr>
          <w:noProof/>
        </w:rPr>
        <w:lastRenderedPageBreak/>
        <w:drawing>
          <wp:inline distT="0" distB="0" distL="0" distR="0" wp14:anchorId="3EE46BF1" wp14:editId="3465F162">
            <wp:extent cx="7308215" cy="3171825"/>
            <wp:effectExtent l="0" t="0" r="6985" b="9525"/>
            <wp:docPr id="688551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51901" name="Picture 1" descr="A screenshot of a computer&#10;&#10;Description automatically generated"/>
                    <pic:cNvPicPr/>
                  </pic:nvPicPr>
                  <pic:blipFill>
                    <a:blip r:embed="rId14"/>
                    <a:stretch>
                      <a:fillRect/>
                    </a:stretch>
                  </pic:blipFill>
                  <pic:spPr>
                    <a:xfrm>
                      <a:off x="0" y="0"/>
                      <a:ext cx="7352074" cy="3190860"/>
                    </a:xfrm>
                    <a:prstGeom prst="rect">
                      <a:avLst/>
                    </a:prstGeom>
                  </pic:spPr>
                </pic:pic>
              </a:graphicData>
            </a:graphic>
          </wp:inline>
        </w:drawing>
      </w:r>
    </w:p>
    <w:p w14:paraId="47FF9BFB" w14:textId="340FD994" w:rsidR="00DF211F" w:rsidRDefault="00DF211F" w:rsidP="0056313C"/>
    <w:p w14:paraId="7E26ADAA" w14:textId="77777777" w:rsidR="00CA16FD" w:rsidRPr="00CA16FD" w:rsidRDefault="00CA16FD" w:rsidP="00CA16FD"/>
    <w:p w14:paraId="2CE15224" w14:textId="77777777" w:rsidR="00CA16FD" w:rsidRDefault="00F85E0B" w:rsidP="00CA16FD">
      <w:pPr>
        <w:pStyle w:val="Heading1"/>
      </w:pPr>
      <w:r>
        <w:t xml:space="preserve">Related policies/procedures </w:t>
      </w:r>
    </w:p>
    <w:p w14:paraId="5B18F18A" w14:textId="77777777" w:rsidR="00BF5F7B" w:rsidRPr="00BF5F7B" w:rsidRDefault="00BF5F7B" w:rsidP="00BF5F7B"/>
    <w:p w14:paraId="66F71964" w14:textId="77777777" w:rsidR="00BF5F7B" w:rsidRPr="00BF5F7B" w:rsidRDefault="00BF5F7B" w:rsidP="00BF5F7B"/>
    <w:p w14:paraId="3095FE80" w14:textId="77777777" w:rsidR="00B048D9" w:rsidRDefault="00B048D9" w:rsidP="00F63FDB">
      <w:pPr>
        <w:pStyle w:val="Heading1"/>
        <w:spacing w:after="120"/>
      </w:pPr>
      <w:r>
        <w:t>Attachments</w:t>
      </w:r>
      <w:r w:rsidR="00CA16FD">
        <w:t>/Linked documents (title 21)</w:t>
      </w:r>
    </w:p>
    <w:p w14:paraId="055140EE" w14:textId="77777777" w:rsidR="00BF5F7B" w:rsidRDefault="00BF5F7B" w:rsidP="00BF5F7B"/>
    <w:p w14:paraId="1934A86E" w14:textId="77777777" w:rsidR="00BF5F7B" w:rsidRDefault="00BF5F7B" w:rsidP="00BF5F7B"/>
    <w:p w14:paraId="2A23ADAD" w14:textId="77777777" w:rsidR="00A7748A" w:rsidRDefault="00A7748A" w:rsidP="00887AE0">
      <w:pPr>
        <w:pStyle w:val="Heading1"/>
      </w:pPr>
      <w:r>
        <w:t>Revision Dates</w:t>
      </w:r>
      <w:r w:rsidR="001F0047">
        <w:t>: Review Change Summary as represented in Title 21.</w:t>
      </w:r>
    </w:p>
    <w:p w14:paraId="35CA974C" w14:textId="77777777" w:rsidR="00BF5F7B" w:rsidRDefault="00BF5F7B" w:rsidP="00BF5F7B"/>
    <w:p w14:paraId="381B0318" w14:textId="77777777" w:rsidR="00BF5F7B" w:rsidRDefault="00BF5F7B" w:rsidP="00BF5F7B"/>
    <w:p w14:paraId="7F528A4E" w14:textId="77777777"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0AF32" w14:textId="77777777" w:rsidR="00D37C48" w:rsidRDefault="00D37C48" w:rsidP="009A3908">
      <w:r>
        <w:separator/>
      </w:r>
    </w:p>
  </w:endnote>
  <w:endnote w:type="continuationSeparator" w:id="0">
    <w:p w14:paraId="67E3B896" w14:textId="77777777" w:rsidR="00D37C48" w:rsidRDefault="00D37C48"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C638"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7E6C32B3"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06148D">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06148D">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D0CB" w14:textId="77777777" w:rsidR="00974CB9" w:rsidRDefault="00974CB9" w:rsidP="00A153FF">
    <w:pPr>
      <w:jc w:val="center"/>
      <w:rPr>
        <w:rFonts w:asciiTheme="minorHAnsi" w:hAnsiTheme="minorHAnsi" w:cstheme="minorHAnsi"/>
        <w:bCs/>
        <w:szCs w:val="22"/>
      </w:rPr>
    </w:pPr>
  </w:p>
  <w:p w14:paraId="0A47AC4E"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7AA9D46B"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06148D">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06148D">
              <w:rPr>
                <w:rFonts w:ascii="Franklin Gothic Book" w:hAnsi="Franklin Gothic Book" w:cs="Calibri"/>
                <w:i/>
                <w:iCs/>
                <w:noProof/>
                <w:sz w:val="18"/>
                <w:szCs w:val="18"/>
              </w:rPr>
              <w:t>2</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0C355" w14:textId="77777777" w:rsidR="00D37C48" w:rsidRDefault="00D37C48" w:rsidP="009A3908">
      <w:r>
        <w:separator/>
      </w:r>
    </w:p>
  </w:footnote>
  <w:footnote w:type="continuationSeparator" w:id="0">
    <w:p w14:paraId="0419C56D" w14:textId="77777777" w:rsidR="00D37C48" w:rsidRDefault="00D37C48"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F45D" w14:textId="21D8CCC9"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ED57" w14:textId="798CED16" w:rsidR="00A153FF" w:rsidRPr="001E5452" w:rsidRDefault="001E5452" w:rsidP="00A153FF">
    <w:pPr>
      <w:shd w:val="clear" w:color="auto" w:fill="A6A6A6" w:themeFill="background1" w:themeFillShade="A6"/>
      <w:spacing w:line="360" w:lineRule="auto"/>
      <w:ind w:right="90"/>
      <w:jc w:val="center"/>
      <w:rPr>
        <w:rFonts w:ascii="Franklin Gothic Demi" w:hAnsi="Franklin Gothic Demi"/>
        <w:bCs/>
        <w:szCs w:val="32"/>
      </w:rPr>
    </w:pPr>
    <w:r w:rsidRPr="001E5452">
      <w:rPr>
        <w:rFonts w:ascii="Franklin Gothic Demi" w:hAnsi="Franklin Gothic Demi"/>
        <w:bCs/>
        <w:szCs w:val="32"/>
      </w:rPr>
      <w:t>Sunquest QA Warnings</w:t>
    </w:r>
  </w:p>
  <w:p w14:paraId="0E7DF208"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060"/>
      <w:gridCol w:w="3145"/>
    </w:tblGrid>
    <w:tr w:rsidR="00A153FF" w:rsidRPr="00F85C8D" w14:paraId="6FFA8529" w14:textId="77777777" w:rsidTr="004E63F1">
      <w:tc>
        <w:tcPr>
          <w:tcW w:w="3145" w:type="dxa"/>
          <w:tcBorders>
            <w:left w:val="single" w:sz="4" w:space="0" w:color="auto"/>
            <w:bottom w:val="single" w:sz="4" w:space="0" w:color="auto"/>
          </w:tcBorders>
          <w:shd w:val="clear" w:color="auto" w:fill="auto"/>
          <w:vAlign w:val="center"/>
        </w:tcPr>
        <w:p w14:paraId="10BAE511" w14:textId="77777777" w:rsidR="00A153FF" w:rsidRPr="00F85C8D" w:rsidRDefault="004E63F1" w:rsidP="004E63F1">
          <w:pPr>
            <w:jc w:val="center"/>
            <w:rPr>
              <w:rFonts w:ascii="Franklin Gothic Book" w:hAnsi="Franklin Gothic Book"/>
              <w:b/>
              <w:szCs w:val="22"/>
            </w:rPr>
          </w:pPr>
          <w:r>
            <w:rPr>
              <w:noProof/>
            </w:rPr>
            <w:drawing>
              <wp:inline distT="0" distB="0" distL="0" distR="0" wp14:anchorId="357F3B96" wp14:editId="6D1DAB34">
                <wp:extent cx="1655445" cy="318135"/>
                <wp:effectExtent l="0" t="0" r="1905" b="5715"/>
                <wp:docPr id="2" name="Picture 2" descr="\\medctr.ad.wfubmc.edu\dfs\path_labs$\BloodBank_Staff\Staff Projects\Acrey, Stuart\11- TEMPLATES\AH_WFBH_Horizontal_rgb(1).jpg"/>
                <wp:cNvGraphicFramePr/>
                <a:graphic xmlns:a="http://schemas.openxmlformats.org/drawingml/2006/main">
                  <a:graphicData uri="http://schemas.openxmlformats.org/drawingml/2006/picture">
                    <pic:pic xmlns:pic="http://schemas.openxmlformats.org/drawingml/2006/picture">
                      <pic:nvPicPr>
                        <pic:cNvPr id="2" name="Picture 2" descr="\\medctr.ad.wfubmc.edu\dfs\path_labs$\BloodBank_Staff\Staff Projects\Acrey, Stuart\11- TEMPLATES\AH_WFBH_Horizontal_rgb(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445" cy="318135"/>
                        </a:xfrm>
                        <a:prstGeom prst="rect">
                          <a:avLst/>
                        </a:prstGeom>
                        <a:noFill/>
                        <a:ln>
                          <a:noFill/>
                        </a:ln>
                      </pic:spPr>
                    </pic:pic>
                  </a:graphicData>
                </a:graphic>
              </wp:inline>
            </w:drawing>
          </w:r>
        </w:p>
      </w:tc>
      <w:tc>
        <w:tcPr>
          <w:tcW w:w="3060" w:type="dxa"/>
          <w:tcBorders>
            <w:right w:val="single" w:sz="4" w:space="0" w:color="000000"/>
          </w:tcBorders>
          <w:shd w:val="clear" w:color="auto" w:fill="auto"/>
        </w:tcPr>
        <w:p w14:paraId="6CF26D94" w14:textId="77777777" w:rsidR="00A2219E" w:rsidRPr="00F85C8D" w:rsidRDefault="00605CB6" w:rsidP="00A2219E">
          <w:pPr>
            <w:rPr>
              <w:rFonts w:ascii="Franklin Gothic Demi" w:hAnsi="Franklin Gothic Demi"/>
              <w:smallCaps/>
              <w:szCs w:val="22"/>
            </w:rPr>
          </w:pPr>
          <w:r>
            <w:rPr>
              <w:rFonts w:ascii="Franklin Gothic Demi" w:hAnsi="Franklin Gothic Demi"/>
              <w:smallCaps/>
              <w:szCs w:val="22"/>
            </w:rPr>
            <w:t>Document Type:</w:t>
          </w:r>
        </w:p>
        <w:p w14:paraId="2B62ADA5" w14:textId="77777777" w:rsidR="001F0047" w:rsidRPr="00887AE0" w:rsidRDefault="001E5452" w:rsidP="001F0047">
          <w:pPr>
            <w:rPr>
              <w:rFonts w:cs="Arial"/>
            </w:rPr>
          </w:pPr>
          <w:sdt>
            <w:sdtPr>
              <w:id w:val="-804309035"/>
              <w14:checkbox>
                <w14:checked w14:val="1"/>
                <w14:checkedState w14:val="2612" w14:font="MS Gothic"/>
                <w14:uncheckedState w14:val="2610" w14:font="MS Gothic"/>
              </w14:checkbox>
            </w:sdtPr>
            <w:sdtEndPr/>
            <w:sdtContent>
              <w:r w:rsidR="00F85E0B">
                <w:rPr>
                  <w:rFonts w:ascii="MS Gothic" w:eastAsia="MS Gothic" w:hAnsi="MS Gothic" w:hint="eastAsia"/>
                </w:rPr>
                <w:t>☒</w:t>
              </w:r>
            </w:sdtContent>
          </w:sdt>
          <w:r w:rsidR="001F0047" w:rsidRPr="0056313C">
            <w:t xml:space="preserve"> </w:t>
          </w:r>
          <w:r w:rsidR="001F0047">
            <w:rPr>
              <w:rFonts w:cs="Arial"/>
            </w:rPr>
            <w:t>Policy</w:t>
          </w:r>
        </w:p>
        <w:p w14:paraId="03AC558F" w14:textId="77777777" w:rsidR="001F0047" w:rsidRDefault="001F0047" w:rsidP="001F0047">
          <w:pPr>
            <w:rPr>
              <w:rFonts w:cs="Arial"/>
            </w:rPr>
          </w:pPr>
        </w:p>
        <w:p w14:paraId="055AEE6C"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0C7963CE"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14:paraId="27F67CA7" w14:textId="2AC26EE8"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3618C997" w14:textId="77777777" w:rsidR="00A153FF" w:rsidRPr="00EF4D17" w:rsidRDefault="00A153FF" w:rsidP="00A153FF">
          <w:pPr>
            <w:rPr>
              <w:rFonts w:ascii="Franklin Gothic Book" w:hAnsi="Franklin Gothic Book"/>
              <w:b/>
              <w:sz w:val="28"/>
              <w:szCs w:val="28"/>
            </w:rPr>
          </w:pPr>
        </w:p>
      </w:tc>
    </w:tr>
    <w:tr w:rsidR="00A153FF" w:rsidRPr="00F85C8D" w14:paraId="5F2DCDBF" w14:textId="77777777" w:rsidTr="0006148D">
      <w:trPr>
        <w:trHeight w:val="642"/>
      </w:trPr>
      <w:tc>
        <w:tcPr>
          <w:tcW w:w="3145" w:type="dxa"/>
          <w:tcBorders>
            <w:left w:val="single" w:sz="4" w:space="0" w:color="auto"/>
            <w:bottom w:val="single" w:sz="4" w:space="0" w:color="000000"/>
          </w:tcBorders>
          <w:shd w:val="clear" w:color="auto" w:fill="auto"/>
        </w:tcPr>
        <w:p w14:paraId="78D377E4"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63AB6BB9" w14:textId="77777777" w:rsidR="00A153FF" w:rsidRPr="00F85C8D" w:rsidRDefault="00F85E0B" w:rsidP="001F0047">
          <w:pPr>
            <w:rPr>
              <w:rFonts w:ascii="Franklin Gothic Book" w:hAnsi="Franklin Gothic Book"/>
              <w:b/>
              <w:szCs w:val="22"/>
            </w:rPr>
          </w:pPr>
          <w:r>
            <w:rPr>
              <w:rFonts w:ascii="Franklin Gothic Book" w:hAnsi="Franklin Gothic Book"/>
              <w:szCs w:val="22"/>
            </w:rPr>
            <w:t>Dr. Gregory Pomper</w:t>
          </w:r>
          <w:r w:rsidR="0006148D">
            <w:rPr>
              <w:rFonts w:ascii="Franklin Gothic Book" w:hAnsi="Franklin Gothic Book"/>
              <w:szCs w:val="22"/>
            </w:rPr>
            <w:t>, MD</w:t>
          </w:r>
        </w:p>
      </w:tc>
      <w:tc>
        <w:tcPr>
          <w:tcW w:w="3060" w:type="dxa"/>
          <w:tcBorders>
            <w:bottom w:val="single" w:sz="4" w:space="0" w:color="000000"/>
          </w:tcBorders>
          <w:shd w:val="clear" w:color="auto" w:fill="auto"/>
        </w:tcPr>
        <w:p w14:paraId="425088D3"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269DE0B8" w14:textId="77777777" w:rsidR="001F0047" w:rsidRPr="001F0047" w:rsidRDefault="00F85E0B" w:rsidP="001F0047">
          <w:pPr>
            <w:rPr>
              <w:rFonts w:ascii="Franklin Gothic Demi" w:hAnsi="Franklin Gothic Demi"/>
              <w:smallCaps/>
              <w:szCs w:val="22"/>
            </w:rPr>
          </w:pPr>
          <w:r>
            <w:rPr>
              <w:rFonts w:ascii="Franklin Gothic Book" w:hAnsi="Franklin Gothic Book" w:cs="Calibri"/>
              <w:szCs w:val="22"/>
            </w:rPr>
            <w:t>Blood Bank</w:t>
          </w:r>
        </w:p>
      </w:tc>
      <w:tc>
        <w:tcPr>
          <w:tcW w:w="3145" w:type="dxa"/>
          <w:tcBorders>
            <w:bottom w:val="single" w:sz="4" w:space="0" w:color="000000"/>
          </w:tcBorders>
          <w:shd w:val="clear" w:color="auto" w:fill="auto"/>
        </w:tcPr>
        <w:p w14:paraId="11C2B30F"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755C1379" w14:textId="384C4D80" w:rsidR="001F0047" w:rsidRPr="00A2219E" w:rsidRDefault="00F85E0B" w:rsidP="001F0047">
          <w:pPr>
            <w:rPr>
              <w:rFonts w:ascii="Franklin Gothic Book" w:hAnsi="Franklin Gothic Book" w:cs="Calibri"/>
              <w:szCs w:val="22"/>
            </w:rPr>
          </w:pPr>
          <w:r>
            <w:rPr>
              <w:rFonts w:ascii="Franklin Gothic Book" w:hAnsi="Franklin Gothic Book" w:cs="Calibri"/>
              <w:szCs w:val="22"/>
            </w:rPr>
            <w:t xml:space="preserve">Blood Bank </w:t>
          </w:r>
          <w:r w:rsidR="001F0047" w:rsidRPr="00A2219E">
            <w:rPr>
              <w:rFonts w:ascii="Franklin Gothic Book" w:hAnsi="Franklin Gothic Book" w:cs="Calibri"/>
              <w:szCs w:val="22"/>
            </w:rPr>
            <w:fldChar w:fldCharType="begin"/>
          </w:r>
          <w:r w:rsidR="001F0047" w:rsidRPr="00A2219E">
            <w:rPr>
              <w:rFonts w:ascii="Franklin Gothic Book" w:hAnsi="Franklin Gothic Book" w:cs="Calibri"/>
              <w:szCs w:val="22"/>
            </w:rPr>
            <w:instrText xml:space="preserve"> DOCVARIABLE "PO Job Title" \* MERGEFORMAT </w:instrText>
          </w:r>
          <w:r w:rsidR="001F0047" w:rsidRPr="00A2219E">
            <w:rPr>
              <w:rFonts w:ascii="Franklin Gothic Book" w:hAnsi="Franklin Gothic Book" w:cs="Calibri"/>
              <w:szCs w:val="22"/>
            </w:rPr>
            <w:fldChar w:fldCharType="end"/>
          </w:r>
        </w:p>
        <w:p w14:paraId="6863FEAB" w14:textId="77777777" w:rsidR="00636B43" w:rsidRPr="00636B43" w:rsidRDefault="00636B43" w:rsidP="00A153FF">
          <w:pPr>
            <w:rPr>
              <w:rFonts w:ascii="Franklin Gothic Book" w:hAnsi="Franklin Gothic Book"/>
              <w:szCs w:val="22"/>
            </w:rPr>
          </w:pPr>
        </w:p>
      </w:tc>
    </w:tr>
  </w:tbl>
  <w:p w14:paraId="7B3AFA3D"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C85"/>
    <w:multiLevelType w:val="hybridMultilevel"/>
    <w:tmpl w:val="5D223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154D33"/>
    <w:multiLevelType w:val="hybridMultilevel"/>
    <w:tmpl w:val="4FF03AA2"/>
    <w:lvl w:ilvl="0" w:tplc="BD145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228E5"/>
    <w:multiLevelType w:val="hybridMultilevel"/>
    <w:tmpl w:val="25F82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8D607C"/>
    <w:multiLevelType w:val="hybridMultilevel"/>
    <w:tmpl w:val="76226B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3D2B61"/>
    <w:multiLevelType w:val="hybridMultilevel"/>
    <w:tmpl w:val="9A7898A2"/>
    <w:lvl w:ilvl="0" w:tplc="6F663CAC">
      <w:start w:val="1"/>
      <w:numFmt w:val="upperLetter"/>
      <w:pStyle w:val="ListParagraph"/>
      <w:lvlText w:val="%1."/>
      <w:lvlJc w:val="left"/>
      <w:pPr>
        <w:ind w:left="360" w:hanging="360"/>
      </w:pPr>
      <w:rPr>
        <w:rFonts w:ascii="Arial" w:hAnsi="Arial" w:cs="Arial" w:hint="default"/>
        <w:sz w:val="22"/>
        <w:szCs w:val="20"/>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16cid:durableId="223764833">
    <w:abstractNumId w:val="5"/>
  </w:num>
  <w:num w:numId="2" w16cid:durableId="699086071">
    <w:abstractNumId w:val="7"/>
  </w:num>
  <w:num w:numId="3" w16cid:durableId="2021348849">
    <w:abstractNumId w:val="9"/>
  </w:num>
  <w:num w:numId="4" w16cid:durableId="1199707913">
    <w:abstractNumId w:val="11"/>
  </w:num>
  <w:num w:numId="5" w16cid:durableId="12617666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8102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33813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2432238">
    <w:abstractNumId w:val="4"/>
  </w:num>
  <w:num w:numId="9" w16cid:durableId="1377656568">
    <w:abstractNumId w:val="3"/>
  </w:num>
  <w:num w:numId="10" w16cid:durableId="1562986956">
    <w:abstractNumId w:val="8"/>
  </w:num>
  <w:num w:numId="11" w16cid:durableId="1654141813">
    <w:abstractNumId w:val="10"/>
  </w:num>
  <w:num w:numId="12" w16cid:durableId="2073848165">
    <w:abstractNumId w:val="10"/>
  </w:num>
  <w:num w:numId="13" w16cid:durableId="34042340">
    <w:abstractNumId w:val="10"/>
  </w:num>
  <w:num w:numId="14" w16cid:durableId="1271663806">
    <w:abstractNumId w:val="10"/>
  </w:num>
  <w:num w:numId="15" w16cid:durableId="259601700">
    <w:abstractNumId w:val="1"/>
  </w:num>
  <w:num w:numId="16" w16cid:durableId="387650759">
    <w:abstractNumId w:val="6"/>
  </w:num>
  <w:num w:numId="17" w16cid:durableId="501241411">
    <w:abstractNumId w:val="0"/>
  </w:num>
  <w:num w:numId="18" w16cid:durableId="210738249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22E65"/>
    <w:rsid w:val="00026C49"/>
    <w:rsid w:val="000347EB"/>
    <w:rsid w:val="0003641D"/>
    <w:rsid w:val="00036EC2"/>
    <w:rsid w:val="000553EF"/>
    <w:rsid w:val="0006148D"/>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259CD"/>
    <w:rsid w:val="001307B1"/>
    <w:rsid w:val="00133E25"/>
    <w:rsid w:val="00147218"/>
    <w:rsid w:val="00174F3C"/>
    <w:rsid w:val="001827EB"/>
    <w:rsid w:val="00185320"/>
    <w:rsid w:val="0019262D"/>
    <w:rsid w:val="00196438"/>
    <w:rsid w:val="001A44EF"/>
    <w:rsid w:val="001C0D78"/>
    <w:rsid w:val="001C63A8"/>
    <w:rsid w:val="001E09B7"/>
    <w:rsid w:val="001E2497"/>
    <w:rsid w:val="001E5452"/>
    <w:rsid w:val="001E6D1E"/>
    <w:rsid w:val="001E73A6"/>
    <w:rsid w:val="001F0047"/>
    <w:rsid w:val="00200A78"/>
    <w:rsid w:val="002032E0"/>
    <w:rsid w:val="00206E98"/>
    <w:rsid w:val="002347C1"/>
    <w:rsid w:val="002406B9"/>
    <w:rsid w:val="002413E5"/>
    <w:rsid w:val="002425FA"/>
    <w:rsid w:val="002451BA"/>
    <w:rsid w:val="00251171"/>
    <w:rsid w:val="00253095"/>
    <w:rsid w:val="002544FF"/>
    <w:rsid w:val="002554A6"/>
    <w:rsid w:val="00256BD9"/>
    <w:rsid w:val="0026202E"/>
    <w:rsid w:val="002629AC"/>
    <w:rsid w:val="002644FF"/>
    <w:rsid w:val="002973A2"/>
    <w:rsid w:val="002B367D"/>
    <w:rsid w:val="002B7EAC"/>
    <w:rsid w:val="002E06AD"/>
    <w:rsid w:val="002E2BA6"/>
    <w:rsid w:val="002E7E39"/>
    <w:rsid w:val="002F64B9"/>
    <w:rsid w:val="00301570"/>
    <w:rsid w:val="003041C6"/>
    <w:rsid w:val="00327C4D"/>
    <w:rsid w:val="00341E64"/>
    <w:rsid w:val="003432C0"/>
    <w:rsid w:val="003509F9"/>
    <w:rsid w:val="00353C0F"/>
    <w:rsid w:val="003551FD"/>
    <w:rsid w:val="00362D51"/>
    <w:rsid w:val="00366A9A"/>
    <w:rsid w:val="00367CD7"/>
    <w:rsid w:val="0038097D"/>
    <w:rsid w:val="00380DF7"/>
    <w:rsid w:val="003821CE"/>
    <w:rsid w:val="00391558"/>
    <w:rsid w:val="0039374A"/>
    <w:rsid w:val="00393BBD"/>
    <w:rsid w:val="003A497A"/>
    <w:rsid w:val="003A63DA"/>
    <w:rsid w:val="003A666B"/>
    <w:rsid w:val="003B0CBF"/>
    <w:rsid w:val="003B12C4"/>
    <w:rsid w:val="003B660A"/>
    <w:rsid w:val="003B6F7E"/>
    <w:rsid w:val="003C092E"/>
    <w:rsid w:val="003C4DEB"/>
    <w:rsid w:val="003C7519"/>
    <w:rsid w:val="003D7FD1"/>
    <w:rsid w:val="003E4372"/>
    <w:rsid w:val="003E5D54"/>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675F5"/>
    <w:rsid w:val="00474EBA"/>
    <w:rsid w:val="00491E5A"/>
    <w:rsid w:val="004A683B"/>
    <w:rsid w:val="004C075D"/>
    <w:rsid w:val="004C5749"/>
    <w:rsid w:val="004D3F73"/>
    <w:rsid w:val="004D54EE"/>
    <w:rsid w:val="004D58AA"/>
    <w:rsid w:val="004E63F1"/>
    <w:rsid w:val="004E766F"/>
    <w:rsid w:val="004F3FAB"/>
    <w:rsid w:val="0052064A"/>
    <w:rsid w:val="0052326B"/>
    <w:rsid w:val="00523474"/>
    <w:rsid w:val="005235EA"/>
    <w:rsid w:val="00524D92"/>
    <w:rsid w:val="00526E21"/>
    <w:rsid w:val="00540976"/>
    <w:rsid w:val="005448BC"/>
    <w:rsid w:val="00551715"/>
    <w:rsid w:val="00561CB9"/>
    <w:rsid w:val="0056313C"/>
    <w:rsid w:val="005870D2"/>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020C"/>
    <w:rsid w:val="00683267"/>
    <w:rsid w:val="00683CAE"/>
    <w:rsid w:val="00691DA1"/>
    <w:rsid w:val="0069572C"/>
    <w:rsid w:val="006A1EF8"/>
    <w:rsid w:val="006A7525"/>
    <w:rsid w:val="006B1B95"/>
    <w:rsid w:val="006B4152"/>
    <w:rsid w:val="006B7B84"/>
    <w:rsid w:val="006C2C85"/>
    <w:rsid w:val="006C37E2"/>
    <w:rsid w:val="006D14D9"/>
    <w:rsid w:val="006E03C4"/>
    <w:rsid w:val="006E2203"/>
    <w:rsid w:val="006F20FA"/>
    <w:rsid w:val="006F2F1C"/>
    <w:rsid w:val="006F342C"/>
    <w:rsid w:val="0071378D"/>
    <w:rsid w:val="007151C7"/>
    <w:rsid w:val="007156DD"/>
    <w:rsid w:val="00716A19"/>
    <w:rsid w:val="00720CD8"/>
    <w:rsid w:val="007220A8"/>
    <w:rsid w:val="007238BB"/>
    <w:rsid w:val="00771B60"/>
    <w:rsid w:val="00772448"/>
    <w:rsid w:val="00785422"/>
    <w:rsid w:val="007A767B"/>
    <w:rsid w:val="007B2DD3"/>
    <w:rsid w:val="007B3C9E"/>
    <w:rsid w:val="007B7E37"/>
    <w:rsid w:val="007C60EA"/>
    <w:rsid w:val="007D713B"/>
    <w:rsid w:val="007F6B7A"/>
    <w:rsid w:val="0080114E"/>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6971"/>
    <w:rsid w:val="00931468"/>
    <w:rsid w:val="0094557E"/>
    <w:rsid w:val="00952900"/>
    <w:rsid w:val="00952ADC"/>
    <w:rsid w:val="009623C8"/>
    <w:rsid w:val="00962F89"/>
    <w:rsid w:val="00974CB9"/>
    <w:rsid w:val="00982D37"/>
    <w:rsid w:val="009A3908"/>
    <w:rsid w:val="009A5A4D"/>
    <w:rsid w:val="009B6A9E"/>
    <w:rsid w:val="009B70B1"/>
    <w:rsid w:val="009B7C7D"/>
    <w:rsid w:val="009C2A11"/>
    <w:rsid w:val="009C7A62"/>
    <w:rsid w:val="009D27CC"/>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08F1"/>
    <w:rsid w:val="00A7748A"/>
    <w:rsid w:val="00A93F53"/>
    <w:rsid w:val="00AA649F"/>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47EBA"/>
    <w:rsid w:val="00B56F84"/>
    <w:rsid w:val="00B6337D"/>
    <w:rsid w:val="00B73F85"/>
    <w:rsid w:val="00B80A9E"/>
    <w:rsid w:val="00B80B6D"/>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16FD"/>
    <w:rsid w:val="00CA7E82"/>
    <w:rsid w:val="00CC501D"/>
    <w:rsid w:val="00CC6583"/>
    <w:rsid w:val="00CE56A2"/>
    <w:rsid w:val="00CF4DC6"/>
    <w:rsid w:val="00D02414"/>
    <w:rsid w:val="00D20EC1"/>
    <w:rsid w:val="00D3238D"/>
    <w:rsid w:val="00D33F1F"/>
    <w:rsid w:val="00D356BB"/>
    <w:rsid w:val="00D3656D"/>
    <w:rsid w:val="00D37C48"/>
    <w:rsid w:val="00D54417"/>
    <w:rsid w:val="00D61618"/>
    <w:rsid w:val="00D7219A"/>
    <w:rsid w:val="00D77EDD"/>
    <w:rsid w:val="00D8229E"/>
    <w:rsid w:val="00D837ED"/>
    <w:rsid w:val="00D84A3E"/>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A44"/>
    <w:rsid w:val="00DE3F97"/>
    <w:rsid w:val="00DF1404"/>
    <w:rsid w:val="00DF211F"/>
    <w:rsid w:val="00DF54C6"/>
    <w:rsid w:val="00DF6E1E"/>
    <w:rsid w:val="00E05795"/>
    <w:rsid w:val="00E079DB"/>
    <w:rsid w:val="00E114E3"/>
    <w:rsid w:val="00E11B82"/>
    <w:rsid w:val="00E26DD8"/>
    <w:rsid w:val="00E27893"/>
    <w:rsid w:val="00E4334E"/>
    <w:rsid w:val="00E4419B"/>
    <w:rsid w:val="00E60452"/>
    <w:rsid w:val="00E63D04"/>
    <w:rsid w:val="00E731F2"/>
    <w:rsid w:val="00E73EFC"/>
    <w:rsid w:val="00E76715"/>
    <w:rsid w:val="00E85228"/>
    <w:rsid w:val="00E85CEC"/>
    <w:rsid w:val="00E91657"/>
    <w:rsid w:val="00E91BFD"/>
    <w:rsid w:val="00E96A8E"/>
    <w:rsid w:val="00EA5BC7"/>
    <w:rsid w:val="00EC774D"/>
    <w:rsid w:val="00EC7EF2"/>
    <w:rsid w:val="00ED771E"/>
    <w:rsid w:val="00EF4D17"/>
    <w:rsid w:val="00EF6FF9"/>
    <w:rsid w:val="00F24667"/>
    <w:rsid w:val="00F33D15"/>
    <w:rsid w:val="00F41790"/>
    <w:rsid w:val="00F43E5C"/>
    <w:rsid w:val="00F455F9"/>
    <w:rsid w:val="00F55595"/>
    <w:rsid w:val="00F61739"/>
    <w:rsid w:val="00F63FDB"/>
    <w:rsid w:val="00F66251"/>
    <w:rsid w:val="00F81001"/>
    <w:rsid w:val="00F83075"/>
    <w:rsid w:val="00F85E0B"/>
    <w:rsid w:val="00F921FA"/>
    <w:rsid w:val="00F92F45"/>
    <w:rsid w:val="00F97592"/>
    <w:rsid w:val="00FA195B"/>
    <w:rsid w:val="00FA33E0"/>
    <w:rsid w:val="00FB13B2"/>
    <w:rsid w:val="00FC76C7"/>
    <w:rsid w:val="00FD60C5"/>
    <w:rsid w:val="00FD687D"/>
    <w:rsid w:val="00FF1238"/>
    <w:rsid w:val="00FF167A"/>
    <w:rsid w:val="00FF6253"/>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C427AD2"/>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paragraph" w:customStyle="1" w:styleId="Default">
    <w:name w:val="Default"/>
    <w:rsid w:val="00D8229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B9813FF-0672-47D7-B8AA-7797B84C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Labs.dotx</Template>
  <TotalTime>33</TotalTime>
  <Pages>4</Pages>
  <Words>603</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2</cp:revision>
  <cp:lastPrinted>2022-09-29T19:32:00Z</cp:lastPrinted>
  <dcterms:created xsi:type="dcterms:W3CDTF">2024-02-15T21:50:00Z</dcterms:created>
  <dcterms:modified xsi:type="dcterms:W3CDTF">2024-02-15T21:50:00Z</dcterms:modified>
</cp:coreProperties>
</file>