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BF5F7B" w:rsidP="00BD3BF0" w14:paraId="207B7329" w14:textId="77777777"/>
    <w:p w:rsidR="008E16B1" w:rsidP="00887AE0" w14:paraId="207B732A" w14:textId="77777777">
      <w:pPr>
        <w:pStyle w:val="Heading1"/>
      </w:pPr>
      <w:r>
        <w:t>Purpose</w:t>
      </w:r>
    </w:p>
    <w:p w:rsidR="00BF5F7B" w:rsidP="00887AE0" w14:paraId="207B732B" w14:textId="77777777"/>
    <w:p w:rsidR="008E16B1" w:rsidP="00887AE0" w14:paraId="207B732C" w14:textId="77777777">
      <w:r>
        <w:t xml:space="preserve">The purpose of this </w:t>
      </w:r>
      <w:r w:rsidR="00E7495B">
        <w:t>policy</w:t>
      </w:r>
      <w:r>
        <w:t xml:space="preserve"> is to</w:t>
      </w:r>
      <w:r w:rsidR="00EB13EB">
        <w:t xml:space="preserve"> provide fast, accurate quantitative whole blood measurements for blood gases, electrolytes, BUN, and ionized calcium on the</w:t>
      </w:r>
      <w:r w:rsidR="00203B78">
        <w:t xml:space="preserve"> </w:t>
      </w:r>
      <w:r w:rsidR="00EB13EB">
        <w:t>i-STAT system. The sodium, potassium, chloride, ionized calcium, and POC2</w:t>
      </w:r>
      <w:r w:rsidR="00203B78">
        <w:t xml:space="preserve"> are measured by electrode potentiometry. The PO2</w:t>
      </w:r>
      <w:r w:rsidR="000A775B">
        <w:t xml:space="preserve"> is measured </w:t>
      </w:r>
      <w:r w:rsidR="000A775B">
        <w:t>amperometrically</w:t>
      </w:r>
      <w:r w:rsidR="000A775B">
        <w:t xml:space="preserve">. The HCT is determined </w:t>
      </w:r>
      <w:r w:rsidR="000A775B">
        <w:t>conductometrically</w:t>
      </w:r>
      <w:r w:rsidR="000A775B">
        <w:t xml:space="preserve">. As a point of care instrument, the i-STAT reduces turn-around time, producing accurate results without extensive preparation and maintenance. </w:t>
      </w:r>
    </w:p>
    <w:p w:rsidR="0056313C" w:rsidP="00887AE0" w14:paraId="207B732D" w14:textId="77777777"/>
    <w:p w:rsidR="00B048D9" w:rsidP="00887AE0" w14:paraId="207B732E" w14:textId="77777777">
      <w:pPr>
        <w:pStyle w:val="Heading1"/>
      </w:pPr>
      <w:r>
        <w:t>Scope</w:t>
      </w:r>
    </w:p>
    <w:p w:rsidR="0056313C" w:rsidP="0056313C" w14:paraId="207B732F" w14:textId="77777777"/>
    <w:p w:rsidR="009C4774" w:rsidRPr="0056313C" w:rsidP="0056313C" w14:paraId="525079D2" w14:textId="07EA9CCD">
      <w:r w:rsidRPr="009C4774">
        <w:rPr>
          <w:kern w:val="24"/>
          <w:szCs w:val="22"/>
        </w:rPr>
        <w:t>This document applies to</w:t>
      </w:r>
      <w:r w:rsidRPr="009C4774">
        <w:t xml:space="preserve"> </w:t>
      </w:r>
      <w:r w:rsidR="005E1A62">
        <w:t>Anesthesia and Perfusion teammates of the</w:t>
      </w:r>
      <w:r>
        <w:t xml:space="preserve"> Operating Room</w:t>
      </w:r>
      <w:r w:rsidRPr="009C4774">
        <w:rPr>
          <w:color w:val="FF0000"/>
          <w:kern w:val="24"/>
          <w:szCs w:val="22"/>
        </w:rPr>
        <w:t xml:space="preserve"> </w:t>
      </w:r>
      <w:r w:rsidRPr="009C4774">
        <w:rPr>
          <w:kern w:val="24"/>
          <w:szCs w:val="22"/>
        </w:rPr>
        <w:t>within Advocate Health Inc. entities in the Southeast Region Wake Market, to include High Point Medical Center (HPMC)</w:t>
      </w:r>
      <w:r>
        <w:rPr>
          <w:kern w:val="24"/>
          <w:szCs w:val="22"/>
        </w:rPr>
        <w:t>.</w:t>
      </w:r>
    </w:p>
    <w:p w:rsidR="002451BA" w:rsidRPr="00B3765F" w:rsidP="0056313C" w14:paraId="207B7331" w14:textId="77777777"/>
    <w:p w:rsidR="00B048D9" w:rsidP="00887AE0" w14:paraId="207B7332" w14:textId="77777777">
      <w:pPr>
        <w:pStyle w:val="Heading1"/>
      </w:pPr>
      <w:r>
        <w:t>Definitions</w:t>
      </w:r>
    </w:p>
    <w:p w:rsidR="00BF5F7B" w:rsidRPr="00BF5F7B" w:rsidP="00BF5F7B" w14:paraId="207B7333" w14:textId="77777777"/>
    <w:p w:rsidR="00A2219E" w:rsidP="0056313C" w14:paraId="207B7337" w14:textId="666CFAE6">
      <w:r>
        <w:t>Not Applicable</w:t>
      </w:r>
    </w:p>
    <w:p w:rsidR="00AC1232" w:rsidRPr="00B3765F" w:rsidP="0056313C" w14:paraId="207B7338" w14:textId="77777777"/>
    <w:p w:rsidR="00B048D9" w:rsidP="00887AE0" w14:paraId="207B7339" w14:textId="77777777">
      <w:pPr>
        <w:pStyle w:val="Heading1"/>
      </w:pPr>
      <w:r>
        <w:t>Policy</w:t>
      </w:r>
      <w:r w:rsidR="008E16B1">
        <w:t xml:space="preserve"> </w:t>
      </w:r>
      <w:r w:rsidR="003B660A">
        <w:t>Guidelines</w:t>
      </w:r>
    </w:p>
    <w:p w:rsidR="008A7FE8" w:rsidP="0056313C" w14:paraId="207B733A" w14:textId="77777777"/>
    <w:p w:rsidR="008A7FE8" w:rsidP="00524D92" w14:paraId="207B733B" w14:textId="77777777">
      <w:pPr>
        <w:pStyle w:val="ListParagraph"/>
        <w:numPr>
          <w:ilvl w:val="0"/>
          <w:numId w:val="14"/>
        </w:numPr>
      </w:pPr>
      <w:r>
        <w:t>Equipment and Supplies</w:t>
      </w:r>
    </w:p>
    <w:p w:rsidR="00B40CD8" w:rsidRPr="00B40CD8" w:rsidP="006859D8" w14:paraId="207B733C" w14:textId="77777777">
      <w:pPr>
        <w:tabs>
          <w:tab w:val="left" w:pos="6510"/>
        </w:tabs>
      </w:pPr>
      <w:r>
        <w:tab/>
      </w:r>
    </w:p>
    <w:p w:rsidR="008A7FE8" w:rsidP="00887AE0" w14:paraId="207B733D" w14:textId="77777777">
      <w:pPr>
        <w:pStyle w:val="Style1"/>
      </w:pPr>
      <w:r>
        <w:t>Cartridges</w:t>
      </w:r>
    </w:p>
    <w:p w:rsidR="00FD7C98" w:rsidP="00FD7C98" w14:paraId="31316AFC" w14:textId="77777777">
      <w:pPr>
        <w:pStyle w:val="Style1"/>
        <w:ind w:left="720"/>
      </w:pPr>
    </w:p>
    <w:p w:rsidR="000A775B" w:rsidP="000A775B" w14:paraId="207B733E" w14:textId="09F5F89E">
      <w:pPr>
        <w:pStyle w:val="Style1"/>
        <w:numPr>
          <w:ilvl w:val="1"/>
          <w:numId w:val="9"/>
        </w:numPr>
      </w:pPr>
      <w:r>
        <w:t>Store the main supply of cartridges at 2</w:t>
      </w:r>
      <w:r w:rsidR="00DA10CC">
        <w:rPr>
          <w:rFonts w:cs="Arial"/>
        </w:rPr>
        <w:t>º</w:t>
      </w:r>
      <w:r>
        <w:t xml:space="preserve"> to 8</w:t>
      </w:r>
      <w:r w:rsidR="005069B7">
        <w:rPr>
          <w:rFonts w:cs="Arial"/>
        </w:rPr>
        <w:t>º</w:t>
      </w:r>
      <w:r w:rsidR="005069B7">
        <w:t>C (35 to 46</w:t>
      </w:r>
      <w:r w:rsidR="005069B7">
        <w:rPr>
          <w:rFonts w:cs="Arial"/>
        </w:rPr>
        <w:t>º</w:t>
      </w:r>
      <w:r w:rsidR="005069B7">
        <w:t>F). DO NOT allow cartridges to freeze. Cartridges may be stored at room temperature (18</w:t>
      </w:r>
      <w:r w:rsidR="00DA10CC">
        <w:rPr>
          <w:rFonts w:cs="Arial"/>
        </w:rPr>
        <w:t>º</w:t>
      </w:r>
      <w:r w:rsidR="005069B7">
        <w:t xml:space="preserve"> to 30</w:t>
      </w:r>
      <w:r w:rsidR="005069B7">
        <w:rPr>
          <w:rFonts w:cs="Arial"/>
        </w:rPr>
        <w:t>º</w:t>
      </w:r>
      <w:r w:rsidR="005069B7">
        <w:t>C or 64</w:t>
      </w:r>
      <w:r w:rsidR="00DA10CC">
        <w:rPr>
          <w:rFonts w:cs="Arial"/>
        </w:rPr>
        <w:t>º</w:t>
      </w:r>
      <w:r w:rsidR="005069B7">
        <w:t xml:space="preserve"> to 86</w:t>
      </w:r>
      <w:r w:rsidR="005069B7">
        <w:rPr>
          <w:rFonts w:cs="Arial"/>
        </w:rPr>
        <w:t>º</w:t>
      </w:r>
      <w:r w:rsidR="005069B7">
        <w:t>F) for two months. Cartridges should never be returned to the refrigerator once they have been at room temperature above 30</w:t>
      </w:r>
      <w:r w:rsidR="005069B7">
        <w:rPr>
          <w:rFonts w:cs="Arial"/>
        </w:rPr>
        <w:t>º</w:t>
      </w:r>
      <w:r w:rsidR="005069B7">
        <w:t>C (86</w:t>
      </w:r>
      <w:r w:rsidR="005069B7">
        <w:rPr>
          <w:rFonts w:cs="Arial"/>
        </w:rPr>
        <w:t>º</w:t>
      </w:r>
      <w:r w:rsidR="005069B7">
        <w:t xml:space="preserve">F). Mark the calendar on the box to indicate the </w:t>
      </w:r>
      <w:r w:rsidR="005E1A62">
        <w:t>two-month</w:t>
      </w:r>
      <w:r w:rsidR="005069B7">
        <w:t xml:space="preserve"> room temperature expiration date. </w:t>
      </w:r>
      <w:r w:rsidR="00DA10CC">
        <w:t>Cartridges should remain in pouches until time of use. DO NOT use after the labeled expiration date.</w:t>
      </w:r>
      <w:r w:rsidR="0078435D">
        <w:t xml:space="preserve"> </w:t>
      </w:r>
    </w:p>
    <w:p w:rsidR="00DA10CC" w:rsidP="00DA10CC" w14:paraId="207B733F" w14:textId="77777777">
      <w:pPr>
        <w:pStyle w:val="Style1"/>
        <w:ind w:left="720" w:hanging="360"/>
      </w:pPr>
    </w:p>
    <w:p w:rsidR="00CA7B9A" w:rsidP="00DA10CC" w14:paraId="5AD126AD" w14:textId="77777777">
      <w:pPr>
        <w:pStyle w:val="Style1"/>
      </w:pPr>
    </w:p>
    <w:p w:rsidR="00CA7B9A" w:rsidP="00DA10CC" w14:paraId="4F0AA5E3" w14:textId="77777777">
      <w:pPr>
        <w:pStyle w:val="Style1"/>
      </w:pPr>
    </w:p>
    <w:p w:rsidR="00DA10CC" w:rsidP="00DA10CC" w14:paraId="207B7340" w14:textId="24C5B056">
      <w:pPr>
        <w:pStyle w:val="Style1"/>
      </w:pPr>
      <w:r>
        <w:t>Quality Control Reagents</w:t>
      </w:r>
    </w:p>
    <w:p w:rsidR="0050646F" w:rsidP="0050646F" w14:paraId="207B7341" w14:textId="77777777">
      <w:pPr>
        <w:pStyle w:val="Style1"/>
        <w:ind w:left="720" w:hanging="360"/>
      </w:pPr>
    </w:p>
    <w:p w:rsidR="0050646F" w:rsidP="00DA10CC" w14:paraId="207B7342" w14:textId="2DDC7F47">
      <w:pPr>
        <w:pStyle w:val="Style1"/>
        <w:numPr>
          <w:ilvl w:val="1"/>
          <w:numId w:val="9"/>
        </w:numPr>
      </w:pPr>
      <w:r>
        <w:t>I-STAT Controls</w:t>
      </w:r>
    </w:p>
    <w:p w:rsidR="00F33D6D" w:rsidP="00F33D6D" w14:paraId="7F0B8AE6" w14:textId="77777777">
      <w:pPr>
        <w:pStyle w:val="Style1"/>
        <w:ind w:left="1440"/>
      </w:pPr>
    </w:p>
    <w:p w:rsidR="00DA10CC" w:rsidP="0050646F" w14:paraId="207B7343" w14:textId="77777777">
      <w:pPr>
        <w:pStyle w:val="Style1"/>
        <w:numPr>
          <w:ilvl w:val="2"/>
          <w:numId w:val="9"/>
        </w:numPr>
        <w:ind w:left="2340" w:hanging="360"/>
      </w:pPr>
      <w:r>
        <w:t xml:space="preserve">Store at 2º to 8º C (35º to 46ºF). Do not use after expiration date on the box and ampules. With each new shipment, random samplings of cartridges are selected. QC must be performed with each new shipment and/or lot number change, as well as every 30 days of storage. </w:t>
      </w:r>
    </w:p>
    <w:p w:rsidR="0050646F" w:rsidRPr="00DA10CC" w:rsidP="0050646F" w14:paraId="207B7344" w14:textId="77777777">
      <w:pPr>
        <w:pStyle w:val="Style1"/>
        <w:ind w:left="720" w:hanging="360"/>
      </w:pPr>
    </w:p>
    <w:p w:rsidR="0050646F" w:rsidP="00DA10CC" w14:paraId="207B7345" w14:textId="7CE14B0A">
      <w:pPr>
        <w:pStyle w:val="Style1"/>
        <w:numPr>
          <w:ilvl w:val="1"/>
          <w:numId w:val="9"/>
        </w:numPr>
      </w:pPr>
      <w:r>
        <w:t>Electronic Simulator</w:t>
      </w:r>
    </w:p>
    <w:p w:rsidR="00F33D6D" w:rsidP="00F33D6D" w14:paraId="6A08B76A" w14:textId="77777777">
      <w:pPr>
        <w:pStyle w:val="Style1"/>
        <w:ind w:left="1440"/>
      </w:pPr>
    </w:p>
    <w:p w:rsidR="0050646F" w:rsidP="00FD7C98" w14:paraId="207B7346" w14:textId="6202DB28">
      <w:pPr>
        <w:pStyle w:val="Style1"/>
        <w:numPr>
          <w:ilvl w:val="2"/>
          <w:numId w:val="9"/>
        </w:numPr>
        <w:ind w:left="2340" w:hanging="360"/>
      </w:pPr>
      <w:r>
        <w:t xml:space="preserve">Store at room temperature and protect contact pads from contamination by placing the Electronic Simulator in its protective case. </w:t>
      </w:r>
      <w:r w:rsidR="00283925">
        <w:t>The electronic simulator should be performed if the instrument is dropped or when the indicated by the i-STAT instrument that the internal simulator fails.</w:t>
      </w:r>
    </w:p>
    <w:p w:rsidR="00FD7C98" w:rsidP="00FD7C98" w14:paraId="08682112" w14:textId="77777777">
      <w:pPr>
        <w:pStyle w:val="Style1"/>
        <w:ind w:left="2250"/>
      </w:pPr>
    </w:p>
    <w:p w:rsidR="00FD7C98" w:rsidP="00FD7C98" w14:paraId="4E0D9E7A" w14:textId="77777777">
      <w:pPr>
        <w:pStyle w:val="Style1"/>
        <w:numPr>
          <w:ilvl w:val="1"/>
          <w:numId w:val="9"/>
        </w:numPr>
      </w:pPr>
      <w:r>
        <w:t>Internal Electronic Simulator</w:t>
      </w:r>
    </w:p>
    <w:p w:rsidR="00FD7C98" w:rsidP="00FD7C98" w14:paraId="7B858097" w14:textId="77777777">
      <w:pPr>
        <w:pStyle w:val="Style1"/>
        <w:ind w:left="1440"/>
      </w:pPr>
    </w:p>
    <w:p w:rsidR="00FD7C98" w:rsidP="00FD7C98" w14:paraId="4BA30BA1" w14:textId="71E2009E">
      <w:pPr>
        <w:pStyle w:val="Style1"/>
        <w:numPr>
          <w:ilvl w:val="2"/>
          <w:numId w:val="9"/>
        </w:numPr>
        <w:ind w:left="2340" w:hanging="360"/>
      </w:pPr>
      <w:r>
        <w:t>Is ran every 8 hours of use for each different cartridge type. The internal electronic simulator is activated when a filled test cartridge is inserted into the analyzer. This automatic simulator is a circuit in the analyzer, it verifies the electrical measurements of the analyzer and performs the same function as the external simulator. If 8 hours have elapsed, the analyzer will automatically perform the internal test before the sample is analyzed, this usually adds 15-20 seconds to the test cycle.</w:t>
      </w:r>
    </w:p>
    <w:p w:rsidR="00FD7C98" w:rsidP="00FD7C98" w14:paraId="3030C045" w14:textId="77777777">
      <w:pPr>
        <w:pStyle w:val="Style1"/>
        <w:ind w:left="2340"/>
      </w:pPr>
    </w:p>
    <w:p w:rsidR="00FD7C98" w:rsidP="00FD7C98" w14:paraId="2D57331E" w14:textId="39844FC0">
      <w:pPr>
        <w:pStyle w:val="Style1"/>
        <w:numPr>
          <w:ilvl w:val="2"/>
          <w:numId w:val="9"/>
        </w:numPr>
        <w:ind w:left="2340" w:hanging="360"/>
      </w:pPr>
      <w:r>
        <w:t>If the internal electronic simulator fails, the instrument will send notification. If the internal electronic simulator fails, run the external electronic simulator. If the external simulator fails, take the instrument out of service and notify the Point of Care Specialist.</w:t>
      </w:r>
    </w:p>
    <w:p w:rsidR="0050646F" w:rsidP="0050646F" w14:paraId="207B7347" w14:textId="77777777">
      <w:pPr>
        <w:pStyle w:val="Style1"/>
        <w:ind w:left="720" w:hanging="360"/>
      </w:pPr>
    </w:p>
    <w:p w:rsidR="0050646F" w:rsidP="0050646F" w14:paraId="207B7348" w14:textId="77777777">
      <w:pPr>
        <w:pStyle w:val="Style1"/>
      </w:pPr>
      <w:r>
        <w:t>Specimen Requirements and Storage</w:t>
      </w:r>
    </w:p>
    <w:p w:rsidR="00FD7C98" w:rsidP="00FD7C98" w14:paraId="076459FD" w14:textId="77777777">
      <w:pPr>
        <w:pStyle w:val="Style1"/>
        <w:ind w:left="720"/>
      </w:pPr>
    </w:p>
    <w:p w:rsidR="0050646F" w:rsidP="0050646F" w14:paraId="207B7349" w14:textId="7F699BE9">
      <w:pPr>
        <w:pStyle w:val="Style1"/>
        <w:numPr>
          <w:ilvl w:val="1"/>
          <w:numId w:val="9"/>
        </w:numPr>
      </w:pPr>
      <w:r>
        <w:t>Fresh whole blood collected in a plastic syringe without anticoagulant. Test within 3 minutes of collection.</w:t>
      </w:r>
    </w:p>
    <w:p w:rsidR="00DA17F8" w:rsidP="00DA17F8" w14:paraId="118F416B" w14:textId="77777777">
      <w:pPr>
        <w:pStyle w:val="Style1"/>
        <w:ind w:left="1440"/>
      </w:pPr>
    </w:p>
    <w:p w:rsidR="0050646F" w:rsidP="0050646F" w14:paraId="207B734A" w14:textId="016AC571">
      <w:pPr>
        <w:pStyle w:val="Style1"/>
        <w:numPr>
          <w:ilvl w:val="1"/>
          <w:numId w:val="9"/>
        </w:numPr>
      </w:pPr>
      <w:r>
        <w:t xml:space="preserve">Fresh whole blood collected </w:t>
      </w:r>
      <w:r w:rsidR="0078435D">
        <w:t xml:space="preserve">and or </w:t>
      </w:r>
      <w:r>
        <w:t>in a collection tube or syringe with lithium or sodium heparin anticoagulant. (Fill tubes to capacity; fill syringes for correct blood to heparin ratio). Test within 10 minutes of collection.</w:t>
      </w:r>
    </w:p>
    <w:p w:rsidR="006D5EB7" w:rsidP="006D5EB7" w14:paraId="207B734B" w14:textId="77777777">
      <w:pPr>
        <w:pStyle w:val="Style1"/>
      </w:pPr>
    </w:p>
    <w:p w:rsidR="006D5EB7" w:rsidP="006D5EB7" w14:paraId="207B734C" w14:textId="77777777">
      <w:pPr>
        <w:pStyle w:val="ListParagraph"/>
        <w:numPr>
          <w:ilvl w:val="0"/>
          <w:numId w:val="14"/>
        </w:numPr>
      </w:pPr>
      <w:r>
        <w:t>Procedure</w:t>
      </w:r>
    </w:p>
    <w:p w:rsidR="006D5EB7" w:rsidP="006D5EB7" w14:paraId="207B734D" w14:textId="77777777">
      <w:pPr>
        <w:ind w:left="360"/>
      </w:pPr>
    </w:p>
    <w:p w:rsidR="006D5EB7" w:rsidP="006D5EB7" w14:paraId="207B734E" w14:textId="77777777">
      <w:pPr>
        <w:pStyle w:val="Style1"/>
        <w:numPr>
          <w:ilvl w:val="0"/>
          <w:numId w:val="15"/>
        </w:numPr>
      </w:pPr>
      <w:r>
        <w:t>Preparation for Use</w:t>
      </w:r>
    </w:p>
    <w:p w:rsidR="00FF3200" w:rsidP="00FF3200" w14:paraId="207B734F" w14:textId="77777777">
      <w:pPr>
        <w:pStyle w:val="Style1"/>
        <w:ind w:left="720" w:hanging="360"/>
      </w:pPr>
    </w:p>
    <w:p w:rsidR="006D5EB7" w:rsidP="006D5EB7" w14:paraId="207B7350" w14:textId="77777777">
      <w:pPr>
        <w:pStyle w:val="Style1"/>
        <w:numPr>
          <w:ilvl w:val="1"/>
          <w:numId w:val="15"/>
        </w:numPr>
      </w:pPr>
      <w:r>
        <w:t>All cartridges that require thermal control at 37</w:t>
      </w:r>
      <w:r>
        <w:rPr>
          <w:rFonts w:cs="Arial"/>
        </w:rPr>
        <w:t>º</w:t>
      </w:r>
      <w:r>
        <w:t xml:space="preserve">C should stand at </w:t>
      </w:r>
      <w:r>
        <w:t xml:space="preserve">room temperature for four hours before use (individually or an entire box). Individual cartridges not requiring thermal control may be used after standing just 5 minutes at room temperature. An entire box should stand at room temperature for one hour. </w:t>
      </w:r>
    </w:p>
    <w:p w:rsidR="00FF3200" w:rsidP="00FF3200" w14:paraId="207B7351" w14:textId="77777777">
      <w:pPr>
        <w:pStyle w:val="Style1"/>
        <w:ind w:left="720" w:hanging="360"/>
      </w:pPr>
    </w:p>
    <w:p w:rsidR="006D5EB7" w:rsidP="006D5EB7" w14:paraId="207B7352" w14:textId="77777777">
      <w:pPr>
        <w:pStyle w:val="Style1"/>
        <w:numPr>
          <w:ilvl w:val="0"/>
          <w:numId w:val="15"/>
        </w:numPr>
      </w:pPr>
      <w:r>
        <w:t>Procedure</w:t>
      </w:r>
    </w:p>
    <w:p w:rsidR="00FF3200" w:rsidP="00FF3200" w14:paraId="207B7353" w14:textId="77777777">
      <w:pPr>
        <w:pStyle w:val="Style1"/>
        <w:ind w:left="720" w:hanging="360"/>
      </w:pPr>
    </w:p>
    <w:p w:rsidR="006D5EB7" w:rsidP="006D5EB7" w14:paraId="207B7354" w14:textId="168779BC">
      <w:pPr>
        <w:pStyle w:val="Style1"/>
        <w:numPr>
          <w:ilvl w:val="1"/>
          <w:numId w:val="15"/>
        </w:numPr>
      </w:pPr>
      <w:r>
        <w:t>Scan or manually enter an operator ID number.</w:t>
      </w:r>
    </w:p>
    <w:p w:rsidR="00C47350" w:rsidP="00C47350" w14:paraId="6655D6B8" w14:textId="77777777">
      <w:pPr>
        <w:pStyle w:val="Style1"/>
        <w:ind w:left="1440"/>
      </w:pPr>
    </w:p>
    <w:p w:rsidR="006D5EB7" w:rsidP="006D5EB7" w14:paraId="207B7355" w14:textId="64889BE6">
      <w:pPr>
        <w:pStyle w:val="Style1"/>
        <w:numPr>
          <w:ilvl w:val="1"/>
          <w:numId w:val="15"/>
        </w:numPr>
      </w:pPr>
      <w:r>
        <w:t>Scan or manually enter the patient CSN number.</w:t>
      </w:r>
    </w:p>
    <w:p w:rsidR="00C47350" w:rsidP="00C47350" w14:paraId="2A2CB52D" w14:textId="6FAB5364">
      <w:pPr>
        <w:pStyle w:val="ListParagraph"/>
        <w:numPr>
          <w:ilvl w:val="0"/>
          <w:numId w:val="0"/>
        </w:numPr>
        <w:ind w:left="360"/>
      </w:pPr>
    </w:p>
    <w:p w:rsidR="006D5EB7" w:rsidP="006D5EB7" w14:paraId="207B7356" w14:textId="584D8516">
      <w:pPr>
        <w:pStyle w:val="Style1"/>
        <w:numPr>
          <w:ilvl w:val="1"/>
          <w:numId w:val="15"/>
        </w:numPr>
      </w:pPr>
      <w:r>
        <w:t>Scan the cartridge barcode information.</w:t>
      </w:r>
    </w:p>
    <w:p w:rsidR="00C47350" w:rsidP="00C47350" w14:paraId="30F78ECF" w14:textId="64909869">
      <w:pPr>
        <w:pStyle w:val="ListParagraph"/>
        <w:numPr>
          <w:ilvl w:val="0"/>
          <w:numId w:val="0"/>
        </w:numPr>
        <w:ind w:left="360"/>
      </w:pPr>
    </w:p>
    <w:p w:rsidR="006D5EB7" w:rsidP="006D5EB7" w14:paraId="207B7357" w14:textId="3DCE6548">
      <w:pPr>
        <w:pStyle w:val="Style1"/>
        <w:numPr>
          <w:ilvl w:val="1"/>
          <w:numId w:val="15"/>
        </w:numPr>
      </w:pPr>
      <w:r>
        <w:t>Collect the blood sample.</w:t>
      </w:r>
    </w:p>
    <w:p w:rsidR="00C47350" w:rsidP="00C47350" w14:paraId="32105D9D" w14:textId="65AE157E">
      <w:pPr>
        <w:pStyle w:val="ListParagraph"/>
        <w:numPr>
          <w:ilvl w:val="0"/>
          <w:numId w:val="0"/>
        </w:numPr>
        <w:ind w:left="360"/>
      </w:pPr>
    </w:p>
    <w:p w:rsidR="006D5EB7" w:rsidP="006D5EB7" w14:paraId="207B7358" w14:textId="3D46B0FF">
      <w:pPr>
        <w:pStyle w:val="Style1"/>
        <w:numPr>
          <w:ilvl w:val="1"/>
          <w:numId w:val="15"/>
        </w:numPr>
      </w:pPr>
      <w:r>
        <w:t>Remove the cartridge from its pouch. Avoid touching the contact pads or exerting pressure over the calibrant pack in the center of the cartridge.</w:t>
      </w:r>
    </w:p>
    <w:p w:rsidR="00C47350" w:rsidP="00C47350" w14:paraId="5C0103EC" w14:textId="146FE768">
      <w:pPr>
        <w:pStyle w:val="ListParagraph"/>
        <w:numPr>
          <w:ilvl w:val="0"/>
          <w:numId w:val="0"/>
        </w:numPr>
        <w:ind w:left="360"/>
      </w:pPr>
    </w:p>
    <w:p w:rsidR="006D5EB7" w:rsidP="006D5EB7" w14:paraId="207B7359" w14:textId="71ACD133">
      <w:pPr>
        <w:pStyle w:val="Style1"/>
        <w:numPr>
          <w:ilvl w:val="1"/>
          <w:numId w:val="15"/>
        </w:numPr>
      </w:pPr>
      <w:r>
        <w:t xml:space="preserve">Direct the syringe top or need tip containing the blood into the sample well. </w:t>
      </w:r>
    </w:p>
    <w:p w:rsidR="00C47350" w:rsidP="00C47350" w14:paraId="0DE2928F" w14:textId="11281BEA">
      <w:pPr>
        <w:ind w:left="360" w:hanging="360"/>
      </w:pPr>
    </w:p>
    <w:p w:rsidR="006D5EB7" w:rsidP="006D5EB7" w14:paraId="207B735A" w14:textId="36939AB5">
      <w:pPr>
        <w:pStyle w:val="Style1"/>
        <w:numPr>
          <w:ilvl w:val="1"/>
          <w:numId w:val="15"/>
        </w:numPr>
      </w:pPr>
      <w:r>
        <w:t>Dispense the sample until it reaches the fill mark on the cartridge. Leave some sample in well.</w:t>
      </w:r>
    </w:p>
    <w:p w:rsidR="00C47350" w:rsidP="00C47350" w14:paraId="57A2D4E3" w14:textId="5519983B">
      <w:pPr>
        <w:pStyle w:val="ListParagraph"/>
        <w:numPr>
          <w:ilvl w:val="0"/>
          <w:numId w:val="0"/>
        </w:numPr>
        <w:ind w:left="360"/>
      </w:pPr>
    </w:p>
    <w:p w:rsidR="006D5EB7" w:rsidP="006D5EB7" w14:paraId="207B735B" w14:textId="49B75CF6">
      <w:pPr>
        <w:pStyle w:val="Style1"/>
        <w:numPr>
          <w:ilvl w:val="1"/>
          <w:numId w:val="15"/>
        </w:numPr>
      </w:pPr>
      <w:r>
        <w:t>Close the cover over the sample well until it snaps into place. (Do not press over the sample well).</w:t>
      </w:r>
    </w:p>
    <w:p w:rsidR="00C47350" w:rsidP="00C47350" w14:paraId="1A761B0B" w14:textId="1730E5FA">
      <w:pPr>
        <w:pStyle w:val="ListParagraph"/>
        <w:numPr>
          <w:ilvl w:val="0"/>
          <w:numId w:val="0"/>
        </w:numPr>
        <w:ind w:left="360"/>
      </w:pPr>
    </w:p>
    <w:p w:rsidR="006D5EB7" w:rsidP="006D5EB7" w14:paraId="207B735C" w14:textId="1994B09B">
      <w:pPr>
        <w:pStyle w:val="Style1"/>
        <w:numPr>
          <w:ilvl w:val="1"/>
          <w:numId w:val="15"/>
        </w:numPr>
      </w:pPr>
      <w:r>
        <w:t xml:space="preserve">Insert the cartridge into the cartridge door until it clicks into place. </w:t>
      </w:r>
    </w:p>
    <w:p w:rsidR="00C47350" w:rsidP="00C47350" w14:paraId="7847EC3E" w14:textId="21860D00">
      <w:pPr>
        <w:pStyle w:val="ListParagraph"/>
        <w:numPr>
          <w:ilvl w:val="0"/>
          <w:numId w:val="0"/>
        </w:numPr>
        <w:ind w:left="360"/>
      </w:pPr>
    </w:p>
    <w:p w:rsidR="00D227F0" w:rsidP="006D5EB7" w14:paraId="207B735D" w14:textId="64EB0C05">
      <w:pPr>
        <w:pStyle w:val="Style1"/>
        <w:numPr>
          <w:ilvl w:val="1"/>
          <w:numId w:val="15"/>
        </w:numPr>
      </w:pPr>
      <w:r>
        <w:t>Enter additional parameters when required (arterial, venous, CBG)</w:t>
      </w:r>
    </w:p>
    <w:p w:rsidR="00C47350" w:rsidP="00C47350" w14:paraId="28390637" w14:textId="52885A6D">
      <w:pPr>
        <w:pStyle w:val="ListParagraph"/>
        <w:numPr>
          <w:ilvl w:val="0"/>
          <w:numId w:val="0"/>
        </w:numPr>
        <w:ind w:left="360"/>
      </w:pPr>
    </w:p>
    <w:p w:rsidR="00D227F0" w:rsidP="006D5EB7" w14:paraId="207B735E" w14:textId="77777777">
      <w:pPr>
        <w:pStyle w:val="Style1"/>
        <w:numPr>
          <w:ilvl w:val="1"/>
          <w:numId w:val="15"/>
        </w:numPr>
      </w:pPr>
      <w:r>
        <w:t>View results shown on the analyzer’s display screen.</w:t>
      </w:r>
    </w:p>
    <w:p w:rsidR="00FF3200" w:rsidP="00FF3200" w14:paraId="207B735F" w14:textId="77777777">
      <w:pPr>
        <w:pStyle w:val="Style1"/>
        <w:ind w:left="720" w:hanging="360"/>
      </w:pPr>
    </w:p>
    <w:p w:rsidR="00D227F0" w:rsidP="00D227F0" w14:paraId="207B7360" w14:textId="77777777">
      <w:pPr>
        <w:pStyle w:val="Style1"/>
        <w:numPr>
          <w:ilvl w:val="0"/>
          <w:numId w:val="15"/>
        </w:numPr>
      </w:pPr>
      <w:r>
        <w:t>Alternative Procedure</w:t>
      </w:r>
    </w:p>
    <w:p w:rsidR="00FF3200" w:rsidP="00FF3200" w14:paraId="207B7361" w14:textId="77777777">
      <w:pPr>
        <w:pStyle w:val="Style1"/>
        <w:ind w:left="720" w:hanging="360"/>
      </w:pPr>
    </w:p>
    <w:p w:rsidR="00D227F0" w:rsidP="00D227F0" w14:paraId="207B7362" w14:textId="74BAD5CB">
      <w:pPr>
        <w:pStyle w:val="Style1"/>
        <w:numPr>
          <w:ilvl w:val="1"/>
          <w:numId w:val="15"/>
        </w:numPr>
      </w:pPr>
      <w:r>
        <w:t xml:space="preserve">Should the i-STAT System become inoperable for any reason, specimens should be collected and submitted to </w:t>
      </w:r>
      <w:r w:rsidR="005E1A62">
        <w:t xml:space="preserve">main lab or </w:t>
      </w:r>
      <w:r>
        <w:t>respiratory.</w:t>
      </w:r>
    </w:p>
    <w:p w:rsidR="00FD7C98" w:rsidP="00FD7C98" w14:paraId="5D2DC838" w14:textId="77777777">
      <w:pPr>
        <w:pStyle w:val="Style1"/>
        <w:ind w:left="1440"/>
      </w:pPr>
    </w:p>
    <w:p w:rsidR="00FD7C98" w:rsidP="00D227F0" w14:paraId="2F25E2C5" w14:textId="2CB8E85B">
      <w:pPr>
        <w:pStyle w:val="Style1"/>
        <w:numPr>
          <w:ilvl w:val="1"/>
          <w:numId w:val="15"/>
        </w:numPr>
      </w:pPr>
      <w:r w:rsidRPr="00FD7C98">
        <w:t>If the computer system is down a downtime form should be used to record patients results.</w:t>
      </w:r>
    </w:p>
    <w:p w:rsidR="00FF3200" w:rsidP="00FF3200" w14:paraId="207B7363" w14:textId="77777777">
      <w:pPr>
        <w:pStyle w:val="Style1"/>
        <w:ind w:left="720" w:hanging="360"/>
      </w:pPr>
    </w:p>
    <w:p w:rsidR="00D227F0" w:rsidP="00D227F0" w14:paraId="207B7364" w14:textId="77777777">
      <w:pPr>
        <w:pStyle w:val="Style1"/>
        <w:numPr>
          <w:ilvl w:val="1"/>
          <w:numId w:val="15"/>
        </w:numPr>
      </w:pPr>
      <w:r>
        <w:t>Calculations</w:t>
      </w:r>
    </w:p>
    <w:p w:rsidR="00FF3200" w:rsidP="00FF3200" w14:paraId="207B7365" w14:textId="77777777">
      <w:pPr>
        <w:pStyle w:val="ListParagraph"/>
        <w:numPr>
          <w:ilvl w:val="0"/>
          <w:numId w:val="0"/>
        </w:numPr>
        <w:ind w:left="360"/>
      </w:pPr>
    </w:p>
    <w:p w:rsidR="00D227F0" w:rsidP="00FD7C98" w14:paraId="207B7366" w14:textId="77777777">
      <w:pPr>
        <w:pStyle w:val="Style1"/>
        <w:numPr>
          <w:ilvl w:val="2"/>
          <w:numId w:val="9"/>
        </w:numPr>
        <w:ind w:left="2340" w:hanging="360"/>
      </w:pPr>
      <w:r>
        <w:t xml:space="preserve">The i-STAT analyzer contains a microprocessor that performs all calculations required for reporting results. </w:t>
      </w:r>
    </w:p>
    <w:p w:rsidR="00FF3200" w:rsidP="00FF3200" w14:paraId="207B7367" w14:textId="77777777">
      <w:pPr>
        <w:pStyle w:val="Style1"/>
        <w:ind w:left="720" w:hanging="360"/>
      </w:pPr>
    </w:p>
    <w:p w:rsidR="00D227F0" w:rsidP="00D227F0" w14:paraId="207B7368" w14:textId="77777777">
      <w:pPr>
        <w:pStyle w:val="Style1"/>
        <w:numPr>
          <w:ilvl w:val="1"/>
          <w:numId w:val="15"/>
        </w:numPr>
      </w:pPr>
      <w:r>
        <w:t>Suppressed Results</w:t>
      </w:r>
    </w:p>
    <w:p w:rsidR="00FF3200" w:rsidP="00FF3200" w14:paraId="207B7369" w14:textId="77777777">
      <w:pPr>
        <w:pStyle w:val="Style1"/>
        <w:ind w:left="720" w:hanging="360"/>
      </w:pPr>
    </w:p>
    <w:p w:rsidR="00D227F0" w:rsidP="00FD7C98" w14:paraId="207B736A" w14:textId="77777777">
      <w:pPr>
        <w:pStyle w:val="Style1"/>
        <w:numPr>
          <w:ilvl w:val="2"/>
          <w:numId w:val="9"/>
        </w:numPr>
        <w:ind w:left="2340" w:hanging="360"/>
      </w:pPr>
      <w:r>
        <w:t>There are three conditions under which the i-STAT System will not display results</w:t>
      </w:r>
    </w:p>
    <w:p w:rsidR="00FF3200" w:rsidP="00FF3200" w14:paraId="207B736B" w14:textId="77777777">
      <w:pPr>
        <w:pStyle w:val="Style1"/>
        <w:ind w:left="720" w:hanging="360"/>
      </w:pPr>
    </w:p>
    <w:p w:rsidR="00F5407D" w:rsidP="00F5407D" w14:paraId="207B736C" w14:textId="77777777">
      <w:pPr>
        <w:pStyle w:val="Style1"/>
        <w:numPr>
          <w:ilvl w:val="0"/>
          <w:numId w:val="16"/>
        </w:numPr>
      </w:pPr>
      <w:r>
        <w:t xml:space="preserve">Results outside the system’s reportable ranges are flagged with a “&lt;” or “&gt;,” indicating that the results </w:t>
      </w:r>
      <w:r>
        <w:t>is</w:t>
      </w:r>
      <w:r>
        <w:t xml:space="preserve"> below the lower limit or above the upper limit of the reportable range respectively. See the table of reportable ranges. Action: Send </w:t>
      </w:r>
      <w:r>
        <w:t>specimen(s) to the laboratory for analysis.</w:t>
      </w:r>
    </w:p>
    <w:p w:rsidR="00FF3200" w:rsidP="00FF3200" w14:paraId="207B736D" w14:textId="77777777">
      <w:pPr>
        <w:pStyle w:val="Style1"/>
        <w:ind w:left="720" w:hanging="360"/>
      </w:pPr>
    </w:p>
    <w:p w:rsidR="00F5407D" w:rsidP="00F5407D" w14:paraId="207B736E" w14:textId="77777777">
      <w:pPr>
        <w:pStyle w:val="Style1"/>
        <w:numPr>
          <w:ilvl w:val="0"/>
          <w:numId w:val="16"/>
        </w:numPr>
      </w:pPr>
      <w:r>
        <w:t xml:space="preserve">Results which are unreportable based on internal QC rejection criteria are flagged with “****.” Action: Analyze the specimen again using another cartridge. The results that are not suppressed should be reported in the usual manner. If the result is suppressed again, send specimen(s) to the laboratory or respiratory for analysis in accordance with the Laboratory Procedure Manual. </w:t>
      </w:r>
    </w:p>
    <w:p w:rsidR="00FF3200" w:rsidP="00FF3200" w14:paraId="207B736F" w14:textId="77777777">
      <w:pPr>
        <w:pStyle w:val="ListParagraph"/>
        <w:numPr>
          <w:ilvl w:val="0"/>
          <w:numId w:val="0"/>
        </w:numPr>
        <w:ind w:left="360"/>
      </w:pPr>
    </w:p>
    <w:p w:rsidR="00F5407D" w:rsidP="00F5407D" w14:paraId="207B7370" w14:textId="77777777">
      <w:pPr>
        <w:pStyle w:val="Style1"/>
        <w:numPr>
          <w:ilvl w:val="0"/>
          <w:numId w:val="16"/>
        </w:numPr>
      </w:pPr>
      <w:r>
        <w:t>Results will not be reported if a test cycle has a problem with the sample, calibrant solution, sensors, and mechanical or electrical functions of the analyzer. Action: Take the action displayed with the message that identifies the problem. Refer to the i-STAT System Manual’s Troubleshooting section if necessary and send the analyzer t</w:t>
      </w:r>
      <w:r w:rsidR="00914CAA">
        <w:t>o</w:t>
      </w:r>
      <w:r>
        <w:t xml:space="preserve"> the POCT Manager for assistance. </w:t>
      </w:r>
    </w:p>
    <w:p w:rsidR="00FF3200" w:rsidP="00FF3200" w14:paraId="207B7371" w14:textId="77777777">
      <w:pPr>
        <w:pStyle w:val="ListParagraph"/>
        <w:numPr>
          <w:ilvl w:val="0"/>
          <w:numId w:val="0"/>
        </w:numPr>
        <w:ind w:left="360"/>
      </w:pPr>
    </w:p>
    <w:p w:rsidR="00914CAA" w:rsidP="00914CAA" w14:paraId="207B7372" w14:textId="77777777">
      <w:pPr>
        <w:pStyle w:val="Style1"/>
        <w:numPr>
          <w:ilvl w:val="0"/>
          <w:numId w:val="15"/>
        </w:numPr>
      </w:pPr>
      <w:r>
        <w:t>Reporting Results</w:t>
      </w:r>
    </w:p>
    <w:p w:rsidR="00FF3200" w:rsidP="00FF3200" w14:paraId="207B7373" w14:textId="77777777">
      <w:pPr>
        <w:pStyle w:val="Style1"/>
        <w:ind w:left="720" w:hanging="360"/>
      </w:pPr>
    </w:p>
    <w:p w:rsidR="00914CAA" w:rsidP="00914CAA" w14:paraId="207B7374" w14:textId="77777777">
      <w:pPr>
        <w:pStyle w:val="Style1"/>
        <w:numPr>
          <w:ilvl w:val="1"/>
          <w:numId w:val="15"/>
        </w:numPr>
      </w:pPr>
      <w:r>
        <w:t>Normal Results</w:t>
      </w:r>
    </w:p>
    <w:p w:rsidR="00FF3200" w:rsidP="00FF3200" w14:paraId="207B7375" w14:textId="77777777">
      <w:pPr>
        <w:pStyle w:val="Style1"/>
        <w:ind w:left="720" w:hanging="360"/>
      </w:pPr>
    </w:p>
    <w:p w:rsidR="00914CAA" w:rsidP="00FD7C98" w14:paraId="207B7376" w14:textId="77777777">
      <w:pPr>
        <w:pStyle w:val="Style1"/>
        <w:numPr>
          <w:ilvl w:val="2"/>
          <w:numId w:val="9"/>
        </w:numPr>
        <w:ind w:left="2340" w:hanging="360"/>
      </w:pPr>
      <w:r>
        <w:t>The results are verbally given to the anesthesiologist or surgeon</w:t>
      </w:r>
      <w:r w:rsidR="00FF3200">
        <w:t>.</w:t>
      </w:r>
    </w:p>
    <w:p w:rsidR="00FF3200" w:rsidP="00FF3200" w14:paraId="207B7377" w14:textId="77777777">
      <w:pPr>
        <w:pStyle w:val="Style1"/>
        <w:ind w:left="720" w:hanging="360"/>
      </w:pPr>
    </w:p>
    <w:p w:rsidR="00914CAA" w:rsidP="00914CAA" w14:paraId="207B7378" w14:textId="77777777">
      <w:pPr>
        <w:pStyle w:val="Style1"/>
        <w:numPr>
          <w:ilvl w:val="1"/>
          <w:numId w:val="15"/>
        </w:numPr>
      </w:pPr>
      <w:r>
        <w:t>Unexpected or Unexplained Values</w:t>
      </w:r>
    </w:p>
    <w:p w:rsidR="00FF3200" w:rsidP="00FF3200" w14:paraId="207B7379" w14:textId="77777777">
      <w:pPr>
        <w:pStyle w:val="Style1"/>
        <w:ind w:left="720" w:hanging="360"/>
      </w:pPr>
    </w:p>
    <w:p w:rsidR="00914CAA" w:rsidP="00FD7C98" w14:paraId="207B737A" w14:textId="77777777">
      <w:pPr>
        <w:pStyle w:val="Style1"/>
        <w:numPr>
          <w:ilvl w:val="2"/>
          <w:numId w:val="9"/>
        </w:numPr>
        <w:ind w:left="2340" w:hanging="360"/>
      </w:pPr>
      <w:r>
        <w:t>If unexpected abnormal readings</w:t>
      </w:r>
      <w:r w:rsidR="00FF3200">
        <w:t xml:space="preserve"> are noted on the analyzer, the anesthesiologist and perfusionists are notified. (Perfusionists are notified if on by—pass).</w:t>
      </w:r>
    </w:p>
    <w:p w:rsidR="00214D35" w:rsidP="00214D35" w14:paraId="207B737B" w14:textId="77777777">
      <w:pPr>
        <w:pStyle w:val="Style1"/>
      </w:pPr>
    </w:p>
    <w:p w:rsidR="00FF3200" w:rsidP="00FD7C98" w14:paraId="207B737C" w14:textId="77777777">
      <w:pPr>
        <w:pStyle w:val="Style1"/>
        <w:numPr>
          <w:ilvl w:val="2"/>
          <w:numId w:val="9"/>
        </w:numPr>
        <w:ind w:left="2340" w:hanging="360"/>
      </w:pPr>
      <w:r>
        <w:t>If unexpected abnormal results are encountered, the specimen is to be recollected.</w:t>
      </w:r>
    </w:p>
    <w:p w:rsidR="00073D1E" w:rsidP="00FD7C98" w14:paraId="207B737D" w14:textId="77777777">
      <w:pPr>
        <w:pStyle w:val="Style1"/>
        <w:ind w:left="2340"/>
      </w:pPr>
    </w:p>
    <w:p w:rsidR="00073D1E" w:rsidP="00FD7C98" w14:paraId="207B737E" w14:textId="77777777">
      <w:pPr>
        <w:pStyle w:val="Style1"/>
        <w:numPr>
          <w:ilvl w:val="2"/>
          <w:numId w:val="9"/>
        </w:numPr>
        <w:ind w:left="2340" w:hanging="360"/>
      </w:pPr>
      <w:r>
        <w:t xml:space="preserve">If unexpected abnormal results continue, a new patient samples </w:t>
      </w:r>
      <w:r>
        <w:t>is</w:t>
      </w:r>
      <w:r>
        <w:t xml:space="preserve"> sent to the laboratory and/or respiratory therapy for testing.</w:t>
      </w:r>
    </w:p>
    <w:p w:rsidR="009F0CE3" w:rsidP="00FD7C98" w14:paraId="207B737F" w14:textId="77777777">
      <w:pPr>
        <w:pStyle w:val="Style1"/>
        <w:ind w:left="2340"/>
      </w:pPr>
    </w:p>
    <w:p w:rsidR="009F0CE3" w:rsidRPr="009F0CE3" w:rsidP="00FD7C98" w14:paraId="207B7380" w14:textId="77777777">
      <w:pPr>
        <w:pStyle w:val="Style1"/>
        <w:numPr>
          <w:ilvl w:val="2"/>
          <w:numId w:val="9"/>
        </w:numPr>
        <w:ind w:left="2340" w:hanging="360"/>
      </w:pPr>
      <w:r>
        <w:t xml:space="preserve">If i-STAT continue to produce “questionable” results, refer to the POCT Manager for assistance. </w:t>
      </w:r>
    </w:p>
    <w:p w:rsidR="00353C0F" w:rsidP="0056313C" w14:paraId="207B7381" w14:textId="77777777"/>
    <w:p w:rsidR="009F0CE3" w:rsidP="009F0CE3" w14:paraId="207B7382" w14:textId="77777777">
      <w:pPr>
        <w:pStyle w:val="Style1"/>
        <w:numPr>
          <w:ilvl w:val="0"/>
          <w:numId w:val="15"/>
        </w:numPr>
      </w:pPr>
      <w:r>
        <w:t>Transmitting Results</w:t>
      </w:r>
    </w:p>
    <w:p w:rsidR="009F0CE3" w:rsidP="009F0CE3" w14:paraId="207B7383" w14:textId="77777777">
      <w:pPr>
        <w:pStyle w:val="Style1"/>
        <w:ind w:left="720" w:hanging="360"/>
      </w:pPr>
    </w:p>
    <w:p w:rsidR="009F0CE3" w:rsidP="009F0CE3" w14:paraId="207B7384" w14:textId="09F21C62">
      <w:pPr>
        <w:pStyle w:val="Style1"/>
        <w:numPr>
          <w:ilvl w:val="1"/>
          <w:numId w:val="15"/>
        </w:numPr>
      </w:pPr>
      <w:r>
        <w:t>Place the analyzer in the cradle of an IR Interface or Link. The IR status light must be green.</w:t>
      </w:r>
    </w:p>
    <w:p w:rsidR="00C47350" w:rsidP="00C47350" w14:paraId="28378018" w14:textId="77777777">
      <w:pPr>
        <w:pStyle w:val="Style1"/>
        <w:ind w:left="1440"/>
      </w:pPr>
    </w:p>
    <w:p w:rsidR="009F0CE3" w:rsidP="009F0CE3" w14:paraId="207B7385" w14:textId="77777777">
      <w:pPr>
        <w:pStyle w:val="Style1"/>
        <w:numPr>
          <w:ilvl w:val="1"/>
          <w:numId w:val="15"/>
        </w:numPr>
      </w:pPr>
      <w:r>
        <w:t xml:space="preserve">Do not move the analyzer while “transmitting” is displayed. During transmission, the IT status light will blink alternately red and green. If transmission is successful, the IR Link will emit a single </w:t>
      </w:r>
      <w:r>
        <w:t>high pitched</w:t>
      </w:r>
      <w:r>
        <w:t xml:space="preserve"> beep and the light will return to green. An unsuccessful transmission is indicated by three low tone beeps. In this case, repeat the transmission process. The analyzer must be docked twice per day.</w:t>
      </w:r>
    </w:p>
    <w:p w:rsidR="00695250" w:rsidP="00695250" w14:paraId="207B7386" w14:textId="77777777">
      <w:pPr>
        <w:pStyle w:val="Style1"/>
      </w:pPr>
    </w:p>
    <w:p w:rsidR="00695250" w:rsidP="00005413" w14:paraId="207B7387" w14:textId="22CED05D">
      <w:pPr>
        <w:pStyle w:val="Style1"/>
        <w:numPr>
          <w:ilvl w:val="0"/>
          <w:numId w:val="15"/>
        </w:numPr>
      </w:pPr>
      <w:r>
        <w:t>Liquid Quality Controls</w:t>
      </w:r>
    </w:p>
    <w:p w:rsidR="00695250" w:rsidP="00695250" w14:paraId="207B7388" w14:textId="77777777">
      <w:pPr>
        <w:ind w:left="360"/>
      </w:pPr>
    </w:p>
    <w:p w:rsidR="002C0454" w:rsidP="002C0454" w14:paraId="280CBE84" w14:textId="6674C632">
      <w:pPr>
        <w:pStyle w:val="Style1"/>
      </w:pPr>
      <w:r>
        <w:t>Liquid quality controls performed by testing personnel.</w:t>
      </w:r>
      <w:r w:rsidRPr="002C0454">
        <w:t xml:space="preserve"> </w:t>
      </w:r>
      <w:r>
        <w:t>Refer to the appropriate package insert and i-STAT System Manual for additional handling information and details.</w:t>
      </w:r>
      <w:r w:rsidR="00F77174">
        <w:t xml:space="preserve"> </w:t>
      </w:r>
    </w:p>
    <w:p w:rsidR="002C0454" w:rsidRPr="00FC579C" w:rsidP="002C0454" w14:paraId="4A7D2BDC" w14:textId="77777777"/>
    <w:p w:rsidR="002C0454" w:rsidRPr="004C0161" w:rsidP="002C0454" w14:paraId="3F086C31" w14:textId="77777777">
      <w:pPr>
        <w:pStyle w:val="ListParagraph"/>
        <w:numPr>
          <w:ilvl w:val="0"/>
          <w:numId w:val="49"/>
        </w:numPr>
      </w:pPr>
      <w:r w:rsidRPr="004C0161">
        <w:t>i-STAT Liquid Tri-Controls—Used to verify the blood gas, hematocrit, chemistry, and electrolyte sensor performance.</w:t>
      </w:r>
    </w:p>
    <w:p w:rsidR="002C0454" w:rsidRPr="00FC579C" w:rsidP="002C0454" w14:paraId="412B6267" w14:textId="77777777"/>
    <w:p w:rsidR="002C0454" w:rsidRPr="004C0161" w:rsidP="002C0454" w14:paraId="386AD1A6" w14:textId="77777777">
      <w:pPr>
        <w:pStyle w:val="ListParagraph"/>
        <w:numPr>
          <w:ilvl w:val="0"/>
          <w:numId w:val="50"/>
        </w:numPr>
        <w:ind w:left="1800"/>
      </w:pPr>
      <w:r w:rsidRPr="004C0161">
        <w:t>Store at 2º to 8ºC (35º to 46ºF) through package expiration date.</w:t>
      </w:r>
    </w:p>
    <w:p w:rsidR="002C0454" w:rsidRPr="004C0161" w:rsidP="002C0454" w14:paraId="74F9AB09" w14:textId="77777777">
      <w:pPr>
        <w:ind w:left="1080"/>
      </w:pPr>
    </w:p>
    <w:p w:rsidR="002C0454" w:rsidRPr="004C0161" w:rsidP="002C0454" w14:paraId="29238164" w14:textId="77777777">
      <w:pPr>
        <w:pStyle w:val="ListParagraph"/>
        <w:numPr>
          <w:ilvl w:val="0"/>
          <w:numId w:val="50"/>
        </w:numPr>
        <w:ind w:left="1800"/>
      </w:pPr>
      <w:r w:rsidRPr="004C0161">
        <w:t>Controls may be stored at room temperature (18º to 30ºC or 64º to 86ºF) for five days.</w:t>
      </w:r>
    </w:p>
    <w:p w:rsidR="002C0454" w:rsidRPr="004C0161" w:rsidP="002C0454" w14:paraId="52279C63" w14:textId="77777777">
      <w:pPr>
        <w:ind w:left="1080"/>
      </w:pPr>
    </w:p>
    <w:p w:rsidR="002C0454" w:rsidRPr="004C0161" w:rsidP="002C0454" w14:paraId="54A7719B" w14:textId="77777777">
      <w:pPr>
        <w:pStyle w:val="ListParagraph"/>
        <w:numPr>
          <w:ilvl w:val="0"/>
          <w:numId w:val="50"/>
        </w:numPr>
        <w:ind w:left="1800"/>
      </w:pPr>
      <w:r w:rsidRPr="004C0161">
        <w:t>Do not use after expiration date on the box and ampules.</w:t>
      </w:r>
    </w:p>
    <w:p w:rsidR="002C0454" w:rsidRPr="004C0161" w:rsidP="002C0454" w14:paraId="36BE39E0" w14:textId="77777777">
      <w:pPr>
        <w:ind w:left="1080"/>
      </w:pPr>
    </w:p>
    <w:p w:rsidR="002C0454" w:rsidRPr="004C0161" w:rsidP="002C0454" w14:paraId="3ABF15CD" w14:textId="77777777">
      <w:pPr>
        <w:pStyle w:val="ListParagraph"/>
        <w:numPr>
          <w:ilvl w:val="0"/>
          <w:numId w:val="50"/>
        </w:numPr>
        <w:ind w:left="1800"/>
      </w:pPr>
      <w:r w:rsidRPr="004C0161">
        <w:t>Protect fingers with gauze or tissue when opening vial.</w:t>
      </w:r>
    </w:p>
    <w:p w:rsidR="002C0454" w:rsidRPr="004C0161" w:rsidP="002C0454" w14:paraId="4FB421A1" w14:textId="77777777">
      <w:pPr>
        <w:ind w:left="1080"/>
      </w:pPr>
    </w:p>
    <w:p w:rsidR="002C0454" w:rsidRPr="004C0161" w:rsidP="002C0454" w14:paraId="4C7AF441" w14:textId="77777777">
      <w:pPr>
        <w:pStyle w:val="ListParagraph"/>
        <w:numPr>
          <w:ilvl w:val="0"/>
          <w:numId w:val="50"/>
        </w:numPr>
        <w:ind w:left="1800"/>
      </w:pPr>
      <w:r w:rsidRPr="004C0161">
        <w:t xml:space="preserve">If oxygen is being tested, QC material should be </w:t>
      </w:r>
      <w:r w:rsidRPr="004C0161">
        <w:t>equilibrate</w:t>
      </w:r>
      <w:r w:rsidRPr="004C0161">
        <w:t xml:space="preserve"> to room temperature for 4 hours prior to use. Test sample immediately after opening. </w:t>
      </w:r>
    </w:p>
    <w:p w:rsidR="002C0454" w:rsidRPr="00FC579C" w:rsidP="002C0454" w14:paraId="23F9487E" w14:textId="77777777"/>
    <w:p w:rsidR="002C0454" w:rsidP="002C0454" w14:paraId="2D5ECC50" w14:textId="77777777">
      <w:pPr>
        <w:pStyle w:val="ListParagraph"/>
        <w:numPr>
          <w:ilvl w:val="0"/>
          <w:numId w:val="49"/>
        </w:numPr>
      </w:pPr>
      <w:r>
        <w:t>ACT Liquid Controls—Used to validate performance of i-STAT ACT test cartridges.</w:t>
      </w:r>
    </w:p>
    <w:p w:rsidR="002C0454" w:rsidRPr="00FC579C" w:rsidP="002C0454" w14:paraId="28D0D7EE" w14:textId="77777777"/>
    <w:p w:rsidR="002C0454" w:rsidRPr="004C0161" w:rsidP="002C0454" w14:paraId="6EF88825" w14:textId="77777777">
      <w:pPr>
        <w:pStyle w:val="ListParagraph"/>
        <w:numPr>
          <w:ilvl w:val="0"/>
          <w:numId w:val="51"/>
        </w:numPr>
        <w:ind w:left="1800"/>
      </w:pPr>
      <w:r w:rsidRPr="004C0161">
        <w:t>CAUTION: Handle using standard precautions. This product contains human plasma.</w:t>
      </w:r>
    </w:p>
    <w:p w:rsidR="002C0454" w:rsidRPr="004C0161" w:rsidP="002C0454" w14:paraId="4F8BE69B" w14:textId="77777777">
      <w:pPr>
        <w:ind w:left="1080"/>
      </w:pPr>
    </w:p>
    <w:p w:rsidR="002C0454" w:rsidRPr="004C0161" w:rsidP="002C0454" w14:paraId="451AA931" w14:textId="77777777">
      <w:pPr>
        <w:pStyle w:val="ListParagraph"/>
        <w:numPr>
          <w:ilvl w:val="0"/>
          <w:numId w:val="51"/>
        </w:numPr>
        <w:ind w:left="1800"/>
      </w:pPr>
      <w:r w:rsidRPr="004C0161">
        <w:t>Store at 2º to 8ºC through package expiration date.</w:t>
      </w:r>
    </w:p>
    <w:p w:rsidR="002C0454" w:rsidRPr="004C0161" w:rsidP="002C0454" w14:paraId="2AD99152" w14:textId="77777777">
      <w:pPr>
        <w:ind w:left="1080"/>
      </w:pPr>
    </w:p>
    <w:p w:rsidR="002C0454" w:rsidRPr="004C0161" w:rsidP="002C0454" w14:paraId="77A8CC6E" w14:textId="77777777">
      <w:pPr>
        <w:pStyle w:val="ListParagraph"/>
        <w:numPr>
          <w:ilvl w:val="0"/>
          <w:numId w:val="51"/>
        </w:numPr>
        <w:ind w:left="1800"/>
      </w:pPr>
      <w:r w:rsidRPr="004C0161">
        <w:t>Equilibrate at room temperature for 45 minutes prior to use.</w:t>
      </w:r>
    </w:p>
    <w:p w:rsidR="002C0454" w:rsidRPr="004C0161" w:rsidP="002C0454" w14:paraId="21B78968" w14:textId="77777777">
      <w:pPr>
        <w:ind w:left="1080"/>
      </w:pPr>
    </w:p>
    <w:p w:rsidR="00FC46AC" w:rsidP="00FC46AC" w14:paraId="25E042FE" w14:textId="34767DEF">
      <w:pPr>
        <w:pStyle w:val="ListParagraph"/>
        <w:numPr>
          <w:ilvl w:val="0"/>
          <w:numId w:val="51"/>
        </w:numPr>
        <w:ind w:left="1800"/>
      </w:pPr>
      <w:r w:rsidRPr="004C0161">
        <w:t>Refer to package insert or i-STAT System Manual for additional reconstitution information. Carefully follow timing instructions.</w:t>
      </w:r>
    </w:p>
    <w:p w:rsidR="00832949" w:rsidRPr="00832949" w:rsidP="00832949" w14:paraId="61CFF623" w14:textId="77777777"/>
    <w:p w:rsidR="00F77174" w:rsidP="00F77174" w14:paraId="1EBB0B63" w14:textId="21CFBE17">
      <w:pPr>
        <w:pStyle w:val="ListParagraph"/>
        <w:numPr>
          <w:ilvl w:val="0"/>
          <w:numId w:val="49"/>
        </w:numPr>
      </w:pPr>
      <w:r>
        <w:t>Supply Temperature Indicator upon delivery</w:t>
      </w:r>
    </w:p>
    <w:p w:rsidR="00F77174" w:rsidRPr="00FC579C" w:rsidP="00F77174" w14:paraId="08B0975B" w14:textId="77777777"/>
    <w:p w:rsidR="00F77174" w:rsidRPr="004B40BD" w:rsidP="00F77174" w14:paraId="79AB2EFC" w14:textId="77777777">
      <w:pPr>
        <w:pStyle w:val="ListParagraph"/>
        <w:numPr>
          <w:ilvl w:val="0"/>
          <w:numId w:val="58"/>
        </w:numPr>
      </w:pPr>
      <w:r w:rsidRPr="004B40BD">
        <w:t xml:space="preserve">Liquid Quality Control (LQC) is used to verify the integrity of the test cartridges. Appropriate liquid controls should be used to test all analytes. Refer to the i-STAT System Manual for the most current list of available liquid controls. </w:t>
      </w:r>
    </w:p>
    <w:p w:rsidR="00F77174" w:rsidRPr="00FC579C" w:rsidP="00F77174" w14:paraId="37366AD7" w14:textId="77777777"/>
    <w:p w:rsidR="00F77174" w:rsidRPr="004B40BD" w:rsidP="00F77174" w14:paraId="3DAD8628" w14:textId="77777777">
      <w:pPr>
        <w:pStyle w:val="ListParagraph"/>
        <w:numPr>
          <w:ilvl w:val="0"/>
          <w:numId w:val="58"/>
        </w:numPr>
      </w:pPr>
      <w:r w:rsidRPr="004B40BD">
        <w:t xml:space="preserve">New Cartridge Shipments: LQC checks verify the acceptable integrity of the i-STAT cartridges when they are received from the manufacturer. LQC should be tested on each lot number of each cartridge type received. </w:t>
      </w:r>
    </w:p>
    <w:p w:rsidR="00F77174" w:rsidRPr="004B40BD" w:rsidP="00F77174" w14:paraId="45009462" w14:textId="77777777">
      <w:pPr>
        <w:ind w:left="720"/>
      </w:pPr>
    </w:p>
    <w:p w:rsidR="00F77174" w:rsidRPr="004B40BD" w:rsidP="00F77174" w14:paraId="42494400" w14:textId="77777777">
      <w:pPr>
        <w:pStyle w:val="ListParagraph"/>
        <w:numPr>
          <w:ilvl w:val="0"/>
          <w:numId w:val="58"/>
        </w:numPr>
      </w:pPr>
      <w:r w:rsidRPr="004B40BD">
        <w:t>i-STAT cartridges are shipped refrigerated with a temperature indicator to monitor temperature during transit. The record of receipt is checked and documented.</w:t>
      </w:r>
    </w:p>
    <w:p w:rsidR="00F77174" w:rsidRPr="00FC579C" w:rsidP="00F77174" w14:paraId="0FC28A05" w14:textId="77777777"/>
    <w:p w:rsidR="00F77174" w:rsidP="00F77174" w14:paraId="3535A960" w14:textId="77777777">
      <w:pPr>
        <w:pStyle w:val="ListParagraph"/>
        <w:numPr>
          <w:ilvl w:val="0"/>
          <w:numId w:val="58"/>
        </w:numPr>
      </w:pPr>
      <w:r>
        <w:t>If all windows are white, or if only the ‘A/1’ or ‘B/1’ windows have changed color, then transit temperatures were satisfactory.</w:t>
      </w:r>
      <w:r>
        <w:tab/>
      </w:r>
      <w:r>
        <w:tab/>
      </w:r>
    </w:p>
    <w:p w:rsidR="00F77174" w:rsidRPr="00FC579C" w:rsidP="00F77174" w14:paraId="66AF8D42" w14:textId="77777777"/>
    <w:p w:rsidR="00F77174" w:rsidP="00F77174" w14:paraId="77CAFE75" w14:textId="77777777">
      <w:pPr>
        <w:pStyle w:val="ListParagraph"/>
        <w:numPr>
          <w:ilvl w:val="0"/>
          <w:numId w:val="58"/>
        </w:numPr>
      </w:pPr>
      <w:r>
        <w:t>If any or all of the ‘C/3’ or D/4’ windows have changed color:</w:t>
      </w:r>
    </w:p>
    <w:p w:rsidR="00F77174" w:rsidRPr="00FC579C" w:rsidP="00F77174" w14:paraId="4190B468" w14:textId="77777777"/>
    <w:p w:rsidR="00F77174" w:rsidRPr="004B7427" w:rsidP="00F77174" w14:paraId="6765D4D1" w14:textId="77777777">
      <w:pPr>
        <w:pStyle w:val="ListParagraph"/>
        <w:numPr>
          <w:ilvl w:val="0"/>
          <w:numId w:val="58"/>
        </w:numPr>
      </w:pPr>
      <w:r w:rsidRPr="004B7427">
        <w:t>Quarantine the suspect cartons.</w:t>
      </w:r>
    </w:p>
    <w:p w:rsidR="00F77174" w:rsidRPr="004B7427" w:rsidP="00F77174" w14:paraId="48A24A5D" w14:textId="77777777">
      <w:pPr>
        <w:ind w:left="720"/>
      </w:pPr>
    </w:p>
    <w:p w:rsidR="00F77174" w:rsidRPr="004B7427" w:rsidP="00767521" w14:paraId="150BB5F8" w14:textId="27BB3754">
      <w:pPr>
        <w:pStyle w:val="ListParagraph"/>
        <w:numPr>
          <w:ilvl w:val="0"/>
          <w:numId w:val="55"/>
        </w:numPr>
      </w:pPr>
      <w:r w:rsidRPr="00B52F81">
        <w:t>Save the temperature card and contact Abbott Tech Support at 1-800-366- 8020 for assistance.</w:t>
      </w:r>
    </w:p>
    <w:p w:rsidR="00F77174" w:rsidRPr="004B7427" w:rsidP="00F77174" w14:paraId="7D5098F2" w14:textId="77777777">
      <w:pPr>
        <w:ind w:left="720"/>
      </w:pPr>
    </w:p>
    <w:p w:rsidR="00F77174" w:rsidRPr="004B7427" w:rsidP="00F77174" w14:paraId="1808826A" w14:textId="77777777">
      <w:pPr>
        <w:pStyle w:val="ListParagraph"/>
        <w:numPr>
          <w:ilvl w:val="0"/>
          <w:numId w:val="55"/>
        </w:numPr>
        <w:ind w:left="1440"/>
      </w:pPr>
      <w:r w:rsidRPr="004B7427">
        <w:t>Do not use the cartridges from the suspect cartons.</w:t>
      </w:r>
    </w:p>
    <w:p w:rsidR="00F77174" w:rsidRPr="004B7427" w:rsidP="00F77174" w14:paraId="197FD1C9" w14:textId="77777777">
      <w:pPr>
        <w:ind w:left="720"/>
      </w:pPr>
    </w:p>
    <w:p w:rsidR="00F77174" w:rsidRPr="004B7427" w:rsidP="00F77174" w14:paraId="579FC51D" w14:textId="77777777">
      <w:pPr>
        <w:pStyle w:val="ListParagraph"/>
        <w:numPr>
          <w:ilvl w:val="0"/>
          <w:numId w:val="55"/>
        </w:numPr>
        <w:ind w:left="1440"/>
      </w:pPr>
      <w:r w:rsidRPr="004B7427">
        <w:t xml:space="preserve">Questionable Cartridge or Analyzer Performance: If the cartridge or analyzer performance is in doubt, then LQC checks may also be performed. </w:t>
      </w:r>
    </w:p>
    <w:p w:rsidR="00F77174" w:rsidRPr="004B7427" w:rsidP="00F77174" w14:paraId="2759D31C" w14:textId="77777777">
      <w:pPr>
        <w:ind w:left="720"/>
      </w:pPr>
    </w:p>
    <w:p w:rsidR="00832949" w:rsidP="00832949" w14:paraId="28E45032" w14:textId="548D8E01">
      <w:pPr>
        <w:pStyle w:val="Style1"/>
        <w:numPr>
          <w:ilvl w:val="0"/>
          <w:numId w:val="55"/>
        </w:numPr>
      </w:pPr>
      <w:r>
        <w:t xml:space="preserve">The supply </w:t>
      </w:r>
      <w:r>
        <w:t>Inventory form</w:t>
      </w:r>
      <w:r>
        <w:t xml:space="preserve"> must be completed after</w:t>
      </w:r>
      <w:r>
        <w:t xml:space="preserve"> evaluating cartridge shipping,</w:t>
      </w:r>
      <w:r>
        <w:t xml:space="preserve"> liquid quality control, at each shipment. </w:t>
      </w:r>
    </w:p>
    <w:p w:rsidR="00832949" w:rsidP="00767521" w14:paraId="76D359D1" w14:textId="77777777"/>
    <w:p w:rsidR="00832949" w:rsidP="00832949" w14:paraId="36A51996" w14:textId="53BE152A">
      <w:pPr>
        <w:pStyle w:val="Style1"/>
        <w:numPr>
          <w:ilvl w:val="0"/>
          <w:numId w:val="55"/>
        </w:numPr>
      </w:pPr>
      <w:r>
        <w:t>All supply that is shipped with correct temperature indicator, g</w:t>
      </w:r>
      <w:r>
        <w:t xml:space="preserve">reen sticker </w:t>
      </w:r>
      <w:r>
        <w:t xml:space="preserve">“Ready for Use” </w:t>
      </w:r>
      <w:r>
        <w:t>each box with initial and date</w:t>
      </w:r>
      <w:r>
        <w:t xml:space="preserve"> and refrigerate.</w:t>
      </w:r>
    </w:p>
    <w:p w:rsidR="00F77174" w:rsidRPr="00F77174" w:rsidP="00F77174" w14:paraId="511B488C" w14:textId="77777777"/>
    <w:p w:rsidR="00FC46AC" w:rsidP="00FC46AC" w14:paraId="61E83FB1" w14:textId="77777777">
      <w:pPr>
        <w:pStyle w:val="Style1"/>
        <w:ind w:left="720"/>
      </w:pPr>
    </w:p>
    <w:p w:rsidR="00FC46AC" w:rsidRPr="008129D3" w:rsidP="00FC46AC" w14:paraId="4A45FBC2" w14:textId="77777777">
      <w:pPr>
        <w:pStyle w:val="BodyTextIndent2"/>
        <w:spacing w:line="240" w:lineRule="auto"/>
        <w:ind w:left="0"/>
        <w:rPr>
          <w:rFonts w:cs="Arial"/>
          <w:b/>
        </w:rPr>
      </w:pPr>
      <w:r w:rsidRPr="008129D3">
        <w:rPr>
          <w:rFonts w:cs="Arial"/>
          <w:b/>
        </w:rPr>
        <w:t>Reference Ranges and Reportable Ranges:</w:t>
      </w:r>
    </w:p>
    <w:p w:rsidR="00FC46AC" w:rsidRPr="008129D3" w:rsidP="00FC46AC" w14:paraId="79D81877" w14:textId="77777777">
      <w:pPr>
        <w:tabs>
          <w:tab w:val="left" w:pos="1"/>
          <w:tab w:val="left" w:pos="1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5"/>
        <w:ind w:left="360"/>
        <w:rPr>
          <w:rFonts w:cs="Arial"/>
          <w:sz w:val="20"/>
        </w:rPr>
      </w:pPr>
      <w:r w:rsidRPr="008129D3">
        <w:rPr>
          <w:rFonts w:cs="Arial"/>
          <w:b/>
          <w:sz w:val="20"/>
          <w:u w:val="single"/>
        </w:rPr>
        <w:t>Reference (normal) range</w:t>
      </w:r>
      <w:r w:rsidRPr="008129D3">
        <w:rPr>
          <w:rFonts w:cs="Arial"/>
          <w:sz w:val="20"/>
        </w:rPr>
        <w:t xml:space="preserve"> means the range of test values expected from 95% of fasting individuals presumed to be healthy. </w:t>
      </w:r>
      <w:r w:rsidRPr="00F50D6F">
        <w:rPr>
          <w:rFonts w:cs="Arial"/>
          <w:sz w:val="20"/>
        </w:rPr>
        <w:t>Our reference ranges come from the normal ranges established by the Clinical Laboratory at Atrium Health Wake Forest Baptist Medical Center and from the i-</w:t>
      </w:r>
      <w:smartTag w:uri="urn:schemas-microsoft-com:office:smarttags" w:element="stockticker">
        <w:r w:rsidRPr="00F50D6F">
          <w:rPr>
            <w:rFonts w:cs="Arial"/>
            <w:sz w:val="20"/>
          </w:rPr>
          <w:t>STAT</w:t>
        </w:r>
      </w:smartTag>
      <w:r w:rsidRPr="00F50D6F">
        <w:rPr>
          <w:rFonts w:cs="Arial"/>
          <w:sz w:val="20"/>
        </w:rPr>
        <w:t xml:space="preserve"> System Manual (manufacturer IFU).  Literature based references used by the Clinical Laboratory include Tietz Fundamentals of Clinical Chemistry and Molecular Diagnostics, Henry’s Clinical Diagnosis Management by Laboratory Methods, 23</w:t>
      </w:r>
      <w:r w:rsidRPr="00F50D6F">
        <w:rPr>
          <w:rFonts w:cs="Arial"/>
          <w:sz w:val="20"/>
          <w:vertAlign w:val="superscript"/>
        </w:rPr>
        <w:t>rd</w:t>
      </w:r>
      <w:r w:rsidRPr="00F50D6F">
        <w:rPr>
          <w:rFonts w:cs="Arial"/>
          <w:sz w:val="20"/>
        </w:rPr>
        <w:t xml:space="preserve"> Edition (Adults), and Nathan and Oski’s Hematology of Infancy and Childhood, Sixth Edition (Pediatrics).</w:t>
      </w:r>
      <w:r w:rsidRPr="008129D3">
        <w:rPr>
          <w:rFonts w:cs="Arial"/>
          <w:sz w:val="20"/>
        </w:rPr>
        <w:t xml:space="preserve">  </w:t>
      </w:r>
    </w:p>
    <w:p w:rsidR="00FC46AC" w:rsidRPr="008129D3" w:rsidP="00FC46AC" w14:paraId="722F8902" w14:textId="77777777">
      <w:pPr>
        <w:tabs>
          <w:tab w:val="left" w:pos="1"/>
          <w:tab w:val="left" w:pos="1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5"/>
        <w:ind w:left="360"/>
        <w:rPr>
          <w:rFonts w:cs="Arial"/>
          <w:sz w:val="20"/>
        </w:rPr>
      </w:pPr>
      <w:r w:rsidRPr="008129D3">
        <w:rPr>
          <w:rFonts w:cs="Arial"/>
          <w:b/>
          <w:sz w:val="20"/>
          <w:u w:val="single"/>
        </w:rPr>
        <w:t>Reportable range</w:t>
      </w:r>
      <w:r w:rsidRPr="008129D3">
        <w:rPr>
          <w:rFonts w:cs="Arial"/>
          <w:sz w:val="20"/>
        </w:rPr>
        <w:t xml:space="preserve"> means the range of test values over which i-</w:t>
      </w:r>
      <w:smartTag w:uri="urn:schemas-microsoft-com:office:smarttags" w:element="stockticker">
        <w:r w:rsidRPr="008129D3">
          <w:rPr>
            <w:rFonts w:cs="Arial"/>
            <w:sz w:val="20"/>
          </w:rPr>
          <w:t>STAT</w:t>
        </w:r>
      </w:smartTag>
      <w:r w:rsidRPr="008129D3">
        <w:rPr>
          <w:rFonts w:cs="Arial"/>
          <w:sz w:val="20"/>
        </w:rPr>
        <w:t xml:space="preserve"> results have been shown to be valid.  </w:t>
      </w:r>
    </w:p>
    <w:p w:rsidR="00FC46AC" w:rsidP="00FC46AC" w14:paraId="24A814A1" w14:textId="77777777">
      <w:pPr>
        <w:tabs>
          <w:tab w:val="left" w:pos="1"/>
          <w:tab w:val="left" w:pos="1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5"/>
        <w:ind w:left="360"/>
        <w:rPr>
          <w:rFonts w:cs="Arial"/>
          <w:sz w:val="20"/>
        </w:rPr>
      </w:pPr>
      <w:r w:rsidRPr="008129D3">
        <w:rPr>
          <w:rFonts w:cs="Arial"/>
          <w:sz w:val="20"/>
        </w:rPr>
        <w:t>The following table contains the Reference Ranges and Reportable Ranges applicable to the i-</w:t>
      </w:r>
      <w:smartTag w:uri="urn:schemas-microsoft-com:office:smarttags" w:element="stockticker">
        <w:r w:rsidRPr="008129D3">
          <w:rPr>
            <w:rFonts w:cs="Arial"/>
            <w:sz w:val="20"/>
          </w:rPr>
          <w:t>STAT</w:t>
        </w:r>
      </w:smartTag>
      <w:r w:rsidRPr="008129D3">
        <w:rPr>
          <w:rFonts w:cs="Arial"/>
          <w:sz w:val="20"/>
        </w:rPr>
        <w:t>.  Reference the i-STAT System Manual for information not listed in this document.</w:t>
      </w:r>
    </w:p>
    <w:p w:rsidR="00FC46AC" w:rsidP="00FC46AC" w14:paraId="104F61E1" w14:textId="182F206A">
      <w:pPr>
        <w:pStyle w:val="Style1"/>
      </w:pPr>
    </w:p>
    <w:tbl>
      <w:tblPr>
        <w:tblStyle w:val="TableGrid"/>
        <w:tblW w:w="9900" w:type="dxa"/>
        <w:tblInd w:w="-275" w:type="dxa"/>
        <w:tblLook w:val="04A0"/>
      </w:tblPr>
      <w:tblGrid>
        <w:gridCol w:w="2340"/>
        <w:gridCol w:w="1980"/>
        <w:gridCol w:w="3129"/>
        <w:gridCol w:w="2451"/>
      </w:tblGrid>
      <w:tr w14:paraId="207B7391" w14:textId="77777777" w:rsidTr="00C47350">
        <w:tblPrEx>
          <w:tblW w:w="9900" w:type="dxa"/>
          <w:tblInd w:w="-275" w:type="dxa"/>
          <w:tblLook w:val="04A0"/>
        </w:tblPrEx>
        <w:tc>
          <w:tcPr>
            <w:tcW w:w="2340" w:type="dxa"/>
            <w:shd w:val="clear" w:color="auto" w:fill="BFBFBF" w:themeFill="background1" w:themeFillShade="BF"/>
          </w:tcPr>
          <w:p w:rsidR="00695250" w:rsidRPr="00C47350" w:rsidP="00240306" w14:paraId="207B738D" w14:textId="77777777">
            <w:pPr>
              <w:pStyle w:val="Style1"/>
              <w:jc w:val="center"/>
              <w:rPr>
                <w:b/>
                <w:szCs w:val="22"/>
              </w:rPr>
            </w:pPr>
            <w:r w:rsidRPr="00C47350">
              <w:rPr>
                <w:b/>
                <w:szCs w:val="22"/>
              </w:rPr>
              <w:t>Analyte</w:t>
            </w:r>
          </w:p>
        </w:tc>
        <w:tc>
          <w:tcPr>
            <w:tcW w:w="1980" w:type="dxa"/>
            <w:shd w:val="clear" w:color="auto" w:fill="BFBFBF" w:themeFill="background1" w:themeFillShade="BF"/>
          </w:tcPr>
          <w:p w:rsidR="00695250" w:rsidRPr="00C47350" w:rsidP="00240306" w14:paraId="207B738E" w14:textId="77777777">
            <w:pPr>
              <w:pStyle w:val="Style1"/>
              <w:jc w:val="center"/>
              <w:rPr>
                <w:b/>
                <w:szCs w:val="22"/>
              </w:rPr>
            </w:pPr>
            <w:r w:rsidRPr="00C47350">
              <w:rPr>
                <w:b/>
                <w:szCs w:val="22"/>
              </w:rPr>
              <w:t>Unit</w:t>
            </w:r>
          </w:p>
        </w:tc>
        <w:tc>
          <w:tcPr>
            <w:tcW w:w="3129" w:type="dxa"/>
            <w:shd w:val="clear" w:color="auto" w:fill="BFBFBF" w:themeFill="background1" w:themeFillShade="BF"/>
          </w:tcPr>
          <w:p w:rsidR="00695250" w:rsidRPr="00C47350" w:rsidP="00240306" w14:paraId="207B738F" w14:textId="77777777">
            <w:pPr>
              <w:pStyle w:val="Style1"/>
              <w:jc w:val="center"/>
              <w:rPr>
                <w:b/>
                <w:szCs w:val="22"/>
              </w:rPr>
            </w:pPr>
            <w:r w:rsidRPr="00C47350">
              <w:rPr>
                <w:b/>
                <w:szCs w:val="22"/>
              </w:rPr>
              <w:t>Reference Range</w:t>
            </w:r>
          </w:p>
        </w:tc>
        <w:tc>
          <w:tcPr>
            <w:tcW w:w="2451" w:type="dxa"/>
            <w:shd w:val="clear" w:color="auto" w:fill="BFBFBF" w:themeFill="background1" w:themeFillShade="BF"/>
          </w:tcPr>
          <w:p w:rsidR="00695250" w:rsidRPr="00C47350" w:rsidP="00240306" w14:paraId="207B7390" w14:textId="77777777">
            <w:pPr>
              <w:pStyle w:val="Style1"/>
              <w:jc w:val="center"/>
              <w:rPr>
                <w:b/>
                <w:szCs w:val="22"/>
              </w:rPr>
            </w:pPr>
            <w:r w:rsidRPr="00C47350">
              <w:rPr>
                <w:b/>
                <w:szCs w:val="22"/>
              </w:rPr>
              <w:t>Reportable Range</w:t>
            </w:r>
          </w:p>
        </w:tc>
      </w:tr>
      <w:tr w14:paraId="207B7396" w14:textId="77777777" w:rsidTr="00C47350">
        <w:tblPrEx>
          <w:tblW w:w="9900" w:type="dxa"/>
          <w:tblInd w:w="-275" w:type="dxa"/>
          <w:tblLook w:val="04A0"/>
        </w:tblPrEx>
        <w:tc>
          <w:tcPr>
            <w:tcW w:w="2340" w:type="dxa"/>
            <w:vMerge w:val="restart"/>
            <w:vAlign w:val="center"/>
          </w:tcPr>
          <w:p w:rsidR="000120EF" w:rsidRPr="00C47350" w:rsidP="00C47350" w14:paraId="207B7392" w14:textId="77777777">
            <w:pPr>
              <w:pStyle w:val="Style1"/>
              <w:jc w:val="center"/>
              <w:rPr>
                <w:b/>
                <w:sz w:val="20"/>
                <w:szCs w:val="20"/>
              </w:rPr>
            </w:pPr>
            <w:r w:rsidRPr="00C47350">
              <w:rPr>
                <w:b/>
                <w:sz w:val="20"/>
                <w:szCs w:val="20"/>
              </w:rPr>
              <w:t>Sodium</w:t>
            </w:r>
          </w:p>
        </w:tc>
        <w:tc>
          <w:tcPr>
            <w:tcW w:w="1980" w:type="dxa"/>
            <w:vMerge w:val="restart"/>
            <w:vAlign w:val="center"/>
          </w:tcPr>
          <w:p w:rsidR="000120EF" w:rsidRPr="00C47350" w:rsidP="00C47350" w14:paraId="207B7393" w14:textId="77777777">
            <w:pPr>
              <w:pStyle w:val="Style1"/>
              <w:jc w:val="center"/>
              <w:rPr>
                <w:sz w:val="20"/>
                <w:szCs w:val="20"/>
              </w:rPr>
            </w:pPr>
            <w:r w:rsidRPr="00C47350">
              <w:rPr>
                <w:sz w:val="20"/>
                <w:szCs w:val="20"/>
              </w:rPr>
              <w:t>mEq/L or mmol/L</w:t>
            </w:r>
          </w:p>
        </w:tc>
        <w:tc>
          <w:tcPr>
            <w:tcW w:w="3129" w:type="dxa"/>
            <w:vAlign w:val="center"/>
          </w:tcPr>
          <w:p w:rsidR="000120EF" w:rsidRPr="00C47350" w:rsidP="00C47350" w14:paraId="207B7394" w14:textId="1B70F460">
            <w:pPr>
              <w:pStyle w:val="Style1"/>
              <w:jc w:val="center"/>
              <w:rPr>
                <w:sz w:val="20"/>
                <w:szCs w:val="20"/>
              </w:rPr>
            </w:pPr>
            <w:r w:rsidRPr="00C47350">
              <w:rPr>
                <w:sz w:val="20"/>
                <w:szCs w:val="20"/>
              </w:rPr>
              <w:t>18y: 135-14</w:t>
            </w:r>
            <w:r w:rsidR="005A3AD7">
              <w:rPr>
                <w:sz w:val="20"/>
                <w:szCs w:val="20"/>
              </w:rPr>
              <w:t>6</w:t>
            </w:r>
          </w:p>
        </w:tc>
        <w:tc>
          <w:tcPr>
            <w:tcW w:w="2451" w:type="dxa"/>
            <w:vMerge w:val="restart"/>
            <w:vAlign w:val="center"/>
          </w:tcPr>
          <w:p w:rsidR="000120EF" w:rsidRPr="00C47350" w:rsidP="00C47350" w14:paraId="207B7395" w14:textId="66B90EBE">
            <w:pPr>
              <w:pStyle w:val="Style1"/>
              <w:jc w:val="center"/>
              <w:rPr>
                <w:sz w:val="20"/>
                <w:szCs w:val="20"/>
              </w:rPr>
            </w:pPr>
            <w:r w:rsidRPr="00C47350">
              <w:rPr>
                <w:sz w:val="20"/>
                <w:szCs w:val="20"/>
              </w:rPr>
              <w:t>1</w:t>
            </w:r>
            <w:r w:rsidR="005E1A62">
              <w:rPr>
                <w:sz w:val="20"/>
                <w:szCs w:val="20"/>
              </w:rPr>
              <w:t>00</w:t>
            </w:r>
            <w:r w:rsidRPr="00C47350">
              <w:rPr>
                <w:sz w:val="20"/>
                <w:szCs w:val="20"/>
              </w:rPr>
              <w:t>-1</w:t>
            </w:r>
            <w:r w:rsidR="005E1A62">
              <w:rPr>
                <w:sz w:val="20"/>
                <w:szCs w:val="20"/>
              </w:rPr>
              <w:t>80</w:t>
            </w:r>
          </w:p>
        </w:tc>
      </w:tr>
      <w:tr w14:paraId="207B739B" w14:textId="77777777" w:rsidTr="00C47350">
        <w:tblPrEx>
          <w:tblW w:w="9900" w:type="dxa"/>
          <w:tblInd w:w="-275" w:type="dxa"/>
          <w:tblLook w:val="04A0"/>
        </w:tblPrEx>
        <w:tc>
          <w:tcPr>
            <w:tcW w:w="2340" w:type="dxa"/>
            <w:vMerge/>
            <w:vAlign w:val="center"/>
          </w:tcPr>
          <w:p w:rsidR="000120EF" w:rsidRPr="00C47350" w:rsidP="00C47350" w14:paraId="207B7397" w14:textId="77777777">
            <w:pPr>
              <w:pStyle w:val="Style1"/>
              <w:jc w:val="center"/>
              <w:rPr>
                <w:sz w:val="20"/>
                <w:szCs w:val="20"/>
              </w:rPr>
            </w:pPr>
          </w:p>
        </w:tc>
        <w:tc>
          <w:tcPr>
            <w:tcW w:w="1980" w:type="dxa"/>
            <w:vMerge/>
            <w:vAlign w:val="center"/>
          </w:tcPr>
          <w:p w:rsidR="000120EF" w:rsidRPr="00C47350" w:rsidP="00C47350" w14:paraId="207B7398" w14:textId="77777777">
            <w:pPr>
              <w:pStyle w:val="Style1"/>
              <w:jc w:val="center"/>
              <w:rPr>
                <w:sz w:val="20"/>
                <w:szCs w:val="20"/>
              </w:rPr>
            </w:pPr>
          </w:p>
        </w:tc>
        <w:tc>
          <w:tcPr>
            <w:tcW w:w="3129" w:type="dxa"/>
            <w:vAlign w:val="center"/>
          </w:tcPr>
          <w:p w:rsidR="000120EF" w:rsidRPr="00C47350" w:rsidP="00C47350" w14:paraId="207B7399" w14:textId="77777777">
            <w:pPr>
              <w:pStyle w:val="Style1"/>
              <w:jc w:val="center"/>
              <w:rPr>
                <w:sz w:val="20"/>
                <w:szCs w:val="20"/>
              </w:rPr>
            </w:pPr>
            <w:r w:rsidRPr="00C47350">
              <w:rPr>
                <w:sz w:val="20"/>
                <w:szCs w:val="20"/>
              </w:rPr>
              <w:t>2y: 136-143</w:t>
            </w:r>
          </w:p>
        </w:tc>
        <w:tc>
          <w:tcPr>
            <w:tcW w:w="2451" w:type="dxa"/>
            <w:vMerge/>
            <w:vAlign w:val="center"/>
          </w:tcPr>
          <w:p w:rsidR="000120EF" w:rsidRPr="00C47350" w:rsidP="00C47350" w14:paraId="207B739A" w14:textId="77777777">
            <w:pPr>
              <w:pStyle w:val="Style1"/>
              <w:jc w:val="center"/>
              <w:rPr>
                <w:sz w:val="20"/>
                <w:szCs w:val="20"/>
              </w:rPr>
            </w:pPr>
          </w:p>
        </w:tc>
      </w:tr>
      <w:tr w14:paraId="207B73A0" w14:textId="77777777" w:rsidTr="00C47350">
        <w:tblPrEx>
          <w:tblW w:w="9900" w:type="dxa"/>
          <w:tblInd w:w="-275" w:type="dxa"/>
          <w:tblLook w:val="04A0"/>
        </w:tblPrEx>
        <w:tc>
          <w:tcPr>
            <w:tcW w:w="2340" w:type="dxa"/>
            <w:vMerge/>
            <w:vAlign w:val="center"/>
          </w:tcPr>
          <w:p w:rsidR="000120EF" w:rsidRPr="00C47350" w:rsidP="00C47350" w14:paraId="207B739C" w14:textId="77777777">
            <w:pPr>
              <w:pStyle w:val="Style1"/>
              <w:jc w:val="center"/>
              <w:rPr>
                <w:sz w:val="20"/>
                <w:szCs w:val="20"/>
              </w:rPr>
            </w:pPr>
          </w:p>
        </w:tc>
        <w:tc>
          <w:tcPr>
            <w:tcW w:w="1980" w:type="dxa"/>
            <w:vMerge/>
            <w:vAlign w:val="center"/>
          </w:tcPr>
          <w:p w:rsidR="000120EF" w:rsidRPr="00C47350" w:rsidP="00C47350" w14:paraId="207B739D" w14:textId="77777777">
            <w:pPr>
              <w:pStyle w:val="Style1"/>
              <w:jc w:val="center"/>
              <w:rPr>
                <w:sz w:val="20"/>
                <w:szCs w:val="20"/>
              </w:rPr>
            </w:pPr>
          </w:p>
        </w:tc>
        <w:tc>
          <w:tcPr>
            <w:tcW w:w="3129" w:type="dxa"/>
            <w:vAlign w:val="center"/>
          </w:tcPr>
          <w:p w:rsidR="000120EF" w:rsidRPr="00C47350" w:rsidP="00C47350" w14:paraId="207B739E" w14:textId="77777777">
            <w:pPr>
              <w:pStyle w:val="Style1"/>
              <w:jc w:val="center"/>
              <w:rPr>
                <w:sz w:val="20"/>
                <w:szCs w:val="20"/>
              </w:rPr>
            </w:pPr>
            <w:r w:rsidRPr="00C47350">
              <w:rPr>
                <w:sz w:val="20"/>
                <w:szCs w:val="20"/>
              </w:rPr>
              <w:t>0: 133-142</w:t>
            </w:r>
          </w:p>
        </w:tc>
        <w:tc>
          <w:tcPr>
            <w:tcW w:w="2451" w:type="dxa"/>
            <w:vMerge/>
            <w:vAlign w:val="center"/>
          </w:tcPr>
          <w:p w:rsidR="000120EF" w:rsidRPr="00C47350" w:rsidP="00C47350" w14:paraId="207B739F" w14:textId="77777777">
            <w:pPr>
              <w:pStyle w:val="Style1"/>
              <w:jc w:val="center"/>
              <w:rPr>
                <w:sz w:val="20"/>
                <w:szCs w:val="20"/>
              </w:rPr>
            </w:pPr>
          </w:p>
        </w:tc>
      </w:tr>
      <w:tr w14:paraId="207B73A5" w14:textId="77777777" w:rsidTr="00C47350">
        <w:tblPrEx>
          <w:tblW w:w="9900" w:type="dxa"/>
          <w:tblInd w:w="-275" w:type="dxa"/>
          <w:tblLook w:val="04A0"/>
        </w:tblPrEx>
        <w:tc>
          <w:tcPr>
            <w:tcW w:w="2340" w:type="dxa"/>
            <w:vMerge w:val="restart"/>
            <w:vAlign w:val="center"/>
          </w:tcPr>
          <w:p w:rsidR="00886A5A" w:rsidRPr="00C47350" w:rsidP="00886A5A" w14:paraId="207B73A1" w14:textId="51337633">
            <w:pPr>
              <w:pStyle w:val="Style1"/>
              <w:jc w:val="center"/>
              <w:rPr>
                <w:b/>
                <w:sz w:val="20"/>
                <w:szCs w:val="20"/>
              </w:rPr>
            </w:pPr>
            <w:r w:rsidRPr="00C47350">
              <w:rPr>
                <w:b/>
                <w:sz w:val="20"/>
                <w:szCs w:val="20"/>
              </w:rPr>
              <w:t>Potassium</w:t>
            </w:r>
          </w:p>
        </w:tc>
        <w:tc>
          <w:tcPr>
            <w:tcW w:w="1980" w:type="dxa"/>
            <w:vMerge w:val="restart"/>
            <w:vAlign w:val="center"/>
          </w:tcPr>
          <w:p w:rsidR="00886A5A" w:rsidRPr="00C47350" w:rsidP="00C47350" w14:paraId="207B73A2" w14:textId="77777777">
            <w:pPr>
              <w:pStyle w:val="Style1"/>
              <w:jc w:val="center"/>
              <w:rPr>
                <w:sz w:val="20"/>
                <w:szCs w:val="20"/>
              </w:rPr>
            </w:pPr>
            <w:r w:rsidRPr="00C47350">
              <w:rPr>
                <w:sz w:val="20"/>
                <w:szCs w:val="20"/>
              </w:rPr>
              <w:t>mEq/L or mmol/L</w:t>
            </w:r>
          </w:p>
        </w:tc>
        <w:tc>
          <w:tcPr>
            <w:tcW w:w="3129" w:type="dxa"/>
            <w:vAlign w:val="center"/>
          </w:tcPr>
          <w:p w:rsidR="00886A5A" w:rsidRPr="00C47350" w:rsidP="00C47350" w14:paraId="207B73A3" w14:textId="169778EC">
            <w:pPr>
              <w:pStyle w:val="Style1"/>
              <w:jc w:val="center"/>
              <w:rPr>
                <w:sz w:val="20"/>
                <w:szCs w:val="20"/>
              </w:rPr>
            </w:pPr>
            <w:r w:rsidRPr="00C47350">
              <w:rPr>
                <w:sz w:val="20"/>
                <w:szCs w:val="20"/>
              </w:rPr>
              <w:t>18y: 3.5-5.</w:t>
            </w:r>
            <w:r>
              <w:rPr>
                <w:sz w:val="20"/>
                <w:szCs w:val="20"/>
              </w:rPr>
              <w:t>3</w:t>
            </w:r>
          </w:p>
        </w:tc>
        <w:tc>
          <w:tcPr>
            <w:tcW w:w="2451" w:type="dxa"/>
            <w:vMerge w:val="restart"/>
            <w:vAlign w:val="center"/>
          </w:tcPr>
          <w:p w:rsidR="00886A5A" w:rsidRPr="00C47350" w:rsidP="00C47350" w14:paraId="207B73A4" w14:textId="7FF4B8B5">
            <w:pPr>
              <w:pStyle w:val="Style1"/>
              <w:jc w:val="center"/>
              <w:rPr>
                <w:sz w:val="20"/>
                <w:szCs w:val="20"/>
              </w:rPr>
            </w:pPr>
            <w:r w:rsidRPr="00C47350">
              <w:rPr>
                <w:sz w:val="20"/>
                <w:szCs w:val="20"/>
              </w:rPr>
              <w:t>2.0</w:t>
            </w:r>
            <w:r w:rsidRPr="00C47350">
              <w:rPr>
                <w:sz w:val="20"/>
                <w:szCs w:val="20"/>
              </w:rPr>
              <w:t>-</w:t>
            </w:r>
            <w:r w:rsidR="005E1A62">
              <w:rPr>
                <w:sz w:val="20"/>
                <w:szCs w:val="20"/>
              </w:rPr>
              <w:t>9.0</w:t>
            </w:r>
          </w:p>
        </w:tc>
      </w:tr>
      <w:tr w14:paraId="207B73AA" w14:textId="77777777" w:rsidTr="00C47350">
        <w:tblPrEx>
          <w:tblW w:w="9900" w:type="dxa"/>
          <w:tblInd w:w="-275" w:type="dxa"/>
          <w:tblLook w:val="04A0"/>
        </w:tblPrEx>
        <w:tc>
          <w:tcPr>
            <w:tcW w:w="2340" w:type="dxa"/>
            <w:vMerge/>
            <w:vAlign w:val="center"/>
          </w:tcPr>
          <w:p w:rsidR="00886A5A" w:rsidRPr="00C47350" w:rsidP="006178C1" w14:paraId="207B73A6" w14:textId="3BBB28B3">
            <w:pPr>
              <w:pStyle w:val="Style1"/>
              <w:jc w:val="center"/>
              <w:rPr>
                <w:sz w:val="20"/>
                <w:szCs w:val="20"/>
              </w:rPr>
            </w:pPr>
          </w:p>
        </w:tc>
        <w:tc>
          <w:tcPr>
            <w:tcW w:w="1980" w:type="dxa"/>
            <w:vMerge/>
            <w:vAlign w:val="center"/>
          </w:tcPr>
          <w:p w:rsidR="00886A5A" w:rsidRPr="00C47350" w:rsidP="00C47350" w14:paraId="207B73A7" w14:textId="77777777">
            <w:pPr>
              <w:pStyle w:val="Style1"/>
              <w:jc w:val="center"/>
              <w:rPr>
                <w:sz w:val="20"/>
                <w:szCs w:val="20"/>
              </w:rPr>
            </w:pPr>
          </w:p>
        </w:tc>
        <w:tc>
          <w:tcPr>
            <w:tcW w:w="3129" w:type="dxa"/>
            <w:vAlign w:val="center"/>
          </w:tcPr>
          <w:p w:rsidR="00886A5A" w:rsidRPr="00C47350" w:rsidP="00C47350" w14:paraId="207B73A8" w14:textId="77777777">
            <w:pPr>
              <w:pStyle w:val="Style1"/>
              <w:jc w:val="center"/>
              <w:rPr>
                <w:sz w:val="20"/>
                <w:szCs w:val="20"/>
              </w:rPr>
            </w:pPr>
            <w:r w:rsidRPr="00C47350">
              <w:rPr>
                <w:sz w:val="20"/>
                <w:szCs w:val="20"/>
              </w:rPr>
              <w:t>9y: 3.5-5.5</w:t>
            </w:r>
          </w:p>
        </w:tc>
        <w:tc>
          <w:tcPr>
            <w:tcW w:w="2451" w:type="dxa"/>
            <w:vMerge/>
            <w:vAlign w:val="center"/>
          </w:tcPr>
          <w:p w:rsidR="00886A5A" w:rsidRPr="00C47350" w:rsidP="00C47350" w14:paraId="207B73A9" w14:textId="77777777">
            <w:pPr>
              <w:pStyle w:val="Style1"/>
              <w:jc w:val="center"/>
              <w:rPr>
                <w:sz w:val="20"/>
                <w:szCs w:val="20"/>
              </w:rPr>
            </w:pPr>
          </w:p>
        </w:tc>
      </w:tr>
      <w:tr w14:paraId="207B73AF" w14:textId="77777777" w:rsidTr="00C47350">
        <w:tblPrEx>
          <w:tblW w:w="9900" w:type="dxa"/>
          <w:tblInd w:w="-275" w:type="dxa"/>
          <w:tblLook w:val="04A0"/>
        </w:tblPrEx>
        <w:tc>
          <w:tcPr>
            <w:tcW w:w="2340" w:type="dxa"/>
            <w:vMerge/>
            <w:vAlign w:val="center"/>
          </w:tcPr>
          <w:p w:rsidR="00886A5A" w:rsidRPr="00C47350" w:rsidP="006178C1" w14:paraId="207B73AB" w14:textId="007A10C6">
            <w:pPr>
              <w:pStyle w:val="Style1"/>
              <w:jc w:val="center"/>
              <w:rPr>
                <w:sz w:val="20"/>
                <w:szCs w:val="20"/>
              </w:rPr>
            </w:pPr>
          </w:p>
        </w:tc>
        <w:tc>
          <w:tcPr>
            <w:tcW w:w="1980" w:type="dxa"/>
            <w:vMerge/>
            <w:vAlign w:val="center"/>
          </w:tcPr>
          <w:p w:rsidR="00886A5A" w:rsidRPr="00C47350" w:rsidP="00C47350" w14:paraId="207B73AC" w14:textId="77777777">
            <w:pPr>
              <w:pStyle w:val="Style1"/>
              <w:jc w:val="center"/>
              <w:rPr>
                <w:sz w:val="20"/>
                <w:szCs w:val="20"/>
              </w:rPr>
            </w:pPr>
          </w:p>
        </w:tc>
        <w:tc>
          <w:tcPr>
            <w:tcW w:w="3129" w:type="dxa"/>
            <w:vAlign w:val="center"/>
          </w:tcPr>
          <w:p w:rsidR="00886A5A" w:rsidRPr="00C47350" w:rsidP="00C47350" w14:paraId="207B73AD" w14:textId="3A0FF9F0">
            <w:pPr>
              <w:pStyle w:val="Style1"/>
              <w:jc w:val="center"/>
              <w:rPr>
                <w:sz w:val="20"/>
                <w:szCs w:val="20"/>
              </w:rPr>
            </w:pPr>
            <w:r w:rsidRPr="00C47350">
              <w:rPr>
                <w:sz w:val="20"/>
                <w:szCs w:val="20"/>
              </w:rPr>
              <w:t>5y: 3.5-5.0</w:t>
            </w:r>
          </w:p>
        </w:tc>
        <w:tc>
          <w:tcPr>
            <w:tcW w:w="2451" w:type="dxa"/>
            <w:vMerge/>
            <w:vAlign w:val="center"/>
          </w:tcPr>
          <w:p w:rsidR="00886A5A" w:rsidRPr="00C47350" w:rsidP="00C47350" w14:paraId="207B73AE" w14:textId="77777777">
            <w:pPr>
              <w:pStyle w:val="Style1"/>
              <w:jc w:val="center"/>
              <w:rPr>
                <w:sz w:val="20"/>
                <w:szCs w:val="20"/>
              </w:rPr>
            </w:pPr>
          </w:p>
        </w:tc>
      </w:tr>
      <w:tr w14:paraId="207B73B4" w14:textId="77777777" w:rsidTr="00C47350">
        <w:tblPrEx>
          <w:tblW w:w="9900" w:type="dxa"/>
          <w:tblInd w:w="-275" w:type="dxa"/>
          <w:tblLook w:val="04A0"/>
        </w:tblPrEx>
        <w:tc>
          <w:tcPr>
            <w:tcW w:w="2340" w:type="dxa"/>
            <w:vMerge/>
            <w:vAlign w:val="center"/>
          </w:tcPr>
          <w:p w:rsidR="00886A5A" w:rsidRPr="00C47350" w:rsidP="006178C1" w14:paraId="207B73B0" w14:textId="7CF33B34">
            <w:pPr>
              <w:pStyle w:val="Style1"/>
              <w:jc w:val="center"/>
              <w:rPr>
                <w:sz w:val="20"/>
                <w:szCs w:val="20"/>
              </w:rPr>
            </w:pPr>
          </w:p>
        </w:tc>
        <w:tc>
          <w:tcPr>
            <w:tcW w:w="1980" w:type="dxa"/>
            <w:vMerge/>
            <w:vAlign w:val="center"/>
          </w:tcPr>
          <w:p w:rsidR="00886A5A" w:rsidRPr="00C47350" w:rsidP="006178C1" w14:paraId="207B73B1" w14:textId="37321645">
            <w:pPr>
              <w:pStyle w:val="Style1"/>
              <w:jc w:val="center"/>
              <w:rPr>
                <w:sz w:val="20"/>
                <w:szCs w:val="20"/>
              </w:rPr>
            </w:pPr>
          </w:p>
        </w:tc>
        <w:tc>
          <w:tcPr>
            <w:tcW w:w="3129" w:type="dxa"/>
            <w:vAlign w:val="center"/>
          </w:tcPr>
          <w:p w:rsidR="00886A5A" w:rsidRPr="00C47350" w:rsidP="006178C1" w14:paraId="207B73B2" w14:textId="77777777">
            <w:pPr>
              <w:pStyle w:val="Style1"/>
              <w:jc w:val="center"/>
              <w:rPr>
                <w:sz w:val="20"/>
                <w:szCs w:val="20"/>
              </w:rPr>
            </w:pPr>
            <w:r w:rsidRPr="00C47350">
              <w:rPr>
                <w:sz w:val="20"/>
                <w:szCs w:val="20"/>
              </w:rPr>
              <w:t>1y: 3.5-5.5</w:t>
            </w:r>
          </w:p>
        </w:tc>
        <w:tc>
          <w:tcPr>
            <w:tcW w:w="2451" w:type="dxa"/>
            <w:vMerge/>
            <w:vAlign w:val="center"/>
          </w:tcPr>
          <w:p w:rsidR="00886A5A" w:rsidRPr="00C47350" w:rsidP="006178C1" w14:paraId="207B73B3" w14:textId="16B384AD">
            <w:pPr>
              <w:pStyle w:val="Style1"/>
              <w:jc w:val="center"/>
              <w:rPr>
                <w:sz w:val="20"/>
                <w:szCs w:val="20"/>
              </w:rPr>
            </w:pPr>
          </w:p>
        </w:tc>
      </w:tr>
      <w:tr w14:paraId="207B73B9" w14:textId="77777777" w:rsidTr="00C47350">
        <w:tblPrEx>
          <w:tblW w:w="9900" w:type="dxa"/>
          <w:tblInd w:w="-275" w:type="dxa"/>
          <w:tblLook w:val="04A0"/>
        </w:tblPrEx>
        <w:tc>
          <w:tcPr>
            <w:tcW w:w="2340" w:type="dxa"/>
            <w:vMerge/>
            <w:vAlign w:val="center"/>
          </w:tcPr>
          <w:p w:rsidR="00886A5A" w:rsidRPr="00C47350" w:rsidP="00C47350" w14:paraId="207B73B5" w14:textId="77777777">
            <w:pPr>
              <w:pStyle w:val="Style1"/>
              <w:jc w:val="center"/>
              <w:rPr>
                <w:sz w:val="20"/>
                <w:szCs w:val="20"/>
              </w:rPr>
            </w:pPr>
          </w:p>
        </w:tc>
        <w:tc>
          <w:tcPr>
            <w:tcW w:w="1980" w:type="dxa"/>
            <w:vMerge/>
            <w:vAlign w:val="center"/>
          </w:tcPr>
          <w:p w:rsidR="00886A5A" w:rsidRPr="00C47350" w:rsidP="00C47350" w14:paraId="207B73B6" w14:textId="77777777">
            <w:pPr>
              <w:pStyle w:val="Style1"/>
              <w:jc w:val="center"/>
              <w:rPr>
                <w:sz w:val="20"/>
                <w:szCs w:val="20"/>
              </w:rPr>
            </w:pPr>
          </w:p>
        </w:tc>
        <w:tc>
          <w:tcPr>
            <w:tcW w:w="3129" w:type="dxa"/>
            <w:vAlign w:val="center"/>
          </w:tcPr>
          <w:p w:rsidR="00886A5A" w:rsidRPr="00C47350" w:rsidP="00C47350" w14:paraId="207B73B7" w14:textId="77777777">
            <w:pPr>
              <w:pStyle w:val="Style1"/>
              <w:jc w:val="center"/>
              <w:rPr>
                <w:sz w:val="20"/>
                <w:szCs w:val="20"/>
              </w:rPr>
            </w:pPr>
            <w:r w:rsidRPr="00C47350">
              <w:rPr>
                <w:sz w:val="20"/>
                <w:szCs w:val="20"/>
              </w:rPr>
              <w:t>3m: 4.0-6.5</w:t>
            </w:r>
          </w:p>
        </w:tc>
        <w:tc>
          <w:tcPr>
            <w:tcW w:w="2451" w:type="dxa"/>
            <w:vMerge/>
            <w:vAlign w:val="center"/>
          </w:tcPr>
          <w:p w:rsidR="00886A5A" w:rsidRPr="00C47350" w:rsidP="00C47350" w14:paraId="207B73B8" w14:textId="77777777">
            <w:pPr>
              <w:pStyle w:val="Style1"/>
              <w:jc w:val="center"/>
              <w:rPr>
                <w:sz w:val="20"/>
                <w:szCs w:val="20"/>
              </w:rPr>
            </w:pPr>
          </w:p>
        </w:tc>
      </w:tr>
      <w:tr w14:paraId="207B73BE" w14:textId="77777777" w:rsidTr="00860267">
        <w:tblPrEx>
          <w:tblW w:w="9900" w:type="dxa"/>
          <w:tblInd w:w="-275" w:type="dxa"/>
          <w:tblLook w:val="04A0"/>
        </w:tblPrEx>
        <w:trPr>
          <w:trHeight w:val="350"/>
        </w:trPr>
        <w:tc>
          <w:tcPr>
            <w:tcW w:w="2340" w:type="dxa"/>
            <w:vAlign w:val="center"/>
          </w:tcPr>
          <w:p w:rsidR="00DE5723" w:rsidRPr="00C47350" w:rsidP="00C47350" w14:paraId="207B73BA" w14:textId="77777777">
            <w:pPr>
              <w:pStyle w:val="Style1"/>
              <w:jc w:val="center"/>
              <w:rPr>
                <w:b/>
                <w:sz w:val="20"/>
                <w:szCs w:val="20"/>
              </w:rPr>
            </w:pPr>
            <w:r w:rsidRPr="00C47350">
              <w:rPr>
                <w:b/>
                <w:sz w:val="20"/>
                <w:szCs w:val="20"/>
              </w:rPr>
              <w:t>Ionized Calcium</w:t>
            </w:r>
          </w:p>
        </w:tc>
        <w:tc>
          <w:tcPr>
            <w:tcW w:w="1980" w:type="dxa"/>
            <w:vAlign w:val="center"/>
          </w:tcPr>
          <w:p w:rsidR="00DE5723" w:rsidRPr="00C47350" w:rsidP="00C47350" w14:paraId="207B73BB" w14:textId="77777777">
            <w:pPr>
              <w:pStyle w:val="Style1"/>
              <w:jc w:val="center"/>
              <w:rPr>
                <w:sz w:val="20"/>
                <w:szCs w:val="20"/>
              </w:rPr>
            </w:pPr>
            <w:r w:rsidRPr="00C47350">
              <w:rPr>
                <w:sz w:val="20"/>
                <w:szCs w:val="20"/>
              </w:rPr>
              <w:t>mmol/L</w:t>
            </w:r>
          </w:p>
        </w:tc>
        <w:tc>
          <w:tcPr>
            <w:tcW w:w="3129" w:type="dxa"/>
            <w:vAlign w:val="center"/>
          </w:tcPr>
          <w:p w:rsidR="00DE5723" w:rsidRPr="00C47350" w:rsidP="00C47350" w14:paraId="207B73BC" w14:textId="7A34C2E8">
            <w:pPr>
              <w:pStyle w:val="Style1"/>
              <w:jc w:val="center"/>
              <w:rPr>
                <w:sz w:val="20"/>
                <w:szCs w:val="20"/>
              </w:rPr>
            </w:pPr>
            <w:r w:rsidRPr="00C47350">
              <w:rPr>
                <w:sz w:val="20"/>
                <w:szCs w:val="20"/>
              </w:rPr>
              <w:t>1.</w:t>
            </w:r>
            <w:r w:rsidR="00051556">
              <w:rPr>
                <w:sz w:val="20"/>
                <w:szCs w:val="20"/>
              </w:rPr>
              <w:t>00</w:t>
            </w:r>
            <w:r w:rsidRPr="00C47350" w:rsidR="00903EA2">
              <w:rPr>
                <w:sz w:val="20"/>
                <w:szCs w:val="20"/>
              </w:rPr>
              <w:t>-1.3</w:t>
            </w:r>
            <w:r w:rsidR="00051556">
              <w:rPr>
                <w:sz w:val="20"/>
                <w:szCs w:val="20"/>
              </w:rPr>
              <w:t>0</w:t>
            </w:r>
          </w:p>
        </w:tc>
        <w:tc>
          <w:tcPr>
            <w:tcW w:w="2451" w:type="dxa"/>
            <w:vAlign w:val="center"/>
          </w:tcPr>
          <w:p w:rsidR="00DE5723" w:rsidRPr="00C47350" w:rsidP="00C47350" w14:paraId="207B73BD" w14:textId="5933B7AA">
            <w:pPr>
              <w:pStyle w:val="Style1"/>
              <w:jc w:val="center"/>
              <w:rPr>
                <w:sz w:val="20"/>
                <w:szCs w:val="20"/>
              </w:rPr>
            </w:pPr>
            <w:r w:rsidRPr="00C47350">
              <w:rPr>
                <w:sz w:val="20"/>
                <w:szCs w:val="20"/>
              </w:rPr>
              <w:t>0</w:t>
            </w:r>
            <w:r w:rsidRPr="00C47350" w:rsidR="00903EA2">
              <w:rPr>
                <w:sz w:val="20"/>
                <w:szCs w:val="20"/>
              </w:rPr>
              <w:t>.2</w:t>
            </w:r>
            <w:r w:rsidR="005E1A62">
              <w:rPr>
                <w:sz w:val="20"/>
                <w:szCs w:val="20"/>
              </w:rPr>
              <w:t>5</w:t>
            </w:r>
            <w:r w:rsidRPr="00C47350" w:rsidR="00903EA2">
              <w:rPr>
                <w:sz w:val="20"/>
                <w:szCs w:val="20"/>
              </w:rPr>
              <w:t>-2.25</w:t>
            </w:r>
            <w:r w:rsidR="005E1A62">
              <w:rPr>
                <w:sz w:val="20"/>
                <w:szCs w:val="20"/>
              </w:rPr>
              <w:t>0</w:t>
            </w:r>
          </w:p>
        </w:tc>
      </w:tr>
      <w:tr w14:paraId="207B73C3" w14:textId="77777777" w:rsidTr="00C47350">
        <w:tblPrEx>
          <w:tblW w:w="9900" w:type="dxa"/>
          <w:tblInd w:w="-275" w:type="dxa"/>
          <w:tblLook w:val="04A0"/>
        </w:tblPrEx>
        <w:tc>
          <w:tcPr>
            <w:tcW w:w="2340" w:type="dxa"/>
            <w:vAlign w:val="center"/>
          </w:tcPr>
          <w:p w:rsidR="00DE5723" w:rsidRPr="00C47350" w:rsidP="00C47350" w14:paraId="207B73BF" w14:textId="77777777">
            <w:pPr>
              <w:pStyle w:val="Style1"/>
              <w:jc w:val="center"/>
              <w:rPr>
                <w:b/>
                <w:sz w:val="20"/>
                <w:szCs w:val="20"/>
              </w:rPr>
            </w:pPr>
            <w:r w:rsidRPr="00C47350">
              <w:rPr>
                <w:b/>
                <w:sz w:val="20"/>
                <w:szCs w:val="20"/>
              </w:rPr>
              <w:t>pH</w:t>
            </w:r>
          </w:p>
        </w:tc>
        <w:tc>
          <w:tcPr>
            <w:tcW w:w="1980" w:type="dxa"/>
            <w:vAlign w:val="center"/>
          </w:tcPr>
          <w:p w:rsidR="00DE5723" w:rsidRPr="00C47350" w:rsidP="00C47350" w14:paraId="207B73C0" w14:textId="77777777">
            <w:pPr>
              <w:pStyle w:val="Style1"/>
              <w:jc w:val="center"/>
              <w:rPr>
                <w:sz w:val="20"/>
                <w:szCs w:val="20"/>
              </w:rPr>
            </w:pPr>
          </w:p>
        </w:tc>
        <w:tc>
          <w:tcPr>
            <w:tcW w:w="3129" w:type="dxa"/>
            <w:vAlign w:val="center"/>
          </w:tcPr>
          <w:p w:rsidR="00DE5723" w:rsidRPr="00C47350" w:rsidP="00C47350" w14:paraId="207B73C1" w14:textId="77777777">
            <w:pPr>
              <w:pStyle w:val="Style1"/>
              <w:jc w:val="center"/>
              <w:rPr>
                <w:sz w:val="20"/>
                <w:szCs w:val="20"/>
              </w:rPr>
            </w:pPr>
            <w:r w:rsidRPr="00C47350">
              <w:rPr>
                <w:sz w:val="20"/>
                <w:szCs w:val="20"/>
              </w:rPr>
              <w:t>Arterial</w:t>
            </w:r>
            <w:r w:rsidRPr="00C47350" w:rsidR="000120EF">
              <w:rPr>
                <w:sz w:val="20"/>
                <w:szCs w:val="20"/>
              </w:rPr>
              <w:t>:</w:t>
            </w:r>
            <w:r w:rsidRPr="00C47350">
              <w:rPr>
                <w:sz w:val="20"/>
                <w:szCs w:val="20"/>
              </w:rPr>
              <w:t xml:space="preserve"> 7.350-7.450</w:t>
            </w:r>
            <w:r w:rsidRPr="00C47350">
              <w:rPr>
                <w:sz w:val="20"/>
                <w:szCs w:val="20"/>
              </w:rPr>
              <w:br/>
              <w:t>Venous</w:t>
            </w:r>
            <w:r w:rsidRPr="00C47350" w:rsidR="000120EF">
              <w:rPr>
                <w:sz w:val="20"/>
                <w:szCs w:val="20"/>
              </w:rPr>
              <w:t>:</w:t>
            </w:r>
            <w:r w:rsidRPr="00C47350">
              <w:rPr>
                <w:sz w:val="20"/>
                <w:szCs w:val="20"/>
              </w:rPr>
              <w:t xml:space="preserve"> 7.310-7.410</w:t>
            </w:r>
            <w:r w:rsidRPr="00C47350">
              <w:rPr>
                <w:sz w:val="20"/>
                <w:szCs w:val="20"/>
              </w:rPr>
              <w:br/>
              <w:t>Capillary</w:t>
            </w:r>
            <w:r w:rsidRPr="00C47350" w:rsidR="000120EF">
              <w:rPr>
                <w:sz w:val="20"/>
                <w:szCs w:val="20"/>
              </w:rPr>
              <w:t>:</w:t>
            </w:r>
            <w:r w:rsidRPr="00C47350">
              <w:rPr>
                <w:sz w:val="20"/>
                <w:szCs w:val="20"/>
              </w:rPr>
              <w:t xml:space="preserve"> None Defined</w:t>
            </w:r>
          </w:p>
        </w:tc>
        <w:tc>
          <w:tcPr>
            <w:tcW w:w="2451" w:type="dxa"/>
            <w:vAlign w:val="center"/>
          </w:tcPr>
          <w:p w:rsidR="00DE5723" w:rsidRPr="00C47350" w:rsidP="00C47350" w14:paraId="207B73C2" w14:textId="677AB229">
            <w:pPr>
              <w:pStyle w:val="Style1"/>
              <w:jc w:val="center"/>
              <w:rPr>
                <w:sz w:val="20"/>
                <w:szCs w:val="20"/>
              </w:rPr>
            </w:pPr>
            <w:r>
              <w:rPr>
                <w:sz w:val="20"/>
                <w:szCs w:val="20"/>
              </w:rPr>
              <w:t>6.50-7.70</w:t>
            </w:r>
          </w:p>
        </w:tc>
      </w:tr>
      <w:tr w14:paraId="207B73C8" w14:textId="77777777" w:rsidTr="00C47350">
        <w:tblPrEx>
          <w:tblW w:w="9900" w:type="dxa"/>
          <w:tblInd w:w="-275" w:type="dxa"/>
          <w:tblLook w:val="04A0"/>
        </w:tblPrEx>
        <w:tc>
          <w:tcPr>
            <w:tcW w:w="2340" w:type="dxa"/>
            <w:vAlign w:val="center"/>
          </w:tcPr>
          <w:p w:rsidR="00DE5723" w:rsidRPr="00C47350" w:rsidP="00C47350" w14:paraId="207B73C4" w14:textId="77777777">
            <w:pPr>
              <w:pStyle w:val="Style1"/>
              <w:jc w:val="center"/>
              <w:rPr>
                <w:b/>
                <w:sz w:val="20"/>
                <w:szCs w:val="20"/>
              </w:rPr>
            </w:pPr>
            <w:r w:rsidRPr="00C47350">
              <w:rPr>
                <w:b/>
                <w:sz w:val="20"/>
                <w:szCs w:val="20"/>
              </w:rPr>
              <w:t>pCO2</w:t>
            </w:r>
          </w:p>
        </w:tc>
        <w:tc>
          <w:tcPr>
            <w:tcW w:w="1980" w:type="dxa"/>
            <w:vAlign w:val="center"/>
          </w:tcPr>
          <w:p w:rsidR="00DE5723" w:rsidRPr="00C47350" w:rsidP="00C47350" w14:paraId="207B73C5" w14:textId="77777777">
            <w:pPr>
              <w:pStyle w:val="Style1"/>
              <w:jc w:val="center"/>
              <w:rPr>
                <w:sz w:val="20"/>
                <w:szCs w:val="20"/>
              </w:rPr>
            </w:pPr>
            <w:r w:rsidRPr="00C47350">
              <w:rPr>
                <w:sz w:val="20"/>
                <w:szCs w:val="20"/>
              </w:rPr>
              <w:t>mm/Hg</w:t>
            </w:r>
          </w:p>
        </w:tc>
        <w:tc>
          <w:tcPr>
            <w:tcW w:w="3129" w:type="dxa"/>
            <w:vAlign w:val="center"/>
          </w:tcPr>
          <w:p w:rsidR="00DE5723" w:rsidRPr="00C47350" w:rsidP="00C47350" w14:paraId="207B73C6" w14:textId="4C06BECA">
            <w:pPr>
              <w:pStyle w:val="Style1"/>
              <w:jc w:val="center"/>
              <w:rPr>
                <w:sz w:val="20"/>
                <w:szCs w:val="20"/>
              </w:rPr>
            </w:pPr>
            <w:r w:rsidRPr="00C47350">
              <w:rPr>
                <w:sz w:val="20"/>
                <w:szCs w:val="20"/>
              </w:rPr>
              <w:t>Arterial: 32</w:t>
            </w:r>
            <w:r w:rsidRPr="00C47350" w:rsidR="006D6AD7">
              <w:rPr>
                <w:sz w:val="20"/>
                <w:szCs w:val="20"/>
              </w:rPr>
              <w:t>-45</w:t>
            </w:r>
            <w:r w:rsidRPr="00C47350" w:rsidR="006D6AD7">
              <w:rPr>
                <w:sz w:val="20"/>
                <w:szCs w:val="20"/>
              </w:rPr>
              <w:br/>
              <w:t>Venous: 41-51</w:t>
            </w:r>
            <w:r w:rsidRPr="00C47350" w:rsidR="006D6AD7">
              <w:rPr>
                <w:sz w:val="20"/>
                <w:szCs w:val="20"/>
              </w:rPr>
              <w:br/>
              <w:t>Capillary: Non</w:t>
            </w:r>
            <w:r w:rsidR="00FD7C98">
              <w:rPr>
                <w:sz w:val="20"/>
                <w:szCs w:val="20"/>
              </w:rPr>
              <w:t>e</w:t>
            </w:r>
            <w:r w:rsidRPr="00C47350" w:rsidR="006D6AD7">
              <w:rPr>
                <w:sz w:val="20"/>
                <w:szCs w:val="20"/>
              </w:rPr>
              <w:t xml:space="preserve"> Defined</w:t>
            </w:r>
          </w:p>
        </w:tc>
        <w:tc>
          <w:tcPr>
            <w:tcW w:w="2451" w:type="dxa"/>
            <w:vAlign w:val="center"/>
          </w:tcPr>
          <w:p w:rsidR="00DE5723" w:rsidRPr="00C47350" w:rsidP="00C47350" w14:paraId="207B73C7" w14:textId="4C5CED33">
            <w:pPr>
              <w:pStyle w:val="Style1"/>
              <w:jc w:val="center"/>
              <w:rPr>
                <w:sz w:val="20"/>
                <w:szCs w:val="20"/>
              </w:rPr>
            </w:pPr>
            <w:r>
              <w:rPr>
                <w:sz w:val="20"/>
                <w:szCs w:val="20"/>
              </w:rPr>
              <w:t>15-115</w:t>
            </w:r>
          </w:p>
        </w:tc>
      </w:tr>
      <w:tr w14:paraId="207B73CD" w14:textId="77777777" w:rsidTr="00C47350">
        <w:tblPrEx>
          <w:tblW w:w="9900" w:type="dxa"/>
          <w:tblInd w:w="-275" w:type="dxa"/>
          <w:tblLook w:val="04A0"/>
        </w:tblPrEx>
        <w:tc>
          <w:tcPr>
            <w:tcW w:w="2340" w:type="dxa"/>
            <w:vAlign w:val="center"/>
          </w:tcPr>
          <w:p w:rsidR="000120EF" w:rsidRPr="00C47350" w:rsidP="00C47350" w14:paraId="207B73C9" w14:textId="77777777">
            <w:pPr>
              <w:pStyle w:val="Style1"/>
              <w:jc w:val="center"/>
              <w:rPr>
                <w:b/>
                <w:sz w:val="20"/>
                <w:szCs w:val="20"/>
              </w:rPr>
            </w:pPr>
            <w:r w:rsidRPr="00C47350">
              <w:rPr>
                <w:b/>
                <w:sz w:val="20"/>
                <w:szCs w:val="20"/>
              </w:rPr>
              <w:t>pO2</w:t>
            </w:r>
          </w:p>
        </w:tc>
        <w:tc>
          <w:tcPr>
            <w:tcW w:w="1980" w:type="dxa"/>
            <w:vAlign w:val="center"/>
          </w:tcPr>
          <w:p w:rsidR="000120EF" w:rsidRPr="00C47350" w:rsidP="00C47350" w14:paraId="207B73CA" w14:textId="77777777">
            <w:pPr>
              <w:pStyle w:val="Style1"/>
              <w:jc w:val="center"/>
              <w:rPr>
                <w:sz w:val="20"/>
                <w:szCs w:val="20"/>
              </w:rPr>
            </w:pPr>
            <w:r w:rsidRPr="00C47350">
              <w:rPr>
                <w:sz w:val="20"/>
                <w:szCs w:val="20"/>
              </w:rPr>
              <w:t>mm/Hg</w:t>
            </w:r>
          </w:p>
        </w:tc>
        <w:tc>
          <w:tcPr>
            <w:tcW w:w="3129" w:type="dxa"/>
            <w:vAlign w:val="center"/>
          </w:tcPr>
          <w:p w:rsidR="000120EF" w:rsidRPr="00C47350" w:rsidP="00C47350" w14:paraId="207B73CB" w14:textId="591F1284">
            <w:pPr>
              <w:pStyle w:val="Style1"/>
              <w:jc w:val="center"/>
              <w:rPr>
                <w:sz w:val="20"/>
                <w:szCs w:val="20"/>
              </w:rPr>
            </w:pPr>
            <w:r w:rsidRPr="00C47350">
              <w:rPr>
                <w:sz w:val="20"/>
                <w:szCs w:val="20"/>
              </w:rPr>
              <w:t xml:space="preserve">Arterial: </w:t>
            </w:r>
            <w:r w:rsidR="00112928">
              <w:rPr>
                <w:sz w:val="20"/>
                <w:szCs w:val="20"/>
              </w:rPr>
              <w:t>80</w:t>
            </w:r>
            <w:r w:rsidRPr="00C47350" w:rsidR="00C21AD5">
              <w:rPr>
                <w:sz w:val="20"/>
                <w:szCs w:val="20"/>
              </w:rPr>
              <w:t>-100</w:t>
            </w:r>
            <w:r w:rsidRPr="00C47350">
              <w:rPr>
                <w:sz w:val="20"/>
                <w:szCs w:val="20"/>
              </w:rPr>
              <w:br/>
              <w:t xml:space="preserve">Venous: None Defined </w:t>
            </w:r>
            <w:r w:rsidRPr="00C47350">
              <w:rPr>
                <w:sz w:val="20"/>
                <w:szCs w:val="20"/>
              </w:rPr>
              <w:br/>
              <w:t>Capillary: None Defined</w:t>
            </w:r>
          </w:p>
        </w:tc>
        <w:tc>
          <w:tcPr>
            <w:tcW w:w="2451" w:type="dxa"/>
            <w:vAlign w:val="center"/>
          </w:tcPr>
          <w:p w:rsidR="000120EF" w:rsidRPr="00C47350" w:rsidP="00C47350" w14:paraId="207B73CC" w14:textId="622D0544">
            <w:pPr>
              <w:pStyle w:val="Style1"/>
              <w:jc w:val="center"/>
              <w:rPr>
                <w:sz w:val="20"/>
                <w:szCs w:val="20"/>
              </w:rPr>
            </w:pPr>
            <w:r>
              <w:rPr>
                <w:sz w:val="20"/>
                <w:szCs w:val="20"/>
              </w:rPr>
              <w:t>15</w:t>
            </w:r>
            <w:r w:rsidRPr="00C47350" w:rsidR="00767521">
              <w:rPr>
                <w:sz w:val="20"/>
                <w:szCs w:val="20"/>
              </w:rPr>
              <w:t>-</w:t>
            </w:r>
            <w:r>
              <w:rPr>
                <w:sz w:val="20"/>
                <w:szCs w:val="20"/>
              </w:rPr>
              <w:t>400</w:t>
            </w:r>
          </w:p>
        </w:tc>
      </w:tr>
      <w:tr w14:paraId="207B73D7" w14:textId="77777777" w:rsidTr="00C47350">
        <w:tblPrEx>
          <w:tblW w:w="9900" w:type="dxa"/>
          <w:tblInd w:w="-275" w:type="dxa"/>
          <w:tblLook w:val="04A0"/>
        </w:tblPrEx>
        <w:tc>
          <w:tcPr>
            <w:tcW w:w="2340" w:type="dxa"/>
            <w:vMerge w:val="restart"/>
            <w:vAlign w:val="center"/>
          </w:tcPr>
          <w:p w:rsidR="00C47350" w:rsidRPr="00C47350" w:rsidP="00C47350" w14:paraId="528E15C6" w14:textId="77777777">
            <w:pPr>
              <w:pStyle w:val="Style1"/>
              <w:jc w:val="center"/>
              <w:rPr>
                <w:b/>
                <w:sz w:val="20"/>
                <w:szCs w:val="20"/>
              </w:rPr>
            </w:pPr>
            <w:r w:rsidRPr="00C47350">
              <w:rPr>
                <w:b/>
                <w:sz w:val="20"/>
                <w:szCs w:val="20"/>
              </w:rPr>
              <w:t>Hematocrit</w:t>
            </w:r>
          </w:p>
          <w:p w:rsidR="000120EF" w:rsidRPr="00C47350" w:rsidP="00C47350" w14:paraId="207B73D3" w14:textId="2854B804">
            <w:pPr>
              <w:pStyle w:val="Style1"/>
              <w:jc w:val="center"/>
              <w:rPr>
                <w:sz w:val="20"/>
                <w:szCs w:val="20"/>
              </w:rPr>
            </w:pPr>
            <w:r>
              <w:rPr>
                <w:sz w:val="20"/>
                <w:szCs w:val="20"/>
              </w:rPr>
              <w:t>(</w:t>
            </w:r>
            <w:r w:rsidRPr="00C47350">
              <w:rPr>
                <w:sz w:val="20"/>
                <w:szCs w:val="20"/>
              </w:rPr>
              <w:t>Male</w:t>
            </w:r>
            <w:r>
              <w:rPr>
                <w:sz w:val="20"/>
                <w:szCs w:val="20"/>
              </w:rPr>
              <w:t>)</w:t>
            </w:r>
          </w:p>
        </w:tc>
        <w:tc>
          <w:tcPr>
            <w:tcW w:w="1980" w:type="dxa"/>
            <w:vMerge w:val="restart"/>
            <w:vAlign w:val="center"/>
          </w:tcPr>
          <w:p w:rsidR="000120EF" w:rsidRPr="00C47350" w:rsidP="00C47350" w14:paraId="207B73D4" w14:textId="77777777">
            <w:pPr>
              <w:pStyle w:val="Style1"/>
              <w:jc w:val="center"/>
              <w:rPr>
                <w:sz w:val="20"/>
                <w:szCs w:val="20"/>
              </w:rPr>
            </w:pPr>
            <w:r w:rsidRPr="00C47350">
              <w:rPr>
                <w:sz w:val="20"/>
                <w:szCs w:val="20"/>
              </w:rPr>
              <w:t>%PCV</w:t>
            </w:r>
          </w:p>
        </w:tc>
        <w:tc>
          <w:tcPr>
            <w:tcW w:w="3129" w:type="dxa"/>
            <w:vAlign w:val="center"/>
          </w:tcPr>
          <w:p w:rsidR="000120EF" w:rsidRPr="00C47350" w:rsidP="00C47350" w14:paraId="207B73D5" w14:textId="77777777">
            <w:pPr>
              <w:pStyle w:val="Style1"/>
              <w:jc w:val="center"/>
              <w:rPr>
                <w:sz w:val="20"/>
                <w:szCs w:val="20"/>
              </w:rPr>
            </w:pPr>
            <w:r w:rsidRPr="00C47350">
              <w:rPr>
                <w:sz w:val="20"/>
                <w:szCs w:val="20"/>
              </w:rPr>
              <w:t xml:space="preserve">18y: </w:t>
            </w:r>
            <w:r w:rsidRPr="00C47350">
              <w:rPr>
                <w:sz w:val="20"/>
                <w:szCs w:val="20"/>
              </w:rPr>
              <w:t>4</w:t>
            </w:r>
            <w:r w:rsidRPr="00C47350">
              <w:rPr>
                <w:sz w:val="20"/>
                <w:szCs w:val="20"/>
              </w:rPr>
              <w:t>2</w:t>
            </w:r>
            <w:r w:rsidRPr="00C47350">
              <w:rPr>
                <w:sz w:val="20"/>
                <w:szCs w:val="20"/>
              </w:rPr>
              <w:t>-</w:t>
            </w:r>
            <w:r w:rsidRPr="00C47350">
              <w:rPr>
                <w:sz w:val="20"/>
                <w:szCs w:val="20"/>
              </w:rPr>
              <w:t>5</w:t>
            </w:r>
            <w:r w:rsidRPr="00C47350">
              <w:rPr>
                <w:sz w:val="20"/>
                <w:szCs w:val="20"/>
              </w:rPr>
              <w:t>2</w:t>
            </w:r>
          </w:p>
        </w:tc>
        <w:tc>
          <w:tcPr>
            <w:tcW w:w="2451" w:type="dxa"/>
            <w:vMerge w:val="restart"/>
            <w:vAlign w:val="center"/>
          </w:tcPr>
          <w:p w:rsidR="000120EF" w:rsidRPr="00C47350" w:rsidP="00C47350" w14:paraId="207B73D6" w14:textId="6EA6AB65">
            <w:pPr>
              <w:pStyle w:val="Style1"/>
              <w:jc w:val="center"/>
              <w:rPr>
                <w:sz w:val="20"/>
                <w:szCs w:val="20"/>
              </w:rPr>
            </w:pPr>
            <w:r w:rsidRPr="00C47350">
              <w:rPr>
                <w:sz w:val="20"/>
                <w:szCs w:val="20"/>
              </w:rPr>
              <w:t>15-7</w:t>
            </w:r>
            <w:r w:rsidR="005E1A62">
              <w:rPr>
                <w:sz w:val="20"/>
                <w:szCs w:val="20"/>
              </w:rPr>
              <w:t>2</w:t>
            </w:r>
          </w:p>
        </w:tc>
      </w:tr>
      <w:tr w14:paraId="207B73DC" w14:textId="77777777" w:rsidTr="00C47350">
        <w:tblPrEx>
          <w:tblW w:w="9900" w:type="dxa"/>
          <w:tblInd w:w="-275" w:type="dxa"/>
          <w:tblLook w:val="04A0"/>
        </w:tblPrEx>
        <w:tc>
          <w:tcPr>
            <w:tcW w:w="2340" w:type="dxa"/>
            <w:vMerge/>
            <w:vAlign w:val="center"/>
          </w:tcPr>
          <w:p w:rsidR="000120EF" w:rsidRPr="00C47350" w:rsidP="00C47350" w14:paraId="207B73D8" w14:textId="77777777">
            <w:pPr>
              <w:pStyle w:val="Style1"/>
              <w:jc w:val="center"/>
              <w:rPr>
                <w:sz w:val="20"/>
                <w:szCs w:val="20"/>
              </w:rPr>
            </w:pPr>
          </w:p>
        </w:tc>
        <w:tc>
          <w:tcPr>
            <w:tcW w:w="1980" w:type="dxa"/>
            <w:vMerge/>
            <w:vAlign w:val="center"/>
          </w:tcPr>
          <w:p w:rsidR="000120EF" w:rsidRPr="00C47350" w:rsidP="00C47350" w14:paraId="207B73D9" w14:textId="77777777">
            <w:pPr>
              <w:pStyle w:val="Style1"/>
              <w:jc w:val="center"/>
              <w:rPr>
                <w:sz w:val="20"/>
                <w:szCs w:val="20"/>
              </w:rPr>
            </w:pPr>
          </w:p>
        </w:tc>
        <w:tc>
          <w:tcPr>
            <w:tcW w:w="3129" w:type="dxa"/>
            <w:vAlign w:val="center"/>
          </w:tcPr>
          <w:p w:rsidR="000120EF" w:rsidRPr="00C47350" w:rsidP="00C47350" w14:paraId="207B73DA" w14:textId="77777777">
            <w:pPr>
              <w:pStyle w:val="Style1"/>
              <w:jc w:val="center"/>
              <w:rPr>
                <w:sz w:val="20"/>
                <w:szCs w:val="20"/>
              </w:rPr>
            </w:pPr>
            <w:r w:rsidRPr="00C47350">
              <w:rPr>
                <w:sz w:val="20"/>
                <w:szCs w:val="20"/>
              </w:rPr>
              <w:t>12y: 3</w:t>
            </w:r>
            <w:r w:rsidRPr="00C47350">
              <w:rPr>
                <w:sz w:val="20"/>
                <w:szCs w:val="20"/>
              </w:rPr>
              <w:t>7</w:t>
            </w:r>
            <w:r w:rsidRPr="00C47350">
              <w:rPr>
                <w:sz w:val="20"/>
                <w:szCs w:val="20"/>
              </w:rPr>
              <w:t>-4</w:t>
            </w:r>
            <w:r w:rsidRPr="00C47350">
              <w:rPr>
                <w:sz w:val="20"/>
                <w:szCs w:val="20"/>
              </w:rPr>
              <w:t>9</w:t>
            </w:r>
          </w:p>
        </w:tc>
        <w:tc>
          <w:tcPr>
            <w:tcW w:w="2451" w:type="dxa"/>
            <w:vMerge/>
            <w:vAlign w:val="center"/>
          </w:tcPr>
          <w:p w:rsidR="000120EF" w:rsidRPr="00C47350" w:rsidP="00C47350" w14:paraId="207B73DB" w14:textId="77777777">
            <w:pPr>
              <w:pStyle w:val="Style1"/>
              <w:jc w:val="center"/>
              <w:rPr>
                <w:sz w:val="20"/>
                <w:szCs w:val="20"/>
              </w:rPr>
            </w:pPr>
          </w:p>
        </w:tc>
      </w:tr>
      <w:tr w14:paraId="207B73E1" w14:textId="77777777" w:rsidTr="00C47350">
        <w:tblPrEx>
          <w:tblW w:w="9900" w:type="dxa"/>
          <w:tblInd w:w="-275" w:type="dxa"/>
          <w:tblLook w:val="04A0"/>
        </w:tblPrEx>
        <w:tc>
          <w:tcPr>
            <w:tcW w:w="2340" w:type="dxa"/>
            <w:vMerge/>
            <w:vAlign w:val="center"/>
          </w:tcPr>
          <w:p w:rsidR="000120EF" w:rsidRPr="00C47350" w:rsidP="00C47350" w14:paraId="207B73DD" w14:textId="77777777">
            <w:pPr>
              <w:pStyle w:val="Style1"/>
              <w:jc w:val="center"/>
              <w:rPr>
                <w:sz w:val="20"/>
                <w:szCs w:val="20"/>
              </w:rPr>
            </w:pPr>
          </w:p>
        </w:tc>
        <w:tc>
          <w:tcPr>
            <w:tcW w:w="1980" w:type="dxa"/>
            <w:vMerge/>
            <w:vAlign w:val="center"/>
          </w:tcPr>
          <w:p w:rsidR="000120EF" w:rsidRPr="00C47350" w:rsidP="00C47350" w14:paraId="207B73DE" w14:textId="77777777">
            <w:pPr>
              <w:pStyle w:val="Style1"/>
              <w:jc w:val="center"/>
              <w:rPr>
                <w:sz w:val="20"/>
                <w:szCs w:val="20"/>
              </w:rPr>
            </w:pPr>
          </w:p>
        </w:tc>
        <w:tc>
          <w:tcPr>
            <w:tcW w:w="3129" w:type="dxa"/>
            <w:vAlign w:val="center"/>
          </w:tcPr>
          <w:p w:rsidR="000120EF" w:rsidRPr="00C47350" w:rsidP="00C47350" w14:paraId="207B73DF" w14:textId="77777777">
            <w:pPr>
              <w:pStyle w:val="Style1"/>
              <w:jc w:val="center"/>
              <w:rPr>
                <w:sz w:val="20"/>
                <w:szCs w:val="20"/>
              </w:rPr>
            </w:pPr>
            <w:r w:rsidRPr="00C47350">
              <w:rPr>
                <w:sz w:val="20"/>
                <w:szCs w:val="20"/>
              </w:rPr>
              <w:t>6y: 35-45</w:t>
            </w:r>
          </w:p>
        </w:tc>
        <w:tc>
          <w:tcPr>
            <w:tcW w:w="2451" w:type="dxa"/>
            <w:vMerge/>
            <w:vAlign w:val="center"/>
          </w:tcPr>
          <w:p w:rsidR="000120EF" w:rsidRPr="00C47350" w:rsidP="00C47350" w14:paraId="207B73E0" w14:textId="77777777">
            <w:pPr>
              <w:pStyle w:val="Style1"/>
              <w:jc w:val="center"/>
              <w:rPr>
                <w:sz w:val="20"/>
                <w:szCs w:val="20"/>
              </w:rPr>
            </w:pPr>
          </w:p>
        </w:tc>
      </w:tr>
      <w:tr w14:paraId="207B73E6" w14:textId="77777777" w:rsidTr="00C47350">
        <w:tblPrEx>
          <w:tblW w:w="9900" w:type="dxa"/>
          <w:tblInd w:w="-275" w:type="dxa"/>
          <w:tblLook w:val="04A0"/>
        </w:tblPrEx>
        <w:tc>
          <w:tcPr>
            <w:tcW w:w="2340" w:type="dxa"/>
            <w:vMerge/>
            <w:vAlign w:val="center"/>
          </w:tcPr>
          <w:p w:rsidR="000120EF" w:rsidRPr="00C47350" w:rsidP="00C47350" w14:paraId="207B73E2" w14:textId="77777777">
            <w:pPr>
              <w:pStyle w:val="Style1"/>
              <w:jc w:val="center"/>
              <w:rPr>
                <w:sz w:val="20"/>
                <w:szCs w:val="20"/>
              </w:rPr>
            </w:pPr>
          </w:p>
        </w:tc>
        <w:tc>
          <w:tcPr>
            <w:tcW w:w="1980" w:type="dxa"/>
            <w:vMerge/>
            <w:vAlign w:val="center"/>
          </w:tcPr>
          <w:p w:rsidR="000120EF" w:rsidRPr="00C47350" w:rsidP="00C47350" w14:paraId="207B73E3" w14:textId="77777777">
            <w:pPr>
              <w:pStyle w:val="Style1"/>
              <w:jc w:val="center"/>
              <w:rPr>
                <w:sz w:val="20"/>
                <w:szCs w:val="20"/>
              </w:rPr>
            </w:pPr>
          </w:p>
        </w:tc>
        <w:tc>
          <w:tcPr>
            <w:tcW w:w="3129" w:type="dxa"/>
            <w:vAlign w:val="center"/>
          </w:tcPr>
          <w:p w:rsidR="000120EF" w:rsidRPr="00C47350" w:rsidP="00C47350" w14:paraId="207B73E4" w14:textId="77777777">
            <w:pPr>
              <w:pStyle w:val="Style1"/>
              <w:jc w:val="center"/>
              <w:rPr>
                <w:sz w:val="20"/>
                <w:szCs w:val="20"/>
              </w:rPr>
            </w:pPr>
            <w:r w:rsidRPr="00C47350">
              <w:rPr>
                <w:sz w:val="20"/>
                <w:szCs w:val="20"/>
              </w:rPr>
              <w:t>2y: 34-40</w:t>
            </w:r>
          </w:p>
        </w:tc>
        <w:tc>
          <w:tcPr>
            <w:tcW w:w="2451" w:type="dxa"/>
            <w:vMerge/>
            <w:vAlign w:val="center"/>
          </w:tcPr>
          <w:p w:rsidR="000120EF" w:rsidRPr="00C47350" w:rsidP="00C47350" w14:paraId="207B73E5" w14:textId="77777777">
            <w:pPr>
              <w:pStyle w:val="Style1"/>
              <w:jc w:val="center"/>
              <w:rPr>
                <w:sz w:val="20"/>
                <w:szCs w:val="20"/>
              </w:rPr>
            </w:pPr>
          </w:p>
        </w:tc>
      </w:tr>
      <w:tr w14:paraId="207B73EB" w14:textId="77777777" w:rsidTr="00C47350">
        <w:tblPrEx>
          <w:tblW w:w="9900" w:type="dxa"/>
          <w:tblInd w:w="-275" w:type="dxa"/>
          <w:tblLook w:val="04A0"/>
        </w:tblPrEx>
        <w:tc>
          <w:tcPr>
            <w:tcW w:w="2340" w:type="dxa"/>
            <w:vMerge/>
            <w:vAlign w:val="center"/>
          </w:tcPr>
          <w:p w:rsidR="000120EF" w:rsidRPr="00C47350" w:rsidP="00C47350" w14:paraId="207B73E7" w14:textId="77777777">
            <w:pPr>
              <w:pStyle w:val="Style1"/>
              <w:jc w:val="center"/>
              <w:rPr>
                <w:sz w:val="20"/>
                <w:szCs w:val="20"/>
              </w:rPr>
            </w:pPr>
          </w:p>
        </w:tc>
        <w:tc>
          <w:tcPr>
            <w:tcW w:w="1980" w:type="dxa"/>
            <w:vMerge/>
            <w:vAlign w:val="center"/>
          </w:tcPr>
          <w:p w:rsidR="000120EF" w:rsidRPr="00C47350" w:rsidP="00C47350" w14:paraId="207B73E8" w14:textId="77777777">
            <w:pPr>
              <w:pStyle w:val="Style1"/>
              <w:jc w:val="center"/>
              <w:rPr>
                <w:sz w:val="20"/>
                <w:szCs w:val="20"/>
              </w:rPr>
            </w:pPr>
          </w:p>
        </w:tc>
        <w:tc>
          <w:tcPr>
            <w:tcW w:w="3129" w:type="dxa"/>
            <w:vAlign w:val="center"/>
          </w:tcPr>
          <w:p w:rsidR="000120EF" w:rsidRPr="00C47350" w:rsidP="00C47350" w14:paraId="207B73E9" w14:textId="77777777">
            <w:pPr>
              <w:pStyle w:val="Style1"/>
              <w:jc w:val="center"/>
              <w:rPr>
                <w:sz w:val="20"/>
                <w:szCs w:val="20"/>
              </w:rPr>
            </w:pPr>
            <w:r w:rsidRPr="00C47350">
              <w:rPr>
                <w:sz w:val="20"/>
                <w:szCs w:val="20"/>
              </w:rPr>
              <w:t>6m: 33-39</w:t>
            </w:r>
          </w:p>
        </w:tc>
        <w:tc>
          <w:tcPr>
            <w:tcW w:w="2451" w:type="dxa"/>
            <w:vMerge/>
            <w:vAlign w:val="center"/>
          </w:tcPr>
          <w:p w:rsidR="000120EF" w:rsidRPr="00C47350" w:rsidP="00C47350" w14:paraId="207B73EA" w14:textId="77777777">
            <w:pPr>
              <w:pStyle w:val="Style1"/>
              <w:jc w:val="center"/>
              <w:rPr>
                <w:sz w:val="20"/>
                <w:szCs w:val="20"/>
              </w:rPr>
            </w:pPr>
          </w:p>
        </w:tc>
      </w:tr>
      <w:tr w14:paraId="207B73F0" w14:textId="77777777" w:rsidTr="00C47350">
        <w:tblPrEx>
          <w:tblW w:w="9900" w:type="dxa"/>
          <w:tblInd w:w="-275" w:type="dxa"/>
          <w:tblLook w:val="04A0"/>
        </w:tblPrEx>
        <w:tc>
          <w:tcPr>
            <w:tcW w:w="2340" w:type="dxa"/>
            <w:vMerge/>
            <w:vAlign w:val="center"/>
          </w:tcPr>
          <w:p w:rsidR="000120EF" w:rsidRPr="00C47350" w:rsidP="00C47350" w14:paraId="207B73EC" w14:textId="77777777">
            <w:pPr>
              <w:pStyle w:val="Style1"/>
              <w:jc w:val="center"/>
              <w:rPr>
                <w:sz w:val="20"/>
                <w:szCs w:val="20"/>
              </w:rPr>
            </w:pPr>
          </w:p>
        </w:tc>
        <w:tc>
          <w:tcPr>
            <w:tcW w:w="1980" w:type="dxa"/>
            <w:vMerge/>
            <w:vAlign w:val="center"/>
          </w:tcPr>
          <w:p w:rsidR="000120EF" w:rsidRPr="00C47350" w:rsidP="00C47350" w14:paraId="207B73ED" w14:textId="77777777">
            <w:pPr>
              <w:pStyle w:val="Style1"/>
              <w:jc w:val="center"/>
              <w:rPr>
                <w:sz w:val="20"/>
                <w:szCs w:val="20"/>
              </w:rPr>
            </w:pPr>
          </w:p>
        </w:tc>
        <w:tc>
          <w:tcPr>
            <w:tcW w:w="3129" w:type="dxa"/>
            <w:vAlign w:val="center"/>
          </w:tcPr>
          <w:p w:rsidR="000120EF" w:rsidRPr="00C47350" w:rsidP="00C47350" w14:paraId="207B73EE" w14:textId="77777777">
            <w:pPr>
              <w:pStyle w:val="Style1"/>
              <w:jc w:val="center"/>
              <w:rPr>
                <w:sz w:val="20"/>
                <w:szCs w:val="20"/>
              </w:rPr>
            </w:pPr>
            <w:r w:rsidRPr="00C47350">
              <w:rPr>
                <w:sz w:val="20"/>
                <w:szCs w:val="20"/>
              </w:rPr>
              <w:t>3m: 29-41</w:t>
            </w:r>
          </w:p>
        </w:tc>
        <w:tc>
          <w:tcPr>
            <w:tcW w:w="2451" w:type="dxa"/>
            <w:vMerge/>
            <w:vAlign w:val="center"/>
          </w:tcPr>
          <w:p w:rsidR="000120EF" w:rsidRPr="00C47350" w:rsidP="00C47350" w14:paraId="207B73EF" w14:textId="77777777">
            <w:pPr>
              <w:pStyle w:val="Style1"/>
              <w:jc w:val="center"/>
              <w:rPr>
                <w:sz w:val="20"/>
                <w:szCs w:val="20"/>
              </w:rPr>
            </w:pPr>
          </w:p>
        </w:tc>
      </w:tr>
      <w:tr w14:paraId="207B73F5" w14:textId="77777777" w:rsidTr="00C47350">
        <w:tblPrEx>
          <w:tblW w:w="9900" w:type="dxa"/>
          <w:tblInd w:w="-275" w:type="dxa"/>
          <w:tblLook w:val="04A0"/>
        </w:tblPrEx>
        <w:tc>
          <w:tcPr>
            <w:tcW w:w="2340" w:type="dxa"/>
            <w:vMerge/>
            <w:vAlign w:val="center"/>
          </w:tcPr>
          <w:p w:rsidR="000120EF" w:rsidRPr="00C47350" w:rsidP="00C47350" w14:paraId="207B73F1" w14:textId="77777777">
            <w:pPr>
              <w:pStyle w:val="Style1"/>
              <w:jc w:val="center"/>
              <w:rPr>
                <w:sz w:val="20"/>
                <w:szCs w:val="20"/>
              </w:rPr>
            </w:pPr>
          </w:p>
        </w:tc>
        <w:tc>
          <w:tcPr>
            <w:tcW w:w="1980" w:type="dxa"/>
            <w:vMerge/>
            <w:vAlign w:val="center"/>
          </w:tcPr>
          <w:p w:rsidR="000120EF" w:rsidRPr="00C47350" w:rsidP="00C47350" w14:paraId="207B73F2" w14:textId="77777777">
            <w:pPr>
              <w:pStyle w:val="Style1"/>
              <w:jc w:val="center"/>
              <w:rPr>
                <w:sz w:val="20"/>
                <w:szCs w:val="20"/>
              </w:rPr>
            </w:pPr>
          </w:p>
        </w:tc>
        <w:tc>
          <w:tcPr>
            <w:tcW w:w="3129" w:type="dxa"/>
            <w:vAlign w:val="center"/>
          </w:tcPr>
          <w:p w:rsidR="000120EF" w:rsidRPr="00C47350" w:rsidP="00C47350" w14:paraId="207B73F3" w14:textId="77777777">
            <w:pPr>
              <w:pStyle w:val="Style1"/>
              <w:jc w:val="center"/>
              <w:rPr>
                <w:sz w:val="20"/>
                <w:szCs w:val="20"/>
              </w:rPr>
            </w:pPr>
            <w:r w:rsidRPr="00C47350">
              <w:rPr>
                <w:sz w:val="20"/>
                <w:szCs w:val="20"/>
              </w:rPr>
              <w:t>2m: 28-42</w:t>
            </w:r>
          </w:p>
        </w:tc>
        <w:tc>
          <w:tcPr>
            <w:tcW w:w="2451" w:type="dxa"/>
            <w:vMerge/>
            <w:vAlign w:val="center"/>
          </w:tcPr>
          <w:p w:rsidR="000120EF" w:rsidRPr="00C47350" w:rsidP="00C47350" w14:paraId="207B73F4" w14:textId="77777777">
            <w:pPr>
              <w:pStyle w:val="Style1"/>
              <w:jc w:val="center"/>
              <w:rPr>
                <w:sz w:val="20"/>
                <w:szCs w:val="20"/>
              </w:rPr>
            </w:pPr>
          </w:p>
        </w:tc>
      </w:tr>
      <w:tr w14:paraId="207B73FA" w14:textId="77777777" w:rsidTr="00C47350">
        <w:tblPrEx>
          <w:tblW w:w="9900" w:type="dxa"/>
          <w:tblInd w:w="-275" w:type="dxa"/>
          <w:tblLook w:val="04A0"/>
        </w:tblPrEx>
        <w:tc>
          <w:tcPr>
            <w:tcW w:w="2340" w:type="dxa"/>
            <w:vMerge/>
            <w:vAlign w:val="center"/>
          </w:tcPr>
          <w:p w:rsidR="000120EF" w:rsidRPr="00C47350" w:rsidP="00C47350" w14:paraId="207B73F6" w14:textId="77777777">
            <w:pPr>
              <w:pStyle w:val="Style1"/>
              <w:jc w:val="center"/>
              <w:rPr>
                <w:sz w:val="20"/>
                <w:szCs w:val="20"/>
              </w:rPr>
            </w:pPr>
          </w:p>
        </w:tc>
        <w:tc>
          <w:tcPr>
            <w:tcW w:w="1980" w:type="dxa"/>
            <w:vMerge/>
            <w:vAlign w:val="center"/>
          </w:tcPr>
          <w:p w:rsidR="000120EF" w:rsidRPr="00C47350" w:rsidP="00C47350" w14:paraId="207B73F7" w14:textId="77777777">
            <w:pPr>
              <w:pStyle w:val="Style1"/>
              <w:jc w:val="center"/>
              <w:rPr>
                <w:sz w:val="20"/>
                <w:szCs w:val="20"/>
              </w:rPr>
            </w:pPr>
          </w:p>
        </w:tc>
        <w:tc>
          <w:tcPr>
            <w:tcW w:w="3129" w:type="dxa"/>
            <w:vAlign w:val="center"/>
          </w:tcPr>
          <w:p w:rsidR="000120EF" w:rsidRPr="00C47350" w:rsidP="00C47350" w14:paraId="207B73F8" w14:textId="77777777">
            <w:pPr>
              <w:pStyle w:val="Style1"/>
              <w:jc w:val="center"/>
              <w:rPr>
                <w:sz w:val="20"/>
                <w:szCs w:val="20"/>
              </w:rPr>
            </w:pPr>
            <w:r w:rsidRPr="00C47350">
              <w:rPr>
                <w:sz w:val="20"/>
                <w:szCs w:val="20"/>
              </w:rPr>
              <w:t>1m: 31-55</w:t>
            </w:r>
          </w:p>
        </w:tc>
        <w:tc>
          <w:tcPr>
            <w:tcW w:w="2451" w:type="dxa"/>
            <w:vMerge/>
            <w:vAlign w:val="center"/>
          </w:tcPr>
          <w:p w:rsidR="000120EF" w:rsidRPr="00C47350" w:rsidP="00C47350" w14:paraId="207B73F9" w14:textId="77777777">
            <w:pPr>
              <w:pStyle w:val="Style1"/>
              <w:jc w:val="center"/>
              <w:rPr>
                <w:sz w:val="20"/>
                <w:szCs w:val="20"/>
              </w:rPr>
            </w:pPr>
          </w:p>
        </w:tc>
      </w:tr>
      <w:tr w14:paraId="207B73FF" w14:textId="77777777" w:rsidTr="00C47350">
        <w:tblPrEx>
          <w:tblW w:w="9900" w:type="dxa"/>
          <w:tblInd w:w="-275" w:type="dxa"/>
          <w:tblLook w:val="04A0"/>
        </w:tblPrEx>
        <w:tc>
          <w:tcPr>
            <w:tcW w:w="2340" w:type="dxa"/>
            <w:vMerge/>
            <w:vAlign w:val="center"/>
          </w:tcPr>
          <w:p w:rsidR="000120EF" w:rsidRPr="00C47350" w:rsidP="00C47350" w14:paraId="207B73FB" w14:textId="77777777">
            <w:pPr>
              <w:pStyle w:val="Style1"/>
              <w:jc w:val="center"/>
              <w:rPr>
                <w:sz w:val="20"/>
                <w:szCs w:val="20"/>
              </w:rPr>
            </w:pPr>
          </w:p>
        </w:tc>
        <w:tc>
          <w:tcPr>
            <w:tcW w:w="1980" w:type="dxa"/>
            <w:vMerge/>
            <w:vAlign w:val="center"/>
          </w:tcPr>
          <w:p w:rsidR="000120EF" w:rsidRPr="00C47350" w:rsidP="00C47350" w14:paraId="207B73FC" w14:textId="77777777">
            <w:pPr>
              <w:pStyle w:val="Style1"/>
              <w:jc w:val="center"/>
              <w:rPr>
                <w:sz w:val="20"/>
                <w:szCs w:val="20"/>
              </w:rPr>
            </w:pPr>
          </w:p>
        </w:tc>
        <w:tc>
          <w:tcPr>
            <w:tcW w:w="3129" w:type="dxa"/>
            <w:vAlign w:val="center"/>
          </w:tcPr>
          <w:p w:rsidR="000120EF" w:rsidRPr="00C47350" w:rsidP="00C47350" w14:paraId="207B73FD" w14:textId="77777777">
            <w:pPr>
              <w:pStyle w:val="Style1"/>
              <w:jc w:val="center"/>
              <w:rPr>
                <w:sz w:val="20"/>
                <w:szCs w:val="20"/>
              </w:rPr>
            </w:pPr>
            <w:r w:rsidRPr="00C47350">
              <w:rPr>
                <w:sz w:val="20"/>
                <w:szCs w:val="20"/>
              </w:rPr>
              <w:t>14d: 39-63</w:t>
            </w:r>
          </w:p>
        </w:tc>
        <w:tc>
          <w:tcPr>
            <w:tcW w:w="2451" w:type="dxa"/>
            <w:vMerge/>
            <w:vAlign w:val="center"/>
          </w:tcPr>
          <w:p w:rsidR="000120EF" w:rsidRPr="00C47350" w:rsidP="00C47350" w14:paraId="207B73FE" w14:textId="77777777">
            <w:pPr>
              <w:pStyle w:val="Style1"/>
              <w:jc w:val="center"/>
              <w:rPr>
                <w:sz w:val="20"/>
                <w:szCs w:val="20"/>
              </w:rPr>
            </w:pPr>
          </w:p>
        </w:tc>
      </w:tr>
      <w:tr w14:paraId="207B7404" w14:textId="77777777" w:rsidTr="00C47350">
        <w:tblPrEx>
          <w:tblW w:w="9900" w:type="dxa"/>
          <w:tblInd w:w="-275" w:type="dxa"/>
          <w:tblLook w:val="04A0"/>
        </w:tblPrEx>
        <w:tc>
          <w:tcPr>
            <w:tcW w:w="2340" w:type="dxa"/>
            <w:vMerge/>
            <w:vAlign w:val="center"/>
          </w:tcPr>
          <w:p w:rsidR="000120EF" w:rsidRPr="00C47350" w:rsidP="00C47350" w14:paraId="207B7400" w14:textId="77777777">
            <w:pPr>
              <w:pStyle w:val="Style1"/>
              <w:jc w:val="center"/>
              <w:rPr>
                <w:sz w:val="20"/>
                <w:szCs w:val="20"/>
              </w:rPr>
            </w:pPr>
          </w:p>
        </w:tc>
        <w:tc>
          <w:tcPr>
            <w:tcW w:w="1980" w:type="dxa"/>
            <w:vMerge/>
            <w:vAlign w:val="center"/>
          </w:tcPr>
          <w:p w:rsidR="000120EF" w:rsidRPr="00C47350" w:rsidP="00C47350" w14:paraId="207B7401" w14:textId="77777777">
            <w:pPr>
              <w:pStyle w:val="Style1"/>
              <w:jc w:val="center"/>
              <w:rPr>
                <w:sz w:val="20"/>
                <w:szCs w:val="20"/>
              </w:rPr>
            </w:pPr>
          </w:p>
        </w:tc>
        <w:tc>
          <w:tcPr>
            <w:tcW w:w="3129" w:type="dxa"/>
            <w:vAlign w:val="center"/>
          </w:tcPr>
          <w:p w:rsidR="000120EF" w:rsidRPr="00C47350" w:rsidP="00C47350" w14:paraId="207B7402" w14:textId="77777777">
            <w:pPr>
              <w:pStyle w:val="Style1"/>
              <w:jc w:val="center"/>
              <w:rPr>
                <w:sz w:val="20"/>
                <w:szCs w:val="20"/>
              </w:rPr>
            </w:pPr>
            <w:r w:rsidRPr="00C47350">
              <w:rPr>
                <w:sz w:val="20"/>
                <w:szCs w:val="20"/>
              </w:rPr>
              <w:t>7d: 42-66</w:t>
            </w:r>
          </w:p>
        </w:tc>
        <w:tc>
          <w:tcPr>
            <w:tcW w:w="2451" w:type="dxa"/>
            <w:vMerge/>
            <w:vAlign w:val="center"/>
          </w:tcPr>
          <w:p w:rsidR="000120EF" w:rsidRPr="00C47350" w:rsidP="00C47350" w14:paraId="207B7403" w14:textId="77777777">
            <w:pPr>
              <w:pStyle w:val="Style1"/>
              <w:jc w:val="center"/>
              <w:rPr>
                <w:sz w:val="20"/>
                <w:szCs w:val="20"/>
              </w:rPr>
            </w:pPr>
          </w:p>
        </w:tc>
      </w:tr>
      <w:tr w14:paraId="207B7409" w14:textId="77777777" w:rsidTr="00C47350">
        <w:tblPrEx>
          <w:tblW w:w="9900" w:type="dxa"/>
          <w:tblInd w:w="-275" w:type="dxa"/>
          <w:tblLook w:val="04A0"/>
        </w:tblPrEx>
        <w:tc>
          <w:tcPr>
            <w:tcW w:w="2340" w:type="dxa"/>
            <w:vMerge/>
            <w:vAlign w:val="center"/>
          </w:tcPr>
          <w:p w:rsidR="000120EF" w:rsidRPr="00C47350" w:rsidP="00C47350" w14:paraId="207B7405" w14:textId="77777777">
            <w:pPr>
              <w:pStyle w:val="Style1"/>
              <w:jc w:val="center"/>
              <w:rPr>
                <w:sz w:val="20"/>
                <w:szCs w:val="20"/>
              </w:rPr>
            </w:pPr>
          </w:p>
        </w:tc>
        <w:tc>
          <w:tcPr>
            <w:tcW w:w="1980" w:type="dxa"/>
            <w:vMerge/>
            <w:vAlign w:val="center"/>
          </w:tcPr>
          <w:p w:rsidR="000120EF" w:rsidRPr="00C47350" w:rsidP="00C47350" w14:paraId="207B7406" w14:textId="77777777">
            <w:pPr>
              <w:pStyle w:val="Style1"/>
              <w:jc w:val="center"/>
              <w:rPr>
                <w:sz w:val="20"/>
                <w:szCs w:val="20"/>
              </w:rPr>
            </w:pPr>
          </w:p>
        </w:tc>
        <w:tc>
          <w:tcPr>
            <w:tcW w:w="3129" w:type="dxa"/>
            <w:vAlign w:val="center"/>
          </w:tcPr>
          <w:p w:rsidR="000120EF" w:rsidRPr="00C47350" w:rsidP="00C47350" w14:paraId="207B7407" w14:textId="77777777">
            <w:pPr>
              <w:pStyle w:val="Style1"/>
              <w:jc w:val="center"/>
              <w:rPr>
                <w:sz w:val="20"/>
                <w:szCs w:val="20"/>
              </w:rPr>
            </w:pPr>
            <w:r w:rsidRPr="00C47350">
              <w:rPr>
                <w:sz w:val="20"/>
                <w:szCs w:val="20"/>
              </w:rPr>
              <w:t>1d: 45-67</w:t>
            </w:r>
          </w:p>
        </w:tc>
        <w:tc>
          <w:tcPr>
            <w:tcW w:w="2451" w:type="dxa"/>
            <w:vMerge/>
            <w:vAlign w:val="center"/>
          </w:tcPr>
          <w:p w:rsidR="000120EF" w:rsidRPr="00C47350" w:rsidP="00C47350" w14:paraId="207B7408" w14:textId="77777777">
            <w:pPr>
              <w:pStyle w:val="Style1"/>
              <w:jc w:val="center"/>
              <w:rPr>
                <w:sz w:val="20"/>
                <w:szCs w:val="20"/>
              </w:rPr>
            </w:pPr>
          </w:p>
        </w:tc>
      </w:tr>
      <w:tr w14:paraId="207B740E" w14:textId="77777777" w:rsidTr="00C47350">
        <w:tblPrEx>
          <w:tblW w:w="9900" w:type="dxa"/>
          <w:tblInd w:w="-275" w:type="dxa"/>
          <w:tblLook w:val="04A0"/>
        </w:tblPrEx>
        <w:tc>
          <w:tcPr>
            <w:tcW w:w="2340" w:type="dxa"/>
            <w:vMerge/>
            <w:vAlign w:val="center"/>
          </w:tcPr>
          <w:p w:rsidR="000120EF" w:rsidRPr="00C47350" w:rsidP="00C47350" w14:paraId="207B740A" w14:textId="77777777">
            <w:pPr>
              <w:pStyle w:val="Style1"/>
              <w:jc w:val="center"/>
              <w:rPr>
                <w:sz w:val="20"/>
                <w:szCs w:val="20"/>
              </w:rPr>
            </w:pPr>
          </w:p>
        </w:tc>
        <w:tc>
          <w:tcPr>
            <w:tcW w:w="1980" w:type="dxa"/>
            <w:vMerge/>
            <w:vAlign w:val="center"/>
          </w:tcPr>
          <w:p w:rsidR="000120EF" w:rsidRPr="00C47350" w:rsidP="00C47350" w14:paraId="207B740B" w14:textId="77777777">
            <w:pPr>
              <w:pStyle w:val="Style1"/>
              <w:jc w:val="center"/>
              <w:rPr>
                <w:sz w:val="20"/>
                <w:szCs w:val="20"/>
              </w:rPr>
            </w:pPr>
          </w:p>
        </w:tc>
        <w:tc>
          <w:tcPr>
            <w:tcW w:w="3129" w:type="dxa"/>
            <w:vAlign w:val="center"/>
          </w:tcPr>
          <w:p w:rsidR="000120EF" w:rsidRPr="00C47350" w:rsidP="00C47350" w14:paraId="207B740C" w14:textId="77777777">
            <w:pPr>
              <w:pStyle w:val="Style1"/>
              <w:jc w:val="center"/>
              <w:rPr>
                <w:sz w:val="20"/>
                <w:szCs w:val="20"/>
              </w:rPr>
            </w:pPr>
            <w:r w:rsidRPr="00C47350">
              <w:rPr>
                <w:sz w:val="20"/>
                <w:szCs w:val="20"/>
              </w:rPr>
              <w:t>0d: 42-60</w:t>
            </w:r>
          </w:p>
        </w:tc>
        <w:tc>
          <w:tcPr>
            <w:tcW w:w="2451" w:type="dxa"/>
            <w:vMerge/>
            <w:vAlign w:val="center"/>
          </w:tcPr>
          <w:p w:rsidR="000120EF" w:rsidRPr="00C47350" w:rsidP="00C47350" w14:paraId="207B740D" w14:textId="77777777">
            <w:pPr>
              <w:pStyle w:val="Style1"/>
              <w:jc w:val="center"/>
              <w:rPr>
                <w:sz w:val="20"/>
                <w:szCs w:val="20"/>
              </w:rPr>
            </w:pPr>
          </w:p>
        </w:tc>
      </w:tr>
      <w:tr w14:paraId="207B7413" w14:textId="77777777" w:rsidTr="00C47350">
        <w:tblPrEx>
          <w:tblW w:w="9900" w:type="dxa"/>
          <w:tblInd w:w="-275" w:type="dxa"/>
          <w:tblLook w:val="04A0"/>
        </w:tblPrEx>
        <w:tc>
          <w:tcPr>
            <w:tcW w:w="2340" w:type="dxa"/>
            <w:vMerge w:val="restart"/>
            <w:vAlign w:val="center"/>
          </w:tcPr>
          <w:p w:rsidR="00C47350" w:rsidRPr="00C47350" w:rsidP="00C47350" w14:paraId="4B0B7668" w14:textId="77777777">
            <w:pPr>
              <w:pStyle w:val="Style1"/>
              <w:jc w:val="center"/>
              <w:rPr>
                <w:b/>
                <w:sz w:val="20"/>
                <w:szCs w:val="20"/>
              </w:rPr>
            </w:pPr>
            <w:r w:rsidRPr="00C47350">
              <w:rPr>
                <w:b/>
                <w:sz w:val="20"/>
                <w:szCs w:val="20"/>
              </w:rPr>
              <w:t>Hematocrit</w:t>
            </w:r>
          </w:p>
          <w:p w:rsidR="00561B0E" w:rsidRPr="00C47350" w:rsidP="00C47350" w14:paraId="207B740F" w14:textId="2D9C2AB9">
            <w:pPr>
              <w:pStyle w:val="Style1"/>
              <w:jc w:val="center"/>
              <w:rPr>
                <w:sz w:val="20"/>
                <w:szCs w:val="20"/>
              </w:rPr>
            </w:pPr>
            <w:r>
              <w:rPr>
                <w:sz w:val="20"/>
                <w:szCs w:val="20"/>
              </w:rPr>
              <w:t>(</w:t>
            </w:r>
            <w:r w:rsidRPr="00C47350">
              <w:rPr>
                <w:sz w:val="20"/>
                <w:szCs w:val="20"/>
              </w:rPr>
              <w:t>Female</w:t>
            </w:r>
            <w:r>
              <w:rPr>
                <w:sz w:val="20"/>
                <w:szCs w:val="20"/>
              </w:rPr>
              <w:t>)</w:t>
            </w:r>
          </w:p>
        </w:tc>
        <w:tc>
          <w:tcPr>
            <w:tcW w:w="1980" w:type="dxa"/>
            <w:vMerge w:val="restart"/>
            <w:vAlign w:val="center"/>
          </w:tcPr>
          <w:p w:rsidR="00561B0E" w:rsidRPr="00C47350" w:rsidP="00C47350" w14:paraId="207B7410" w14:textId="77777777">
            <w:pPr>
              <w:pStyle w:val="Style1"/>
              <w:jc w:val="center"/>
              <w:rPr>
                <w:sz w:val="20"/>
                <w:szCs w:val="20"/>
              </w:rPr>
            </w:pPr>
            <w:r w:rsidRPr="00C47350">
              <w:rPr>
                <w:sz w:val="20"/>
                <w:szCs w:val="20"/>
              </w:rPr>
              <w:t>%PCV</w:t>
            </w:r>
          </w:p>
        </w:tc>
        <w:tc>
          <w:tcPr>
            <w:tcW w:w="3129" w:type="dxa"/>
            <w:vAlign w:val="center"/>
          </w:tcPr>
          <w:p w:rsidR="00561B0E" w:rsidRPr="00C47350" w:rsidP="00C47350" w14:paraId="207B7411" w14:textId="77777777">
            <w:pPr>
              <w:pStyle w:val="Style1"/>
              <w:jc w:val="center"/>
              <w:rPr>
                <w:sz w:val="20"/>
                <w:szCs w:val="20"/>
              </w:rPr>
            </w:pPr>
            <w:r w:rsidRPr="00C47350">
              <w:rPr>
                <w:sz w:val="20"/>
                <w:szCs w:val="20"/>
              </w:rPr>
              <w:t>18y: 37-47</w:t>
            </w:r>
          </w:p>
        </w:tc>
        <w:tc>
          <w:tcPr>
            <w:tcW w:w="2451" w:type="dxa"/>
            <w:vMerge w:val="restart"/>
            <w:vAlign w:val="center"/>
          </w:tcPr>
          <w:p w:rsidR="00561B0E" w:rsidRPr="00C47350" w:rsidP="00C47350" w14:paraId="207B7412" w14:textId="1F7E2EC2">
            <w:pPr>
              <w:pStyle w:val="Style1"/>
              <w:jc w:val="center"/>
              <w:rPr>
                <w:sz w:val="20"/>
                <w:szCs w:val="20"/>
              </w:rPr>
            </w:pPr>
            <w:r w:rsidRPr="00C47350">
              <w:rPr>
                <w:sz w:val="20"/>
                <w:szCs w:val="20"/>
              </w:rPr>
              <w:t>15-7</w:t>
            </w:r>
            <w:r w:rsidR="005E1A62">
              <w:rPr>
                <w:sz w:val="20"/>
                <w:szCs w:val="20"/>
              </w:rPr>
              <w:t>2</w:t>
            </w:r>
          </w:p>
        </w:tc>
      </w:tr>
      <w:tr w14:paraId="207B7418" w14:textId="77777777" w:rsidTr="00C47350">
        <w:tblPrEx>
          <w:tblW w:w="9900" w:type="dxa"/>
          <w:tblInd w:w="-275" w:type="dxa"/>
          <w:tblLook w:val="04A0"/>
        </w:tblPrEx>
        <w:tc>
          <w:tcPr>
            <w:tcW w:w="2340" w:type="dxa"/>
            <w:vMerge/>
            <w:vAlign w:val="center"/>
          </w:tcPr>
          <w:p w:rsidR="00561B0E" w:rsidRPr="00C47350" w:rsidP="00C47350" w14:paraId="207B7414" w14:textId="77777777">
            <w:pPr>
              <w:pStyle w:val="Style1"/>
              <w:jc w:val="center"/>
              <w:rPr>
                <w:sz w:val="20"/>
                <w:szCs w:val="20"/>
              </w:rPr>
            </w:pPr>
          </w:p>
        </w:tc>
        <w:tc>
          <w:tcPr>
            <w:tcW w:w="1980" w:type="dxa"/>
            <w:vMerge/>
            <w:vAlign w:val="center"/>
          </w:tcPr>
          <w:p w:rsidR="00561B0E" w:rsidRPr="00C47350" w:rsidP="00C47350" w14:paraId="207B7415" w14:textId="77777777">
            <w:pPr>
              <w:pStyle w:val="Style1"/>
              <w:jc w:val="center"/>
              <w:rPr>
                <w:sz w:val="20"/>
                <w:szCs w:val="20"/>
              </w:rPr>
            </w:pPr>
          </w:p>
        </w:tc>
        <w:tc>
          <w:tcPr>
            <w:tcW w:w="3129" w:type="dxa"/>
            <w:vAlign w:val="center"/>
          </w:tcPr>
          <w:p w:rsidR="00561B0E" w:rsidRPr="00C47350" w:rsidP="00C47350" w14:paraId="207B7416" w14:textId="77777777">
            <w:pPr>
              <w:pStyle w:val="Style1"/>
              <w:jc w:val="center"/>
              <w:rPr>
                <w:sz w:val="20"/>
                <w:szCs w:val="20"/>
              </w:rPr>
            </w:pPr>
            <w:r w:rsidRPr="00C47350">
              <w:rPr>
                <w:sz w:val="20"/>
                <w:szCs w:val="20"/>
              </w:rPr>
              <w:t>12y: 36-46</w:t>
            </w:r>
          </w:p>
        </w:tc>
        <w:tc>
          <w:tcPr>
            <w:tcW w:w="2451" w:type="dxa"/>
            <w:vMerge/>
            <w:vAlign w:val="center"/>
          </w:tcPr>
          <w:p w:rsidR="00561B0E" w:rsidRPr="00C47350" w:rsidP="00C47350" w14:paraId="207B7417" w14:textId="77777777">
            <w:pPr>
              <w:pStyle w:val="Style1"/>
              <w:jc w:val="center"/>
              <w:rPr>
                <w:sz w:val="20"/>
                <w:szCs w:val="20"/>
              </w:rPr>
            </w:pPr>
          </w:p>
        </w:tc>
      </w:tr>
      <w:tr w14:paraId="207B741D" w14:textId="77777777" w:rsidTr="00C47350">
        <w:tblPrEx>
          <w:tblW w:w="9900" w:type="dxa"/>
          <w:tblInd w:w="-275" w:type="dxa"/>
          <w:tblLook w:val="04A0"/>
        </w:tblPrEx>
        <w:tc>
          <w:tcPr>
            <w:tcW w:w="2340" w:type="dxa"/>
            <w:vMerge/>
            <w:vAlign w:val="center"/>
          </w:tcPr>
          <w:p w:rsidR="00561B0E" w:rsidRPr="00C47350" w:rsidP="00C47350" w14:paraId="207B7419" w14:textId="77777777">
            <w:pPr>
              <w:pStyle w:val="Style1"/>
              <w:jc w:val="center"/>
              <w:rPr>
                <w:sz w:val="20"/>
                <w:szCs w:val="20"/>
              </w:rPr>
            </w:pPr>
          </w:p>
        </w:tc>
        <w:tc>
          <w:tcPr>
            <w:tcW w:w="1980" w:type="dxa"/>
            <w:vMerge/>
            <w:vAlign w:val="center"/>
          </w:tcPr>
          <w:p w:rsidR="00561B0E" w:rsidRPr="00C47350" w:rsidP="00C47350" w14:paraId="207B741A" w14:textId="77777777">
            <w:pPr>
              <w:pStyle w:val="Style1"/>
              <w:jc w:val="center"/>
              <w:rPr>
                <w:sz w:val="20"/>
                <w:szCs w:val="20"/>
              </w:rPr>
            </w:pPr>
          </w:p>
        </w:tc>
        <w:tc>
          <w:tcPr>
            <w:tcW w:w="3129" w:type="dxa"/>
            <w:vAlign w:val="center"/>
          </w:tcPr>
          <w:p w:rsidR="00561B0E" w:rsidRPr="00C47350" w:rsidP="00C47350" w14:paraId="207B741B" w14:textId="77777777">
            <w:pPr>
              <w:pStyle w:val="Style1"/>
              <w:jc w:val="center"/>
              <w:rPr>
                <w:sz w:val="20"/>
                <w:szCs w:val="20"/>
              </w:rPr>
            </w:pPr>
            <w:r w:rsidRPr="00C47350">
              <w:rPr>
                <w:sz w:val="20"/>
                <w:szCs w:val="20"/>
              </w:rPr>
              <w:t>6y: 35-45</w:t>
            </w:r>
          </w:p>
        </w:tc>
        <w:tc>
          <w:tcPr>
            <w:tcW w:w="2451" w:type="dxa"/>
            <w:vMerge/>
            <w:vAlign w:val="center"/>
          </w:tcPr>
          <w:p w:rsidR="00561B0E" w:rsidRPr="00C47350" w:rsidP="00C47350" w14:paraId="207B741C" w14:textId="77777777">
            <w:pPr>
              <w:pStyle w:val="Style1"/>
              <w:jc w:val="center"/>
              <w:rPr>
                <w:sz w:val="20"/>
                <w:szCs w:val="20"/>
              </w:rPr>
            </w:pPr>
          </w:p>
        </w:tc>
      </w:tr>
      <w:tr w14:paraId="207B7422" w14:textId="77777777" w:rsidTr="00C47350">
        <w:tblPrEx>
          <w:tblW w:w="9900" w:type="dxa"/>
          <w:tblInd w:w="-275" w:type="dxa"/>
          <w:tblLook w:val="04A0"/>
        </w:tblPrEx>
        <w:tc>
          <w:tcPr>
            <w:tcW w:w="2340" w:type="dxa"/>
            <w:vMerge/>
            <w:vAlign w:val="center"/>
          </w:tcPr>
          <w:p w:rsidR="00561B0E" w:rsidRPr="00C47350" w:rsidP="00C47350" w14:paraId="207B741E" w14:textId="77777777">
            <w:pPr>
              <w:pStyle w:val="Style1"/>
              <w:jc w:val="center"/>
              <w:rPr>
                <w:sz w:val="20"/>
                <w:szCs w:val="20"/>
              </w:rPr>
            </w:pPr>
          </w:p>
        </w:tc>
        <w:tc>
          <w:tcPr>
            <w:tcW w:w="1980" w:type="dxa"/>
            <w:vMerge/>
            <w:vAlign w:val="center"/>
          </w:tcPr>
          <w:p w:rsidR="00561B0E" w:rsidRPr="00C47350" w:rsidP="00C47350" w14:paraId="207B741F" w14:textId="77777777">
            <w:pPr>
              <w:pStyle w:val="Style1"/>
              <w:jc w:val="center"/>
              <w:rPr>
                <w:sz w:val="20"/>
                <w:szCs w:val="20"/>
              </w:rPr>
            </w:pPr>
          </w:p>
        </w:tc>
        <w:tc>
          <w:tcPr>
            <w:tcW w:w="3129" w:type="dxa"/>
            <w:vAlign w:val="center"/>
          </w:tcPr>
          <w:p w:rsidR="00561B0E" w:rsidRPr="00C47350" w:rsidP="00C47350" w14:paraId="207B7420" w14:textId="77777777">
            <w:pPr>
              <w:pStyle w:val="Style1"/>
              <w:jc w:val="center"/>
              <w:rPr>
                <w:sz w:val="20"/>
                <w:szCs w:val="20"/>
              </w:rPr>
            </w:pPr>
            <w:r w:rsidRPr="00C47350">
              <w:rPr>
                <w:sz w:val="20"/>
                <w:szCs w:val="20"/>
              </w:rPr>
              <w:t>2y: 34-40</w:t>
            </w:r>
          </w:p>
        </w:tc>
        <w:tc>
          <w:tcPr>
            <w:tcW w:w="2451" w:type="dxa"/>
            <w:vMerge/>
            <w:vAlign w:val="center"/>
          </w:tcPr>
          <w:p w:rsidR="00561B0E" w:rsidRPr="00C47350" w:rsidP="00C47350" w14:paraId="207B7421" w14:textId="77777777">
            <w:pPr>
              <w:pStyle w:val="Style1"/>
              <w:jc w:val="center"/>
              <w:rPr>
                <w:sz w:val="20"/>
                <w:szCs w:val="20"/>
              </w:rPr>
            </w:pPr>
          </w:p>
        </w:tc>
      </w:tr>
      <w:tr w14:paraId="207B7427" w14:textId="77777777" w:rsidTr="00C47350">
        <w:tblPrEx>
          <w:tblW w:w="9900" w:type="dxa"/>
          <w:tblInd w:w="-275" w:type="dxa"/>
          <w:tblLook w:val="04A0"/>
        </w:tblPrEx>
        <w:tc>
          <w:tcPr>
            <w:tcW w:w="2340" w:type="dxa"/>
            <w:vMerge/>
            <w:vAlign w:val="center"/>
          </w:tcPr>
          <w:p w:rsidR="00561B0E" w:rsidRPr="00C47350" w:rsidP="00C47350" w14:paraId="207B7423" w14:textId="77777777">
            <w:pPr>
              <w:pStyle w:val="Style1"/>
              <w:jc w:val="center"/>
              <w:rPr>
                <w:sz w:val="20"/>
                <w:szCs w:val="20"/>
              </w:rPr>
            </w:pPr>
          </w:p>
        </w:tc>
        <w:tc>
          <w:tcPr>
            <w:tcW w:w="1980" w:type="dxa"/>
            <w:vMerge/>
            <w:vAlign w:val="center"/>
          </w:tcPr>
          <w:p w:rsidR="00561B0E" w:rsidRPr="00C47350" w:rsidP="00C47350" w14:paraId="207B7424" w14:textId="77777777">
            <w:pPr>
              <w:pStyle w:val="Style1"/>
              <w:jc w:val="center"/>
              <w:rPr>
                <w:sz w:val="20"/>
                <w:szCs w:val="20"/>
              </w:rPr>
            </w:pPr>
          </w:p>
        </w:tc>
        <w:tc>
          <w:tcPr>
            <w:tcW w:w="3129" w:type="dxa"/>
            <w:vAlign w:val="center"/>
          </w:tcPr>
          <w:p w:rsidR="00561B0E" w:rsidRPr="00C47350" w:rsidP="00C47350" w14:paraId="207B7425" w14:textId="77777777">
            <w:pPr>
              <w:pStyle w:val="Style1"/>
              <w:jc w:val="center"/>
              <w:rPr>
                <w:sz w:val="20"/>
                <w:szCs w:val="20"/>
              </w:rPr>
            </w:pPr>
            <w:r w:rsidRPr="00C47350">
              <w:rPr>
                <w:sz w:val="20"/>
                <w:szCs w:val="20"/>
              </w:rPr>
              <w:t>6m: 33-39</w:t>
            </w:r>
          </w:p>
        </w:tc>
        <w:tc>
          <w:tcPr>
            <w:tcW w:w="2451" w:type="dxa"/>
            <w:vMerge/>
            <w:vAlign w:val="center"/>
          </w:tcPr>
          <w:p w:rsidR="00561B0E" w:rsidRPr="00C47350" w:rsidP="00C47350" w14:paraId="207B7426" w14:textId="77777777">
            <w:pPr>
              <w:pStyle w:val="Style1"/>
              <w:jc w:val="center"/>
              <w:rPr>
                <w:sz w:val="20"/>
                <w:szCs w:val="20"/>
              </w:rPr>
            </w:pPr>
          </w:p>
        </w:tc>
      </w:tr>
      <w:tr w14:paraId="207B742C" w14:textId="77777777" w:rsidTr="00C47350">
        <w:tblPrEx>
          <w:tblW w:w="9900" w:type="dxa"/>
          <w:tblInd w:w="-275" w:type="dxa"/>
          <w:tblLook w:val="04A0"/>
        </w:tblPrEx>
        <w:tc>
          <w:tcPr>
            <w:tcW w:w="2340" w:type="dxa"/>
            <w:vMerge/>
            <w:vAlign w:val="center"/>
          </w:tcPr>
          <w:p w:rsidR="00561B0E" w:rsidRPr="00C47350" w:rsidP="00C47350" w14:paraId="207B7428" w14:textId="77777777">
            <w:pPr>
              <w:pStyle w:val="Style1"/>
              <w:jc w:val="center"/>
              <w:rPr>
                <w:sz w:val="20"/>
                <w:szCs w:val="20"/>
              </w:rPr>
            </w:pPr>
          </w:p>
        </w:tc>
        <w:tc>
          <w:tcPr>
            <w:tcW w:w="1980" w:type="dxa"/>
            <w:vMerge/>
            <w:vAlign w:val="center"/>
          </w:tcPr>
          <w:p w:rsidR="00561B0E" w:rsidRPr="00C47350" w:rsidP="00C47350" w14:paraId="207B7429" w14:textId="77777777">
            <w:pPr>
              <w:pStyle w:val="Style1"/>
              <w:jc w:val="center"/>
              <w:rPr>
                <w:sz w:val="20"/>
                <w:szCs w:val="20"/>
              </w:rPr>
            </w:pPr>
          </w:p>
        </w:tc>
        <w:tc>
          <w:tcPr>
            <w:tcW w:w="3129" w:type="dxa"/>
            <w:vAlign w:val="center"/>
          </w:tcPr>
          <w:p w:rsidR="00561B0E" w:rsidRPr="00C47350" w:rsidP="00C47350" w14:paraId="207B742A" w14:textId="77777777">
            <w:pPr>
              <w:pStyle w:val="Style1"/>
              <w:jc w:val="center"/>
              <w:rPr>
                <w:sz w:val="20"/>
                <w:szCs w:val="20"/>
              </w:rPr>
            </w:pPr>
            <w:r w:rsidRPr="00C47350">
              <w:rPr>
                <w:sz w:val="20"/>
                <w:szCs w:val="20"/>
              </w:rPr>
              <w:t>3m: 29-41</w:t>
            </w:r>
          </w:p>
        </w:tc>
        <w:tc>
          <w:tcPr>
            <w:tcW w:w="2451" w:type="dxa"/>
            <w:vMerge/>
            <w:vAlign w:val="center"/>
          </w:tcPr>
          <w:p w:rsidR="00561B0E" w:rsidRPr="00C47350" w:rsidP="00C47350" w14:paraId="207B742B" w14:textId="77777777">
            <w:pPr>
              <w:pStyle w:val="Style1"/>
              <w:jc w:val="center"/>
              <w:rPr>
                <w:sz w:val="20"/>
                <w:szCs w:val="20"/>
              </w:rPr>
            </w:pPr>
          </w:p>
        </w:tc>
      </w:tr>
      <w:tr w14:paraId="207B7431" w14:textId="77777777" w:rsidTr="00C47350">
        <w:tblPrEx>
          <w:tblW w:w="9900" w:type="dxa"/>
          <w:tblInd w:w="-275" w:type="dxa"/>
          <w:tblLook w:val="04A0"/>
        </w:tblPrEx>
        <w:tc>
          <w:tcPr>
            <w:tcW w:w="2340" w:type="dxa"/>
            <w:vMerge/>
            <w:vAlign w:val="center"/>
          </w:tcPr>
          <w:p w:rsidR="00561B0E" w:rsidRPr="00C47350" w:rsidP="00C47350" w14:paraId="207B742D" w14:textId="77777777">
            <w:pPr>
              <w:pStyle w:val="Style1"/>
              <w:jc w:val="center"/>
              <w:rPr>
                <w:sz w:val="20"/>
                <w:szCs w:val="20"/>
              </w:rPr>
            </w:pPr>
          </w:p>
        </w:tc>
        <w:tc>
          <w:tcPr>
            <w:tcW w:w="1980" w:type="dxa"/>
            <w:vMerge/>
            <w:vAlign w:val="center"/>
          </w:tcPr>
          <w:p w:rsidR="00561B0E" w:rsidRPr="00C47350" w:rsidP="00C47350" w14:paraId="207B742E" w14:textId="77777777">
            <w:pPr>
              <w:pStyle w:val="Style1"/>
              <w:jc w:val="center"/>
              <w:rPr>
                <w:sz w:val="20"/>
                <w:szCs w:val="20"/>
              </w:rPr>
            </w:pPr>
          </w:p>
        </w:tc>
        <w:tc>
          <w:tcPr>
            <w:tcW w:w="3129" w:type="dxa"/>
            <w:vAlign w:val="center"/>
          </w:tcPr>
          <w:p w:rsidR="00561B0E" w:rsidRPr="00C47350" w:rsidP="00C47350" w14:paraId="207B742F" w14:textId="77777777">
            <w:pPr>
              <w:pStyle w:val="Style1"/>
              <w:jc w:val="center"/>
              <w:rPr>
                <w:sz w:val="20"/>
                <w:szCs w:val="20"/>
              </w:rPr>
            </w:pPr>
            <w:r w:rsidRPr="00C47350">
              <w:rPr>
                <w:sz w:val="20"/>
                <w:szCs w:val="20"/>
              </w:rPr>
              <w:t>2m: 28-42</w:t>
            </w:r>
          </w:p>
        </w:tc>
        <w:tc>
          <w:tcPr>
            <w:tcW w:w="2451" w:type="dxa"/>
            <w:vMerge/>
            <w:vAlign w:val="center"/>
          </w:tcPr>
          <w:p w:rsidR="00561B0E" w:rsidRPr="00C47350" w:rsidP="00C47350" w14:paraId="207B7430" w14:textId="77777777">
            <w:pPr>
              <w:pStyle w:val="Style1"/>
              <w:jc w:val="center"/>
              <w:rPr>
                <w:sz w:val="20"/>
                <w:szCs w:val="20"/>
              </w:rPr>
            </w:pPr>
          </w:p>
        </w:tc>
      </w:tr>
      <w:tr w14:paraId="207B7436" w14:textId="77777777" w:rsidTr="00C47350">
        <w:tblPrEx>
          <w:tblW w:w="9900" w:type="dxa"/>
          <w:tblInd w:w="-275" w:type="dxa"/>
          <w:tblLook w:val="04A0"/>
        </w:tblPrEx>
        <w:tc>
          <w:tcPr>
            <w:tcW w:w="2340" w:type="dxa"/>
            <w:vMerge/>
            <w:vAlign w:val="center"/>
          </w:tcPr>
          <w:p w:rsidR="00561B0E" w:rsidRPr="00C47350" w:rsidP="00C47350" w14:paraId="207B7432" w14:textId="77777777">
            <w:pPr>
              <w:pStyle w:val="Style1"/>
              <w:jc w:val="center"/>
              <w:rPr>
                <w:sz w:val="20"/>
                <w:szCs w:val="20"/>
              </w:rPr>
            </w:pPr>
          </w:p>
        </w:tc>
        <w:tc>
          <w:tcPr>
            <w:tcW w:w="1980" w:type="dxa"/>
            <w:vMerge/>
            <w:vAlign w:val="center"/>
          </w:tcPr>
          <w:p w:rsidR="00561B0E" w:rsidRPr="00C47350" w:rsidP="00C47350" w14:paraId="207B7433" w14:textId="77777777">
            <w:pPr>
              <w:pStyle w:val="Style1"/>
              <w:jc w:val="center"/>
              <w:rPr>
                <w:sz w:val="20"/>
                <w:szCs w:val="20"/>
              </w:rPr>
            </w:pPr>
          </w:p>
        </w:tc>
        <w:tc>
          <w:tcPr>
            <w:tcW w:w="3129" w:type="dxa"/>
            <w:vAlign w:val="center"/>
          </w:tcPr>
          <w:p w:rsidR="00561B0E" w:rsidRPr="00C47350" w:rsidP="00C47350" w14:paraId="207B7434" w14:textId="77777777">
            <w:pPr>
              <w:pStyle w:val="Style1"/>
              <w:jc w:val="center"/>
              <w:rPr>
                <w:sz w:val="20"/>
                <w:szCs w:val="20"/>
              </w:rPr>
            </w:pPr>
            <w:r w:rsidRPr="00C47350">
              <w:rPr>
                <w:sz w:val="20"/>
                <w:szCs w:val="20"/>
              </w:rPr>
              <w:t>1m: 31-55</w:t>
            </w:r>
          </w:p>
        </w:tc>
        <w:tc>
          <w:tcPr>
            <w:tcW w:w="2451" w:type="dxa"/>
            <w:vMerge/>
            <w:vAlign w:val="center"/>
          </w:tcPr>
          <w:p w:rsidR="00561B0E" w:rsidRPr="00C47350" w:rsidP="00C47350" w14:paraId="207B7435" w14:textId="77777777">
            <w:pPr>
              <w:pStyle w:val="Style1"/>
              <w:jc w:val="center"/>
              <w:rPr>
                <w:sz w:val="20"/>
                <w:szCs w:val="20"/>
              </w:rPr>
            </w:pPr>
          </w:p>
        </w:tc>
      </w:tr>
      <w:tr w14:paraId="207B743B" w14:textId="77777777" w:rsidTr="00C47350">
        <w:tblPrEx>
          <w:tblW w:w="9900" w:type="dxa"/>
          <w:tblInd w:w="-275" w:type="dxa"/>
          <w:tblLook w:val="04A0"/>
        </w:tblPrEx>
        <w:tc>
          <w:tcPr>
            <w:tcW w:w="2340" w:type="dxa"/>
            <w:vMerge/>
            <w:vAlign w:val="center"/>
          </w:tcPr>
          <w:p w:rsidR="00561B0E" w:rsidRPr="00C47350" w:rsidP="00C47350" w14:paraId="207B7437" w14:textId="77777777">
            <w:pPr>
              <w:pStyle w:val="Style1"/>
              <w:jc w:val="center"/>
              <w:rPr>
                <w:sz w:val="20"/>
                <w:szCs w:val="20"/>
              </w:rPr>
            </w:pPr>
          </w:p>
        </w:tc>
        <w:tc>
          <w:tcPr>
            <w:tcW w:w="1980" w:type="dxa"/>
            <w:vMerge/>
            <w:vAlign w:val="center"/>
          </w:tcPr>
          <w:p w:rsidR="00561B0E" w:rsidRPr="00C47350" w:rsidP="00C47350" w14:paraId="207B7438" w14:textId="77777777">
            <w:pPr>
              <w:pStyle w:val="Style1"/>
              <w:jc w:val="center"/>
              <w:rPr>
                <w:sz w:val="20"/>
                <w:szCs w:val="20"/>
              </w:rPr>
            </w:pPr>
          </w:p>
        </w:tc>
        <w:tc>
          <w:tcPr>
            <w:tcW w:w="3129" w:type="dxa"/>
            <w:vAlign w:val="center"/>
          </w:tcPr>
          <w:p w:rsidR="00561B0E" w:rsidRPr="00C47350" w:rsidP="00C47350" w14:paraId="207B7439" w14:textId="77777777">
            <w:pPr>
              <w:pStyle w:val="Style1"/>
              <w:jc w:val="center"/>
              <w:rPr>
                <w:sz w:val="20"/>
                <w:szCs w:val="20"/>
              </w:rPr>
            </w:pPr>
            <w:r w:rsidRPr="00C47350">
              <w:rPr>
                <w:sz w:val="20"/>
                <w:szCs w:val="20"/>
              </w:rPr>
              <w:t>14d: 39-63</w:t>
            </w:r>
          </w:p>
        </w:tc>
        <w:tc>
          <w:tcPr>
            <w:tcW w:w="2451" w:type="dxa"/>
            <w:vMerge/>
            <w:vAlign w:val="center"/>
          </w:tcPr>
          <w:p w:rsidR="00561B0E" w:rsidRPr="00C47350" w:rsidP="00C47350" w14:paraId="207B743A" w14:textId="77777777">
            <w:pPr>
              <w:pStyle w:val="Style1"/>
              <w:jc w:val="center"/>
              <w:rPr>
                <w:sz w:val="20"/>
                <w:szCs w:val="20"/>
              </w:rPr>
            </w:pPr>
          </w:p>
        </w:tc>
      </w:tr>
      <w:tr w14:paraId="207B7440" w14:textId="77777777" w:rsidTr="00C47350">
        <w:tblPrEx>
          <w:tblW w:w="9900" w:type="dxa"/>
          <w:tblInd w:w="-275" w:type="dxa"/>
          <w:tblLook w:val="04A0"/>
        </w:tblPrEx>
        <w:tc>
          <w:tcPr>
            <w:tcW w:w="2340" w:type="dxa"/>
            <w:vMerge/>
            <w:vAlign w:val="center"/>
          </w:tcPr>
          <w:p w:rsidR="00561B0E" w:rsidRPr="00C47350" w:rsidP="00C47350" w14:paraId="207B743C" w14:textId="77777777">
            <w:pPr>
              <w:pStyle w:val="Style1"/>
              <w:jc w:val="center"/>
              <w:rPr>
                <w:sz w:val="20"/>
                <w:szCs w:val="20"/>
              </w:rPr>
            </w:pPr>
          </w:p>
        </w:tc>
        <w:tc>
          <w:tcPr>
            <w:tcW w:w="1980" w:type="dxa"/>
            <w:vMerge/>
            <w:vAlign w:val="center"/>
          </w:tcPr>
          <w:p w:rsidR="00561B0E" w:rsidRPr="00C47350" w:rsidP="00C47350" w14:paraId="207B743D" w14:textId="77777777">
            <w:pPr>
              <w:pStyle w:val="Style1"/>
              <w:jc w:val="center"/>
              <w:rPr>
                <w:sz w:val="20"/>
                <w:szCs w:val="20"/>
              </w:rPr>
            </w:pPr>
          </w:p>
        </w:tc>
        <w:tc>
          <w:tcPr>
            <w:tcW w:w="3129" w:type="dxa"/>
            <w:vAlign w:val="center"/>
          </w:tcPr>
          <w:p w:rsidR="00561B0E" w:rsidRPr="00C47350" w:rsidP="00C47350" w14:paraId="207B743E" w14:textId="77777777">
            <w:pPr>
              <w:pStyle w:val="Style1"/>
              <w:jc w:val="center"/>
              <w:rPr>
                <w:sz w:val="20"/>
                <w:szCs w:val="20"/>
              </w:rPr>
            </w:pPr>
            <w:r w:rsidRPr="00C47350">
              <w:rPr>
                <w:sz w:val="20"/>
                <w:szCs w:val="20"/>
              </w:rPr>
              <w:t>7d: 42-66</w:t>
            </w:r>
          </w:p>
        </w:tc>
        <w:tc>
          <w:tcPr>
            <w:tcW w:w="2451" w:type="dxa"/>
            <w:vMerge/>
            <w:vAlign w:val="center"/>
          </w:tcPr>
          <w:p w:rsidR="00561B0E" w:rsidRPr="00C47350" w:rsidP="00C47350" w14:paraId="207B743F" w14:textId="77777777">
            <w:pPr>
              <w:pStyle w:val="Style1"/>
              <w:jc w:val="center"/>
              <w:rPr>
                <w:sz w:val="20"/>
                <w:szCs w:val="20"/>
              </w:rPr>
            </w:pPr>
          </w:p>
        </w:tc>
      </w:tr>
      <w:tr w14:paraId="207B7445" w14:textId="77777777" w:rsidTr="00C47350">
        <w:tblPrEx>
          <w:tblW w:w="9900" w:type="dxa"/>
          <w:tblInd w:w="-275" w:type="dxa"/>
          <w:tblLook w:val="04A0"/>
        </w:tblPrEx>
        <w:tc>
          <w:tcPr>
            <w:tcW w:w="2340" w:type="dxa"/>
            <w:vMerge/>
            <w:vAlign w:val="center"/>
          </w:tcPr>
          <w:p w:rsidR="00561B0E" w:rsidRPr="00C47350" w:rsidP="00C47350" w14:paraId="207B7441" w14:textId="77777777">
            <w:pPr>
              <w:pStyle w:val="Style1"/>
              <w:jc w:val="center"/>
              <w:rPr>
                <w:sz w:val="20"/>
                <w:szCs w:val="20"/>
              </w:rPr>
            </w:pPr>
          </w:p>
        </w:tc>
        <w:tc>
          <w:tcPr>
            <w:tcW w:w="1980" w:type="dxa"/>
            <w:vMerge/>
            <w:vAlign w:val="center"/>
          </w:tcPr>
          <w:p w:rsidR="00561B0E" w:rsidRPr="00C47350" w:rsidP="00C47350" w14:paraId="207B7442" w14:textId="77777777">
            <w:pPr>
              <w:pStyle w:val="Style1"/>
              <w:jc w:val="center"/>
              <w:rPr>
                <w:sz w:val="20"/>
                <w:szCs w:val="20"/>
              </w:rPr>
            </w:pPr>
          </w:p>
        </w:tc>
        <w:tc>
          <w:tcPr>
            <w:tcW w:w="3129" w:type="dxa"/>
            <w:vAlign w:val="center"/>
          </w:tcPr>
          <w:p w:rsidR="00561B0E" w:rsidRPr="00C47350" w:rsidP="00C47350" w14:paraId="207B7443" w14:textId="77777777">
            <w:pPr>
              <w:pStyle w:val="Style1"/>
              <w:jc w:val="center"/>
              <w:rPr>
                <w:sz w:val="20"/>
                <w:szCs w:val="20"/>
              </w:rPr>
            </w:pPr>
            <w:r w:rsidRPr="00C47350">
              <w:rPr>
                <w:sz w:val="20"/>
                <w:szCs w:val="20"/>
              </w:rPr>
              <w:t>1d: 45-67</w:t>
            </w:r>
          </w:p>
        </w:tc>
        <w:tc>
          <w:tcPr>
            <w:tcW w:w="2451" w:type="dxa"/>
            <w:vMerge/>
            <w:vAlign w:val="center"/>
          </w:tcPr>
          <w:p w:rsidR="00561B0E" w:rsidRPr="00C47350" w:rsidP="00C47350" w14:paraId="207B7444" w14:textId="77777777">
            <w:pPr>
              <w:pStyle w:val="Style1"/>
              <w:jc w:val="center"/>
              <w:rPr>
                <w:sz w:val="20"/>
                <w:szCs w:val="20"/>
              </w:rPr>
            </w:pPr>
          </w:p>
        </w:tc>
      </w:tr>
      <w:tr w14:paraId="207B744A" w14:textId="77777777" w:rsidTr="00C47350">
        <w:tblPrEx>
          <w:tblW w:w="9900" w:type="dxa"/>
          <w:tblInd w:w="-275" w:type="dxa"/>
          <w:tblLook w:val="04A0"/>
        </w:tblPrEx>
        <w:tc>
          <w:tcPr>
            <w:tcW w:w="2340" w:type="dxa"/>
            <w:vMerge/>
            <w:vAlign w:val="center"/>
          </w:tcPr>
          <w:p w:rsidR="00561B0E" w:rsidRPr="00C47350" w:rsidP="00C47350" w14:paraId="207B7446" w14:textId="77777777">
            <w:pPr>
              <w:pStyle w:val="Style1"/>
              <w:jc w:val="center"/>
              <w:rPr>
                <w:sz w:val="20"/>
                <w:szCs w:val="20"/>
              </w:rPr>
            </w:pPr>
          </w:p>
        </w:tc>
        <w:tc>
          <w:tcPr>
            <w:tcW w:w="1980" w:type="dxa"/>
            <w:vMerge/>
            <w:vAlign w:val="center"/>
          </w:tcPr>
          <w:p w:rsidR="00561B0E" w:rsidRPr="00C47350" w:rsidP="00C47350" w14:paraId="207B7447" w14:textId="77777777">
            <w:pPr>
              <w:pStyle w:val="Style1"/>
              <w:jc w:val="center"/>
              <w:rPr>
                <w:sz w:val="20"/>
                <w:szCs w:val="20"/>
              </w:rPr>
            </w:pPr>
          </w:p>
        </w:tc>
        <w:tc>
          <w:tcPr>
            <w:tcW w:w="3129" w:type="dxa"/>
            <w:vAlign w:val="center"/>
          </w:tcPr>
          <w:p w:rsidR="00561B0E" w:rsidRPr="00C47350" w:rsidP="00C47350" w14:paraId="207B7448" w14:textId="77777777">
            <w:pPr>
              <w:pStyle w:val="Style1"/>
              <w:jc w:val="center"/>
              <w:rPr>
                <w:sz w:val="20"/>
                <w:szCs w:val="20"/>
              </w:rPr>
            </w:pPr>
            <w:r w:rsidRPr="00C47350">
              <w:rPr>
                <w:sz w:val="20"/>
                <w:szCs w:val="20"/>
              </w:rPr>
              <w:t>0d: 42-60</w:t>
            </w:r>
          </w:p>
        </w:tc>
        <w:tc>
          <w:tcPr>
            <w:tcW w:w="2451" w:type="dxa"/>
            <w:vMerge/>
            <w:vAlign w:val="center"/>
          </w:tcPr>
          <w:p w:rsidR="00561B0E" w:rsidRPr="00C47350" w:rsidP="00C47350" w14:paraId="207B7449" w14:textId="77777777">
            <w:pPr>
              <w:pStyle w:val="Style1"/>
              <w:jc w:val="center"/>
              <w:rPr>
                <w:sz w:val="20"/>
                <w:szCs w:val="20"/>
              </w:rPr>
            </w:pPr>
          </w:p>
        </w:tc>
      </w:tr>
      <w:tr w14:paraId="207B744F" w14:textId="77777777" w:rsidTr="00C47350">
        <w:tblPrEx>
          <w:tblW w:w="9900" w:type="dxa"/>
          <w:tblInd w:w="-275" w:type="dxa"/>
          <w:tblLook w:val="04A0"/>
        </w:tblPrEx>
        <w:tc>
          <w:tcPr>
            <w:tcW w:w="2340" w:type="dxa"/>
            <w:vMerge w:val="restart"/>
            <w:vAlign w:val="center"/>
          </w:tcPr>
          <w:p w:rsidR="00C47350" w:rsidRPr="00C47350" w:rsidP="00C47350" w14:paraId="3A6FB465" w14:textId="77777777">
            <w:pPr>
              <w:pStyle w:val="Style1"/>
              <w:jc w:val="center"/>
              <w:rPr>
                <w:b/>
                <w:sz w:val="20"/>
                <w:szCs w:val="20"/>
              </w:rPr>
            </w:pPr>
            <w:r w:rsidRPr="00C47350">
              <w:rPr>
                <w:b/>
                <w:sz w:val="20"/>
                <w:szCs w:val="20"/>
              </w:rPr>
              <w:t>Hemoglobin</w:t>
            </w:r>
          </w:p>
          <w:p w:rsidR="00240306" w:rsidRPr="00C47350" w:rsidP="00C47350" w14:paraId="207B744B" w14:textId="51474B44">
            <w:pPr>
              <w:pStyle w:val="Style1"/>
              <w:jc w:val="center"/>
              <w:rPr>
                <w:sz w:val="20"/>
                <w:szCs w:val="20"/>
              </w:rPr>
            </w:pPr>
            <w:r>
              <w:rPr>
                <w:sz w:val="20"/>
                <w:szCs w:val="20"/>
              </w:rPr>
              <w:t>(</w:t>
            </w:r>
            <w:r w:rsidRPr="00C47350">
              <w:rPr>
                <w:sz w:val="20"/>
                <w:szCs w:val="20"/>
              </w:rPr>
              <w:t>Male</w:t>
            </w:r>
            <w:r>
              <w:rPr>
                <w:sz w:val="20"/>
                <w:szCs w:val="20"/>
              </w:rPr>
              <w:t>)</w:t>
            </w:r>
          </w:p>
        </w:tc>
        <w:tc>
          <w:tcPr>
            <w:tcW w:w="1980" w:type="dxa"/>
            <w:vMerge w:val="restart"/>
            <w:vAlign w:val="center"/>
          </w:tcPr>
          <w:p w:rsidR="00240306" w:rsidRPr="00C47350" w:rsidP="00C47350" w14:paraId="207B744C" w14:textId="77777777">
            <w:pPr>
              <w:pStyle w:val="Style1"/>
              <w:jc w:val="center"/>
              <w:rPr>
                <w:sz w:val="20"/>
                <w:szCs w:val="20"/>
              </w:rPr>
            </w:pPr>
            <w:r w:rsidRPr="00C47350">
              <w:rPr>
                <w:sz w:val="20"/>
                <w:szCs w:val="20"/>
              </w:rPr>
              <w:t>g/dL</w:t>
            </w:r>
          </w:p>
        </w:tc>
        <w:tc>
          <w:tcPr>
            <w:tcW w:w="3129" w:type="dxa"/>
            <w:vAlign w:val="center"/>
          </w:tcPr>
          <w:p w:rsidR="00240306" w:rsidRPr="00C47350" w:rsidP="00C47350" w14:paraId="207B744D" w14:textId="09D115C2">
            <w:pPr>
              <w:pStyle w:val="Style1"/>
              <w:jc w:val="center"/>
              <w:rPr>
                <w:sz w:val="20"/>
                <w:szCs w:val="20"/>
              </w:rPr>
            </w:pPr>
            <w:r w:rsidRPr="00C47350">
              <w:rPr>
                <w:sz w:val="20"/>
                <w:szCs w:val="20"/>
              </w:rPr>
              <w:t>18y: 14-1</w:t>
            </w:r>
            <w:r w:rsidR="00886A5A">
              <w:rPr>
                <w:sz w:val="20"/>
                <w:szCs w:val="20"/>
              </w:rPr>
              <w:t>7.5</w:t>
            </w:r>
          </w:p>
        </w:tc>
        <w:tc>
          <w:tcPr>
            <w:tcW w:w="2451" w:type="dxa"/>
            <w:vMerge w:val="restart"/>
            <w:vAlign w:val="center"/>
          </w:tcPr>
          <w:p w:rsidR="00240306" w:rsidRPr="00C47350" w:rsidP="00C47350" w14:paraId="207B744E" w14:textId="77777777">
            <w:pPr>
              <w:pStyle w:val="Style1"/>
              <w:jc w:val="center"/>
              <w:rPr>
                <w:sz w:val="20"/>
                <w:szCs w:val="20"/>
              </w:rPr>
            </w:pPr>
            <w:r w:rsidRPr="00C47350">
              <w:rPr>
                <w:sz w:val="20"/>
                <w:szCs w:val="20"/>
              </w:rPr>
              <w:t>5.1-25.5</w:t>
            </w:r>
          </w:p>
        </w:tc>
      </w:tr>
      <w:tr w14:paraId="207B7454" w14:textId="77777777" w:rsidTr="00C47350">
        <w:tblPrEx>
          <w:tblW w:w="9900" w:type="dxa"/>
          <w:tblInd w:w="-275" w:type="dxa"/>
          <w:tblLook w:val="04A0"/>
        </w:tblPrEx>
        <w:tc>
          <w:tcPr>
            <w:tcW w:w="2340" w:type="dxa"/>
            <w:vMerge/>
            <w:vAlign w:val="center"/>
          </w:tcPr>
          <w:p w:rsidR="00240306" w:rsidRPr="00C47350" w:rsidP="00C47350" w14:paraId="207B7450" w14:textId="77777777">
            <w:pPr>
              <w:pStyle w:val="Style1"/>
              <w:jc w:val="center"/>
              <w:rPr>
                <w:sz w:val="20"/>
                <w:szCs w:val="20"/>
              </w:rPr>
            </w:pPr>
          </w:p>
        </w:tc>
        <w:tc>
          <w:tcPr>
            <w:tcW w:w="1980" w:type="dxa"/>
            <w:vMerge/>
            <w:vAlign w:val="center"/>
          </w:tcPr>
          <w:p w:rsidR="00240306" w:rsidRPr="00C47350" w:rsidP="00C47350" w14:paraId="207B7451" w14:textId="77777777">
            <w:pPr>
              <w:pStyle w:val="Style1"/>
              <w:jc w:val="center"/>
              <w:rPr>
                <w:sz w:val="20"/>
                <w:szCs w:val="20"/>
              </w:rPr>
            </w:pPr>
          </w:p>
        </w:tc>
        <w:tc>
          <w:tcPr>
            <w:tcW w:w="3129" w:type="dxa"/>
            <w:vAlign w:val="center"/>
          </w:tcPr>
          <w:p w:rsidR="00240306" w:rsidRPr="00C47350" w:rsidP="00C47350" w14:paraId="207B7452" w14:textId="77777777">
            <w:pPr>
              <w:pStyle w:val="Style1"/>
              <w:jc w:val="center"/>
              <w:rPr>
                <w:sz w:val="20"/>
                <w:szCs w:val="20"/>
              </w:rPr>
            </w:pPr>
            <w:r w:rsidRPr="00C47350">
              <w:rPr>
                <w:sz w:val="20"/>
                <w:szCs w:val="20"/>
              </w:rPr>
              <w:t>12y: 13-16</w:t>
            </w:r>
          </w:p>
        </w:tc>
        <w:tc>
          <w:tcPr>
            <w:tcW w:w="2451" w:type="dxa"/>
            <w:vMerge/>
            <w:vAlign w:val="center"/>
          </w:tcPr>
          <w:p w:rsidR="00240306" w:rsidRPr="00C47350" w:rsidP="00C47350" w14:paraId="207B7453" w14:textId="77777777">
            <w:pPr>
              <w:pStyle w:val="Style1"/>
              <w:jc w:val="center"/>
              <w:rPr>
                <w:sz w:val="20"/>
                <w:szCs w:val="20"/>
              </w:rPr>
            </w:pPr>
          </w:p>
        </w:tc>
      </w:tr>
      <w:tr w14:paraId="207B7459" w14:textId="77777777" w:rsidTr="00C47350">
        <w:tblPrEx>
          <w:tblW w:w="9900" w:type="dxa"/>
          <w:tblInd w:w="-275" w:type="dxa"/>
          <w:tblLook w:val="04A0"/>
        </w:tblPrEx>
        <w:tc>
          <w:tcPr>
            <w:tcW w:w="2340" w:type="dxa"/>
            <w:vMerge/>
            <w:vAlign w:val="center"/>
          </w:tcPr>
          <w:p w:rsidR="00240306" w:rsidRPr="00C47350" w:rsidP="00C47350" w14:paraId="207B7455" w14:textId="77777777">
            <w:pPr>
              <w:pStyle w:val="Style1"/>
              <w:jc w:val="center"/>
              <w:rPr>
                <w:sz w:val="20"/>
                <w:szCs w:val="20"/>
              </w:rPr>
            </w:pPr>
          </w:p>
        </w:tc>
        <w:tc>
          <w:tcPr>
            <w:tcW w:w="1980" w:type="dxa"/>
            <w:vMerge/>
            <w:vAlign w:val="center"/>
          </w:tcPr>
          <w:p w:rsidR="00240306" w:rsidRPr="00C47350" w:rsidP="00C47350" w14:paraId="207B7456" w14:textId="77777777">
            <w:pPr>
              <w:pStyle w:val="Style1"/>
              <w:jc w:val="center"/>
              <w:rPr>
                <w:sz w:val="20"/>
                <w:szCs w:val="20"/>
              </w:rPr>
            </w:pPr>
          </w:p>
        </w:tc>
        <w:tc>
          <w:tcPr>
            <w:tcW w:w="3129" w:type="dxa"/>
            <w:vAlign w:val="center"/>
          </w:tcPr>
          <w:p w:rsidR="00240306" w:rsidRPr="00C47350" w:rsidP="00C47350" w14:paraId="207B7457" w14:textId="690FD2C4">
            <w:pPr>
              <w:pStyle w:val="Style1"/>
              <w:jc w:val="center"/>
              <w:rPr>
                <w:sz w:val="20"/>
                <w:szCs w:val="20"/>
              </w:rPr>
            </w:pPr>
            <w:r w:rsidRPr="00C47350">
              <w:rPr>
                <w:sz w:val="20"/>
                <w:szCs w:val="20"/>
              </w:rPr>
              <w:t>6y: 11.5-1</w:t>
            </w:r>
            <w:r w:rsidR="00886A5A">
              <w:rPr>
                <w:sz w:val="20"/>
                <w:szCs w:val="20"/>
              </w:rPr>
              <w:t>6</w:t>
            </w:r>
            <w:r w:rsidRPr="00C47350">
              <w:rPr>
                <w:sz w:val="20"/>
                <w:szCs w:val="20"/>
              </w:rPr>
              <w:t>.5</w:t>
            </w:r>
          </w:p>
        </w:tc>
        <w:tc>
          <w:tcPr>
            <w:tcW w:w="2451" w:type="dxa"/>
            <w:vMerge/>
            <w:vAlign w:val="center"/>
          </w:tcPr>
          <w:p w:rsidR="00240306" w:rsidRPr="00C47350" w:rsidP="00C47350" w14:paraId="207B7458" w14:textId="77777777">
            <w:pPr>
              <w:pStyle w:val="Style1"/>
              <w:jc w:val="center"/>
              <w:rPr>
                <w:sz w:val="20"/>
                <w:szCs w:val="20"/>
              </w:rPr>
            </w:pPr>
          </w:p>
        </w:tc>
      </w:tr>
      <w:tr w14:paraId="207B745E" w14:textId="77777777" w:rsidTr="00C47350">
        <w:tblPrEx>
          <w:tblW w:w="9900" w:type="dxa"/>
          <w:tblInd w:w="-275" w:type="dxa"/>
          <w:tblLook w:val="04A0"/>
        </w:tblPrEx>
        <w:tc>
          <w:tcPr>
            <w:tcW w:w="2340" w:type="dxa"/>
            <w:vMerge/>
            <w:vAlign w:val="center"/>
          </w:tcPr>
          <w:p w:rsidR="00240306" w:rsidRPr="00C47350" w:rsidP="00C47350" w14:paraId="207B745A" w14:textId="77777777">
            <w:pPr>
              <w:pStyle w:val="Style1"/>
              <w:jc w:val="center"/>
              <w:rPr>
                <w:sz w:val="20"/>
                <w:szCs w:val="20"/>
              </w:rPr>
            </w:pPr>
          </w:p>
        </w:tc>
        <w:tc>
          <w:tcPr>
            <w:tcW w:w="1980" w:type="dxa"/>
            <w:vMerge/>
            <w:vAlign w:val="center"/>
          </w:tcPr>
          <w:p w:rsidR="00240306" w:rsidRPr="00C47350" w:rsidP="00C47350" w14:paraId="207B745B" w14:textId="77777777">
            <w:pPr>
              <w:pStyle w:val="Style1"/>
              <w:jc w:val="center"/>
              <w:rPr>
                <w:sz w:val="20"/>
                <w:szCs w:val="20"/>
              </w:rPr>
            </w:pPr>
          </w:p>
        </w:tc>
        <w:tc>
          <w:tcPr>
            <w:tcW w:w="3129" w:type="dxa"/>
            <w:vAlign w:val="center"/>
          </w:tcPr>
          <w:p w:rsidR="00240306" w:rsidRPr="00C47350" w:rsidP="00C47350" w14:paraId="207B745C" w14:textId="77777777">
            <w:pPr>
              <w:pStyle w:val="Style1"/>
              <w:jc w:val="center"/>
              <w:rPr>
                <w:sz w:val="20"/>
                <w:szCs w:val="20"/>
              </w:rPr>
            </w:pPr>
            <w:r w:rsidRPr="00C47350">
              <w:rPr>
                <w:sz w:val="20"/>
                <w:szCs w:val="20"/>
              </w:rPr>
              <w:t>2y: 11.5-13.5</w:t>
            </w:r>
          </w:p>
        </w:tc>
        <w:tc>
          <w:tcPr>
            <w:tcW w:w="2451" w:type="dxa"/>
            <w:vMerge/>
            <w:vAlign w:val="center"/>
          </w:tcPr>
          <w:p w:rsidR="00240306" w:rsidRPr="00C47350" w:rsidP="00C47350" w14:paraId="207B745D" w14:textId="77777777">
            <w:pPr>
              <w:pStyle w:val="Style1"/>
              <w:jc w:val="center"/>
              <w:rPr>
                <w:sz w:val="20"/>
                <w:szCs w:val="20"/>
              </w:rPr>
            </w:pPr>
          </w:p>
        </w:tc>
      </w:tr>
      <w:tr w14:paraId="207B7463" w14:textId="77777777" w:rsidTr="00C47350">
        <w:tblPrEx>
          <w:tblW w:w="9900" w:type="dxa"/>
          <w:tblInd w:w="-275" w:type="dxa"/>
          <w:tblLook w:val="04A0"/>
        </w:tblPrEx>
        <w:tc>
          <w:tcPr>
            <w:tcW w:w="2340" w:type="dxa"/>
            <w:vMerge/>
            <w:vAlign w:val="center"/>
          </w:tcPr>
          <w:p w:rsidR="00240306" w:rsidRPr="00C47350" w:rsidP="00C47350" w14:paraId="207B745F" w14:textId="77777777">
            <w:pPr>
              <w:pStyle w:val="Style1"/>
              <w:jc w:val="center"/>
              <w:rPr>
                <w:sz w:val="20"/>
                <w:szCs w:val="20"/>
              </w:rPr>
            </w:pPr>
          </w:p>
        </w:tc>
        <w:tc>
          <w:tcPr>
            <w:tcW w:w="1980" w:type="dxa"/>
            <w:vMerge/>
            <w:vAlign w:val="center"/>
          </w:tcPr>
          <w:p w:rsidR="00240306" w:rsidRPr="00C47350" w:rsidP="00C47350" w14:paraId="207B7460" w14:textId="77777777">
            <w:pPr>
              <w:pStyle w:val="Style1"/>
              <w:jc w:val="center"/>
              <w:rPr>
                <w:sz w:val="20"/>
                <w:szCs w:val="20"/>
              </w:rPr>
            </w:pPr>
          </w:p>
        </w:tc>
        <w:tc>
          <w:tcPr>
            <w:tcW w:w="3129" w:type="dxa"/>
            <w:vAlign w:val="center"/>
          </w:tcPr>
          <w:p w:rsidR="00240306" w:rsidRPr="00C47350" w:rsidP="00C47350" w14:paraId="207B7461" w14:textId="77777777">
            <w:pPr>
              <w:pStyle w:val="Style1"/>
              <w:jc w:val="center"/>
              <w:rPr>
                <w:sz w:val="20"/>
                <w:szCs w:val="20"/>
              </w:rPr>
            </w:pPr>
            <w:r w:rsidRPr="00C47350">
              <w:rPr>
                <w:sz w:val="20"/>
                <w:szCs w:val="20"/>
              </w:rPr>
              <w:t>6m: 10.5-13.5</w:t>
            </w:r>
          </w:p>
        </w:tc>
        <w:tc>
          <w:tcPr>
            <w:tcW w:w="2451" w:type="dxa"/>
            <w:vMerge/>
            <w:vAlign w:val="center"/>
          </w:tcPr>
          <w:p w:rsidR="00240306" w:rsidRPr="00C47350" w:rsidP="00C47350" w14:paraId="207B7462" w14:textId="77777777">
            <w:pPr>
              <w:pStyle w:val="Style1"/>
              <w:jc w:val="center"/>
              <w:rPr>
                <w:sz w:val="20"/>
                <w:szCs w:val="20"/>
              </w:rPr>
            </w:pPr>
          </w:p>
        </w:tc>
      </w:tr>
      <w:tr w14:paraId="207B7468" w14:textId="77777777" w:rsidTr="00C47350">
        <w:tblPrEx>
          <w:tblW w:w="9900" w:type="dxa"/>
          <w:tblInd w:w="-275" w:type="dxa"/>
          <w:tblLook w:val="04A0"/>
        </w:tblPrEx>
        <w:tc>
          <w:tcPr>
            <w:tcW w:w="2340" w:type="dxa"/>
            <w:vMerge/>
            <w:vAlign w:val="center"/>
          </w:tcPr>
          <w:p w:rsidR="00240306" w:rsidRPr="00C47350" w:rsidP="00C47350" w14:paraId="207B7464" w14:textId="77777777">
            <w:pPr>
              <w:pStyle w:val="Style1"/>
              <w:jc w:val="center"/>
              <w:rPr>
                <w:sz w:val="20"/>
                <w:szCs w:val="20"/>
              </w:rPr>
            </w:pPr>
          </w:p>
        </w:tc>
        <w:tc>
          <w:tcPr>
            <w:tcW w:w="1980" w:type="dxa"/>
            <w:vMerge/>
            <w:vAlign w:val="center"/>
          </w:tcPr>
          <w:p w:rsidR="00240306" w:rsidRPr="00C47350" w:rsidP="00C47350" w14:paraId="207B7465" w14:textId="77777777">
            <w:pPr>
              <w:pStyle w:val="Style1"/>
              <w:jc w:val="center"/>
              <w:rPr>
                <w:sz w:val="20"/>
                <w:szCs w:val="20"/>
              </w:rPr>
            </w:pPr>
          </w:p>
        </w:tc>
        <w:tc>
          <w:tcPr>
            <w:tcW w:w="3129" w:type="dxa"/>
            <w:vAlign w:val="center"/>
          </w:tcPr>
          <w:p w:rsidR="00240306" w:rsidRPr="00C47350" w:rsidP="00C47350" w14:paraId="207B7466" w14:textId="77777777">
            <w:pPr>
              <w:pStyle w:val="Style1"/>
              <w:jc w:val="center"/>
              <w:rPr>
                <w:sz w:val="20"/>
                <w:szCs w:val="20"/>
              </w:rPr>
            </w:pPr>
            <w:r w:rsidRPr="00C47350">
              <w:rPr>
                <w:sz w:val="20"/>
                <w:szCs w:val="20"/>
              </w:rPr>
              <w:t>3m: 9.5-13.5</w:t>
            </w:r>
          </w:p>
        </w:tc>
        <w:tc>
          <w:tcPr>
            <w:tcW w:w="2451" w:type="dxa"/>
            <w:vMerge/>
            <w:vAlign w:val="center"/>
          </w:tcPr>
          <w:p w:rsidR="00240306" w:rsidRPr="00C47350" w:rsidP="00C47350" w14:paraId="207B7467" w14:textId="77777777">
            <w:pPr>
              <w:pStyle w:val="Style1"/>
              <w:jc w:val="center"/>
              <w:rPr>
                <w:sz w:val="20"/>
                <w:szCs w:val="20"/>
              </w:rPr>
            </w:pPr>
          </w:p>
        </w:tc>
      </w:tr>
      <w:tr w14:paraId="207B746D" w14:textId="77777777" w:rsidTr="00C47350">
        <w:tblPrEx>
          <w:tblW w:w="9900" w:type="dxa"/>
          <w:tblInd w:w="-275" w:type="dxa"/>
          <w:tblLook w:val="04A0"/>
        </w:tblPrEx>
        <w:tc>
          <w:tcPr>
            <w:tcW w:w="2340" w:type="dxa"/>
            <w:vMerge/>
            <w:vAlign w:val="center"/>
          </w:tcPr>
          <w:p w:rsidR="00240306" w:rsidRPr="00C47350" w:rsidP="00C47350" w14:paraId="207B7469" w14:textId="77777777">
            <w:pPr>
              <w:pStyle w:val="Style1"/>
              <w:jc w:val="center"/>
              <w:rPr>
                <w:sz w:val="20"/>
                <w:szCs w:val="20"/>
              </w:rPr>
            </w:pPr>
          </w:p>
        </w:tc>
        <w:tc>
          <w:tcPr>
            <w:tcW w:w="1980" w:type="dxa"/>
            <w:vMerge/>
            <w:vAlign w:val="center"/>
          </w:tcPr>
          <w:p w:rsidR="00240306" w:rsidRPr="00C47350" w:rsidP="00C47350" w14:paraId="207B746A" w14:textId="77777777">
            <w:pPr>
              <w:pStyle w:val="Style1"/>
              <w:jc w:val="center"/>
              <w:rPr>
                <w:sz w:val="20"/>
                <w:szCs w:val="20"/>
              </w:rPr>
            </w:pPr>
          </w:p>
        </w:tc>
        <w:tc>
          <w:tcPr>
            <w:tcW w:w="3129" w:type="dxa"/>
            <w:vAlign w:val="center"/>
          </w:tcPr>
          <w:p w:rsidR="00240306" w:rsidRPr="00C47350" w:rsidP="00C47350" w14:paraId="207B746B" w14:textId="77777777">
            <w:pPr>
              <w:pStyle w:val="Style1"/>
              <w:jc w:val="center"/>
              <w:rPr>
                <w:sz w:val="20"/>
                <w:szCs w:val="20"/>
              </w:rPr>
            </w:pPr>
            <w:r w:rsidRPr="00C47350">
              <w:rPr>
                <w:sz w:val="20"/>
                <w:szCs w:val="20"/>
              </w:rPr>
              <w:t>2m: 9-14</w:t>
            </w:r>
          </w:p>
        </w:tc>
        <w:tc>
          <w:tcPr>
            <w:tcW w:w="2451" w:type="dxa"/>
            <w:vMerge/>
            <w:vAlign w:val="center"/>
          </w:tcPr>
          <w:p w:rsidR="00240306" w:rsidRPr="00C47350" w:rsidP="00C47350" w14:paraId="207B746C" w14:textId="77777777">
            <w:pPr>
              <w:pStyle w:val="Style1"/>
              <w:jc w:val="center"/>
              <w:rPr>
                <w:sz w:val="20"/>
                <w:szCs w:val="20"/>
              </w:rPr>
            </w:pPr>
          </w:p>
        </w:tc>
      </w:tr>
      <w:tr w14:paraId="207B7472" w14:textId="77777777" w:rsidTr="00C47350">
        <w:tblPrEx>
          <w:tblW w:w="9900" w:type="dxa"/>
          <w:tblInd w:w="-275" w:type="dxa"/>
          <w:tblLook w:val="04A0"/>
        </w:tblPrEx>
        <w:tc>
          <w:tcPr>
            <w:tcW w:w="2340" w:type="dxa"/>
            <w:vMerge/>
            <w:vAlign w:val="center"/>
          </w:tcPr>
          <w:p w:rsidR="00240306" w:rsidRPr="00C47350" w:rsidP="00C47350" w14:paraId="207B746E" w14:textId="77777777">
            <w:pPr>
              <w:pStyle w:val="Style1"/>
              <w:jc w:val="center"/>
              <w:rPr>
                <w:sz w:val="20"/>
                <w:szCs w:val="20"/>
              </w:rPr>
            </w:pPr>
          </w:p>
        </w:tc>
        <w:tc>
          <w:tcPr>
            <w:tcW w:w="1980" w:type="dxa"/>
            <w:vMerge/>
            <w:vAlign w:val="center"/>
          </w:tcPr>
          <w:p w:rsidR="00240306" w:rsidRPr="00C47350" w:rsidP="00C47350" w14:paraId="207B746F" w14:textId="77777777">
            <w:pPr>
              <w:pStyle w:val="Style1"/>
              <w:jc w:val="center"/>
              <w:rPr>
                <w:sz w:val="20"/>
                <w:szCs w:val="20"/>
              </w:rPr>
            </w:pPr>
          </w:p>
        </w:tc>
        <w:tc>
          <w:tcPr>
            <w:tcW w:w="3129" w:type="dxa"/>
            <w:vAlign w:val="center"/>
          </w:tcPr>
          <w:p w:rsidR="00240306" w:rsidRPr="00C47350" w:rsidP="00C47350" w14:paraId="207B7470" w14:textId="77777777">
            <w:pPr>
              <w:pStyle w:val="Style1"/>
              <w:jc w:val="center"/>
              <w:rPr>
                <w:sz w:val="20"/>
                <w:szCs w:val="20"/>
              </w:rPr>
            </w:pPr>
            <w:r w:rsidRPr="00C47350">
              <w:rPr>
                <w:sz w:val="20"/>
                <w:szCs w:val="20"/>
              </w:rPr>
              <w:t>1m: 10-18</w:t>
            </w:r>
          </w:p>
        </w:tc>
        <w:tc>
          <w:tcPr>
            <w:tcW w:w="2451" w:type="dxa"/>
            <w:vMerge/>
            <w:vAlign w:val="center"/>
          </w:tcPr>
          <w:p w:rsidR="00240306" w:rsidRPr="00C47350" w:rsidP="00C47350" w14:paraId="207B7471" w14:textId="77777777">
            <w:pPr>
              <w:pStyle w:val="Style1"/>
              <w:jc w:val="center"/>
              <w:rPr>
                <w:sz w:val="20"/>
                <w:szCs w:val="20"/>
              </w:rPr>
            </w:pPr>
          </w:p>
        </w:tc>
      </w:tr>
      <w:tr w14:paraId="207B7477" w14:textId="77777777" w:rsidTr="00C47350">
        <w:tblPrEx>
          <w:tblW w:w="9900" w:type="dxa"/>
          <w:tblInd w:w="-275" w:type="dxa"/>
          <w:tblLook w:val="04A0"/>
        </w:tblPrEx>
        <w:tc>
          <w:tcPr>
            <w:tcW w:w="2340" w:type="dxa"/>
            <w:vMerge/>
            <w:vAlign w:val="center"/>
          </w:tcPr>
          <w:p w:rsidR="00240306" w:rsidRPr="00C47350" w:rsidP="00C47350" w14:paraId="207B7473" w14:textId="77777777">
            <w:pPr>
              <w:pStyle w:val="Style1"/>
              <w:jc w:val="center"/>
              <w:rPr>
                <w:sz w:val="20"/>
                <w:szCs w:val="20"/>
              </w:rPr>
            </w:pPr>
          </w:p>
        </w:tc>
        <w:tc>
          <w:tcPr>
            <w:tcW w:w="1980" w:type="dxa"/>
            <w:vMerge/>
            <w:vAlign w:val="center"/>
          </w:tcPr>
          <w:p w:rsidR="00240306" w:rsidRPr="00C47350" w:rsidP="00C47350" w14:paraId="207B7474" w14:textId="77777777">
            <w:pPr>
              <w:pStyle w:val="Style1"/>
              <w:jc w:val="center"/>
              <w:rPr>
                <w:sz w:val="20"/>
                <w:szCs w:val="20"/>
              </w:rPr>
            </w:pPr>
          </w:p>
        </w:tc>
        <w:tc>
          <w:tcPr>
            <w:tcW w:w="3129" w:type="dxa"/>
            <w:vAlign w:val="center"/>
          </w:tcPr>
          <w:p w:rsidR="00240306" w:rsidRPr="00C47350" w:rsidP="00C47350" w14:paraId="207B7475" w14:textId="77777777">
            <w:pPr>
              <w:pStyle w:val="Style1"/>
              <w:jc w:val="center"/>
              <w:rPr>
                <w:sz w:val="20"/>
                <w:szCs w:val="20"/>
              </w:rPr>
            </w:pPr>
            <w:r w:rsidRPr="00C47350">
              <w:rPr>
                <w:sz w:val="20"/>
                <w:szCs w:val="20"/>
              </w:rPr>
              <w:t>14d: 12.5-20.5</w:t>
            </w:r>
          </w:p>
        </w:tc>
        <w:tc>
          <w:tcPr>
            <w:tcW w:w="2451" w:type="dxa"/>
            <w:vMerge/>
            <w:vAlign w:val="center"/>
          </w:tcPr>
          <w:p w:rsidR="00240306" w:rsidRPr="00C47350" w:rsidP="00C47350" w14:paraId="207B7476" w14:textId="77777777">
            <w:pPr>
              <w:pStyle w:val="Style1"/>
              <w:jc w:val="center"/>
              <w:rPr>
                <w:sz w:val="20"/>
                <w:szCs w:val="20"/>
              </w:rPr>
            </w:pPr>
          </w:p>
        </w:tc>
      </w:tr>
      <w:tr w14:paraId="207B747C" w14:textId="77777777" w:rsidTr="00C47350">
        <w:tblPrEx>
          <w:tblW w:w="9900" w:type="dxa"/>
          <w:tblInd w:w="-275" w:type="dxa"/>
          <w:tblLook w:val="04A0"/>
        </w:tblPrEx>
        <w:tc>
          <w:tcPr>
            <w:tcW w:w="2340" w:type="dxa"/>
            <w:vMerge/>
            <w:vAlign w:val="center"/>
          </w:tcPr>
          <w:p w:rsidR="00240306" w:rsidRPr="00C47350" w:rsidP="00C47350" w14:paraId="207B7478" w14:textId="77777777">
            <w:pPr>
              <w:pStyle w:val="Style1"/>
              <w:jc w:val="center"/>
              <w:rPr>
                <w:sz w:val="20"/>
                <w:szCs w:val="20"/>
              </w:rPr>
            </w:pPr>
          </w:p>
        </w:tc>
        <w:tc>
          <w:tcPr>
            <w:tcW w:w="1980" w:type="dxa"/>
            <w:vMerge/>
            <w:vAlign w:val="center"/>
          </w:tcPr>
          <w:p w:rsidR="00240306" w:rsidRPr="00C47350" w:rsidP="00C47350" w14:paraId="207B7479" w14:textId="77777777">
            <w:pPr>
              <w:pStyle w:val="Style1"/>
              <w:jc w:val="center"/>
              <w:rPr>
                <w:sz w:val="20"/>
                <w:szCs w:val="20"/>
              </w:rPr>
            </w:pPr>
          </w:p>
        </w:tc>
        <w:tc>
          <w:tcPr>
            <w:tcW w:w="3129" w:type="dxa"/>
            <w:vAlign w:val="center"/>
          </w:tcPr>
          <w:p w:rsidR="00240306" w:rsidRPr="00C47350" w:rsidP="00C47350" w14:paraId="207B747A" w14:textId="77777777">
            <w:pPr>
              <w:pStyle w:val="Style1"/>
              <w:jc w:val="center"/>
              <w:rPr>
                <w:sz w:val="20"/>
                <w:szCs w:val="20"/>
              </w:rPr>
            </w:pPr>
            <w:r w:rsidRPr="00C47350">
              <w:rPr>
                <w:sz w:val="20"/>
                <w:szCs w:val="20"/>
              </w:rPr>
              <w:t>7d: 13.5-21.5</w:t>
            </w:r>
          </w:p>
        </w:tc>
        <w:tc>
          <w:tcPr>
            <w:tcW w:w="2451" w:type="dxa"/>
            <w:vMerge/>
            <w:vAlign w:val="center"/>
          </w:tcPr>
          <w:p w:rsidR="00240306" w:rsidRPr="00C47350" w:rsidP="00C47350" w14:paraId="207B747B" w14:textId="77777777">
            <w:pPr>
              <w:pStyle w:val="Style1"/>
              <w:jc w:val="center"/>
              <w:rPr>
                <w:sz w:val="20"/>
                <w:szCs w:val="20"/>
              </w:rPr>
            </w:pPr>
          </w:p>
        </w:tc>
      </w:tr>
      <w:tr w14:paraId="207B7481" w14:textId="77777777" w:rsidTr="00C47350">
        <w:tblPrEx>
          <w:tblW w:w="9900" w:type="dxa"/>
          <w:tblInd w:w="-275" w:type="dxa"/>
          <w:tblLook w:val="04A0"/>
        </w:tblPrEx>
        <w:tc>
          <w:tcPr>
            <w:tcW w:w="2340" w:type="dxa"/>
            <w:vMerge/>
            <w:vAlign w:val="center"/>
          </w:tcPr>
          <w:p w:rsidR="00240306" w:rsidRPr="00C47350" w:rsidP="00C47350" w14:paraId="207B747D" w14:textId="77777777">
            <w:pPr>
              <w:pStyle w:val="Style1"/>
              <w:jc w:val="center"/>
              <w:rPr>
                <w:sz w:val="20"/>
                <w:szCs w:val="20"/>
              </w:rPr>
            </w:pPr>
          </w:p>
        </w:tc>
        <w:tc>
          <w:tcPr>
            <w:tcW w:w="1980" w:type="dxa"/>
            <w:vMerge/>
            <w:vAlign w:val="center"/>
          </w:tcPr>
          <w:p w:rsidR="00240306" w:rsidRPr="00C47350" w:rsidP="00C47350" w14:paraId="207B747E" w14:textId="77777777">
            <w:pPr>
              <w:pStyle w:val="Style1"/>
              <w:jc w:val="center"/>
              <w:rPr>
                <w:sz w:val="20"/>
                <w:szCs w:val="20"/>
              </w:rPr>
            </w:pPr>
          </w:p>
        </w:tc>
        <w:tc>
          <w:tcPr>
            <w:tcW w:w="3129" w:type="dxa"/>
            <w:vAlign w:val="center"/>
          </w:tcPr>
          <w:p w:rsidR="00240306" w:rsidRPr="00C47350" w:rsidP="00C47350" w14:paraId="207B747F" w14:textId="77777777">
            <w:pPr>
              <w:pStyle w:val="Style1"/>
              <w:jc w:val="center"/>
              <w:rPr>
                <w:sz w:val="20"/>
                <w:szCs w:val="20"/>
              </w:rPr>
            </w:pPr>
            <w:r w:rsidRPr="00C47350">
              <w:rPr>
                <w:sz w:val="20"/>
                <w:szCs w:val="20"/>
              </w:rPr>
              <w:t>1d: 14.5-22.5</w:t>
            </w:r>
          </w:p>
        </w:tc>
        <w:tc>
          <w:tcPr>
            <w:tcW w:w="2451" w:type="dxa"/>
            <w:vMerge/>
            <w:vAlign w:val="center"/>
          </w:tcPr>
          <w:p w:rsidR="00240306" w:rsidRPr="00C47350" w:rsidP="00C47350" w14:paraId="207B7480" w14:textId="77777777">
            <w:pPr>
              <w:pStyle w:val="Style1"/>
              <w:jc w:val="center"/>
              <w:rPr>
                <w:sz w:val="20"/>
                <w:szCs w:val="20"/>
              </w:rPr>
            </w:pPr>
          </w:p>
        </w:tc>
      </w:tr>
      <w:tr w14:paraId="207B7486" w14:textId="77777777" w:rsidTr="00C47350">
        <w:tblPrEx>
          <w:tblW w:w="9900" w:type="dxa"/>
          <w:tblInd w:w="-275" w:type="dxa"/>
          <w:tblLook w:val="04A0"/>
        </w:tblPrEx>
        <w:tc>
          <w:tcPr>
            <w:tcW w:w="2340" w:type="dxa"/>
            <w:vMerge/>
            <w:vAlign w:val="center"/>
          </w:tcPr>
          <w:p w:rsidR="00240306" w:rsidRPr="00C47350" w:rsidP="00C47350" w14:paraId="207B7482" w14:textId="77777777">
            <w:pPr>
              <w:pStyle w:val="Style1"/>
              <w:jc w:val="center"/>
              <w:rPr>
                <w:sz w:val="20"/>
                <w:szCs w:val="20"/>
              </w:rPr>
            </w:pPr>
          </w:p>
        </w:tc>
        <w:tc>
          <w:tcPr>
            <w:tcW w:w="1980" w:type="dxa"/>
            <w:vMerge/>
            <w:vAlign w:val="center"/>
          </w:tcPr>
          <w:p w:rsidR="00240306" w:rsidRPr="00C47350" w:rsidP="00C47350" w14:paraId="207B7483" w14:textId="77777777">
            <w:pPr>
              <w:pStyle w:val="Style1"/>
              <w:jc w:val="center"/>
              <w:rPr>
                <w:sz w:val="20"/>
                <w:szCs w:val="20"/>
              </w:rPr>
            </w:pPr>
          </w:p>
        </w:tc>
        <w:tc>
          <w:tcPr>
            <w:tcW w:w="3129" w:type="dxa"/>
            <w:vAlign w:val="center"/>
          </w:tcPr>
          <w:p w:rsidR="00240306" w:rsidRPr="00C47350" w:rsidP="00C47350" w14:paraId="207B7484" w14:textId="77777777">
            <w:pPr>
              <w:pStyle w:val="Style1"/>
              <w:jc w:val="center"/>
              <w:rPr>
                <w:sz w:val="20"/>
                <w:szCs w:val="20"/>
              </w:rPr>
            </w:pPr>
            <w:r w:rsidRPr="00C47350">
              <w:rPr>
                <w:sz w:val="20"/>
                <w:szCs w:val="20"/>
              </w:rPr>
              <w:t>0d: 13.5-19.5</w:t>
            </w:r>
          </w:p>
        </w:tc>
        <w:tc>
          <w:tcPr>
            <w:tcW w:w="2451" w:type="dxa"/>
            <w:vMerge/>
            <w:vAlign w:val="center"/>
          </w:tcPr>
          <w:p w:rsidR="00240306" w:rsidRPr="00C47350" w:rsidP="00C47350" w14:paraId="207B7485" w14:textId="77777777">
            <w:pPr>
              <w:pStyle w:val="Style1"/>
              <w:jc w:val="center"/>
              <w:rPr>
                <w:sz w:val="20"/>
                <w:szCs w:val="20"/>
              </w:rPr>
            </w:pPr>
          </w:p>
        </w:tc>
      </w:tr>
      <w:tr w14:paraId="207B748B" w14:textId="77777777" w:rsidTr="00C47350">
        <w:tblPrEx>
          <w:tblW w:w="9900" w:type="dxa"/>
          <w:tblInd w:w="-275" w:type="dxa"/>
          <w:tblLook w:val="04A0"/>
        </w:tblPrEx>
        <w:tc>
          <w:tcPr>
            <w:tcW w:w="2340" w:type="dxa"/>
            <w:vMerge w:val="restart"/>
            <w:vAlign w:val="center"/>
          </w:tcPr>
          <w:p w:rsidR="00886A5A" w:rsidP="00C47350" w14:paraId="4F4CFC1D" w14:textId="77777777">
            <w:pPr>
              <w:pStyle w:val="Style1"/>
              <w:jc w:val="center"/>
              <w:rPr>
                <w:sz w:val="20"/>
                <w:szCs w:val="20"/>
              </w:rPr>
            </w:pPr>
            <w:r w:rsidRPr="00C47350">
              <w:rPr>
                <w:b/>
                <w:sz w:val="20"/>
                <w:szCs w:val="20"/>
              </w:rPr>
              <w:t>Hemoglobin</w:t>
            </w:r>
          </w:p>
          <w:p w:rsidR="00886A5A" w:rsidRPr="00C47350" w:rsidP="00C47350" w14:paraId="207B7487" w14:textId="6E7952E5">
            <w:pPr>
              <w:pStyle w:val="Style1"/>
              <w:jc w:val="center"/>
              <w:rPr>
                <w:sz w:val="20"/>
                <w:szCs w:val="20"/>
              </w:rPr>
            </w:pPr>
            <w:r>
              <w:rPr>
                <w:sz w:val="20"/>
                <w:szCs w:val="20"/>
              </w:rPr>
              <w:t>(</w:t>
            </w:r>
            <w:r w:rsidRPr="00C47350">
              <w:rPr>
                <w:sz w:val="20"/>
                <w:szCs w:val="20"/>
              </w:rPr>
              <w:t>Female</w:t>
            </w:r>
            <w:r>
              <w:rPr>
                <w:sz w:val="20"/>
                <w:szCs w:val="20"/>
              </w:rPr>
              <w:t>)</w:t>
            </w:r>
          </w:p>
        </w:tc>
        <w:tc>
          <w:tcPr>
            <w:tcW w:w="1980" w:type="dxa"/>
            <w:vMerge w:val="restart"/>
            <w:vAlign w:val="center"/>
          </w:tcPr>
          <w:p w:rsidR="00886A5A" w:rsidRPr="00C47350" w:rsidP="00C47350" w14:paraId="207B7488" w14:textId="77777777">
            <w:pPr>
              <w:pStyle w:val="Style1"/>
              <w:jc w:val="center"/>
              <w:rPr>
                <w:sz w:val="20"/>
                <w:szCs w:val="20"/>
              </w:rPr>
            </w:pPr>
            <w:r w:rsidRPr="00C47350">
              <w:rPr>
                <w:sz w:val="20"/>
                <w:szCs w:val="20"/>
              </w:rPr>
              <w:t>g/dL</w:t>
            </w:r>
          </w:p>
        </w:tc>
        <w:tc>
          <w:tcPr>
            <w:tcW w:w="3129" w:type="dxa"/>
            <w:vAlign w:val="center"/>
          </w:tcPr>
          <w:p w:rsidR="00886A5A" w:rsidRPr="00C47350" w:rsidP="00C47350" w14:paraId="207B7489" w14:textId="578015E2">
            <w:pPr>
              <w:pStyle w:val="Style1"/>
              <w:jc w:val="center"/>
              <w:rPr>
                <w:sz w:val="20"/>
                <w:szCs w:val="20"/>
              </w:rPr>
            </w:pPr>
            <w:r w:rsidRPr="00C47350">
              <w:rPr>
                <w:sz w:val="20"/>
                <w:szCs w:val="20"/>
              </w:rPr>
              <w:t>18y: 12</w:t>
            </w:r>
            <w:r>
              <w:rPr>
                <w:sz w:val="20"/>
                <w:szCs w:val="20"/>
              </w:rPr>
              <w:t>.5</w:t>
            </w:r>
            <w:r w:rsidRPr="00C47350">
              <w:rPr>
                <w:sz w:val="20"/>
                <w:szCs w:val="20"/>
              </w:rPr>
              <w:t>-1</w:t>
            </w:r>
            <w:r>
              <w:rPr>
                <w:sz w:val="20"/>
                <w:szCs w:val="20"/>
              </w:rPr>
              <w:t>5.3</w:t>
            </w:r>
          </w:p>
        </w:tc>
        <w:tc>
          <w:tcPr>
            <w:tcW w:w="2451" w:type="dxa"/>
            <w:vMerge w:val="restart"/>
            <w:vAlign w:val="center"/>
          </w:tcPr>
          <w:p w:rsidR="00886A5A" w:rsidRPr="00C47350" w:rsidP="00886A5A" w14:paraId="207B748A" w14:textId="68A7B5B1">
            <w:pPr>
              <w:pStyle w:val="Style1"/>
              <w:jc w:val="center"/>
              <w:rPr>
                <w:sz w:val="20"/>
                <w:szCs w:val="20"/>
              </w:rPr>
            </w:pPr>
            <w:r w:rsidRPr="00C47350">
              <w:rPr>
                <w:sz w:val="20"/>
                <w:szCs w:val="20"/>
              </w:rPr>
              <w:t>5.1-25.5</w:t>
            </w:r>
          </w:p>
        </w:tc>
      </w:tr>
      <w:tr w14:paraId="207B7490" w14:textId="77777777" w:rsidTr="00C47350">
        <w:tblPrEx>
          <w:tblW w:w="9900" w:type="dxa"/>
          <w:tblInd w:w="-275" w:type="dxa"/>
          <w:tblLook w:val="04A0"/>
        </w:tblPrEx>
        <w:tc>
          <w:tcPr>
            <w:tcW w:w="2340" w:type="dxa"/>
            <w:vMerge/>
            <w:vAlign w:val="center"/>
          </w:tcPr>
          <w:p w:rsidR="00886A5A" w:rsidRPr="00C47350" w:rsidP="00C47350" w14:paraId="207B748C" w14:textId="77777777">
            <w:pPr>
              <w:pStyle w:val="Style1"/>
              <w:jc w:val="center"/>
              <w:rPr>
                <w:sz w:val="20"/>
                <w:szCs w:val="20"/>
              </w:rPr>
            </w:pPr>
          </w:p>
        </w:tc>
        <w:tc>
          <w:tcPr>
            <w:tcW w:w="1980" w:type="dxa"/>
            <w:vMerge/>
            <w:vAlign w:val="center"/>
          </w:tcPr>
          <w:p w:rsidR="00886A5A" w:rsidRPr="00C47350" w:rsidP="00C47350" w14:paraId="207B748D" w14:textId="77777777">
            <w:pPr>
              <w:pStyle w:val="Style1"/>
              <w:jc w:val="center"/>
              <w:rPr>
                <w:sz w:val="20"/>
                <w:szCs w:val="20"/>
              </w:rPr>
            </w:pPr>
          </w:p>
        </w:tc>
        <w:tc>
          <w:tcPr>
            <w:tcW w:w="3129" w:type="dxa"/>
            <w:vAlign w:val="center"/>
          </w:tcPr>
          <w:p w:rsidR="00886A5A" w:rsidRPr="00C47350" w:rsidP="00C47350" w14:paraId="207B748E" w14:textId="77777777">
            <w:pPr>
              <w:pStyle w:val="Style1"/>
              <w:jc w:val="center"/>
              <w:rPr>
                <w:sz w:val="20"/>
                <w:szCs w:val="20"/>
              </w:rPr>
            </w:pPr>
            <w:r w:rsidRPr="00C47350">
              <w:rPr>
                <w:sz w:val="20"/>
                <w:szCs w:val="20"/>
              </w:rPr>
              <w:t>12y: 12-16</w:t>
            </w:r>
          </w:p>
        </w:tc>
        <w:tc>
          <w:tcPr>
            <w:tcW w:w="2451" w:type="dxa"/>
            <w:vMerge/>
            <w:vAlign w:val="center"/>
          </w:tcPr>
          <w:p w:rsidR="00886A5A" w:rsidRPr="00C47350" w:rsidP="00F33D6D" w14:paraId="207B748F" w14:textId="22F434D8">
            <w:pPr>
              <w:pStyle w:val="Style1"/>
              <w:jc w:val="center"/>
              <w:rPr>
                <w:sz w:val="20"/>
                <w:szCs w:val="20"/>
              </w:rPr>
            </w:pPr>
          </w:p>
        </w:tc>
      </w:tr>
      <w:tr w14:paraId="207B7495" w14:textId="77777777" w:rsidTr="00F33D6D">
        <w:tblPrEx>
          <w:tblW w:w="9900" w:type="dxa"/>
          <w:tblInd w:w="-275" w:type="dxa"/>
          <w:tblLook w:val="04A0"/>
        </w:tblPrEx>
        <w:tc>
          <w:tcPr>
            <w:tcW w:w="2340" w:type="dxa"/>
            <w:vMerge/>
            <w:vAlign w:val="center"/>
          </w:tcPr>
          <w:p w:rsidR="00886A5A" w:rsidRPr="00C47350" w:rsidP="00F33D6D" w14:paraId="207B7491" w14:textId="57E94CC8">
            <w:pPr>
              <w:pStyle w:val="Style1"/>
              <w:jc w:val="center"/>
              <w:rPr>
                <w:sz w:val="20"/>
                <w:szCs w:val="20"/>
              </w:rPr>
            </w:pPr>
          </w:p>
        </w:tc>
        <w:tc>
          <w:tcPr>
            <w:tcW w:w="1980" w:type="dxa"/>
            <w:vMerge/>
            <w:vAlign w:val="center"/>
          </w:tcPr>
          <w:p w:rsidR="00886A5A" w:rsidRPr="00C47350" w:rsidP="00F33D6D" w14:paraId="207B7492" w14:textId="67D455B7">
            <w:pPr>
              <w:pStyle w:val="Style1"/>
              <w:jc w:val="center"/>
              <w:rPr>
                <w:sz w:val="20"/>
                <w:szCs w:val="20"/>
              </w:rPr>
            </w:pPr>
          </w:p>
        </w:tc>
        <w:tc>
          <w:tcPr>
            <w:tcW w:w="3129" w:type="dxa"/>
            <w:vAlign w:val="center"/>
          </w:tcPr>
          <w:p w:rsidR="00886A5A" w:rsidRPr="00C47350" w:rsidP="00C47350" w14:paraId="207B7493" w14:textId="76D5ADD5">
            <w:pPr>
              <w:pStyle w:val="Style1"/>
              <w:jc w:val="center"/>
              <w:rPr>
                <w:sz w:val="20"/>
                <w:szCs w:val="20"/>
              </w:rPr>
            </w:pPr>
            <w:r w:rsidRPr="00C47350">
              <w:rPr>
                <w:sz w:val="20"/>
                <w:szCs w:val="20"/>
              </w:rPr>
              <w:t>6y: 11.5-1</w:t>
            </w:r>
            <w:r>
              <w:rPr>
                <w:sz w:val="20"/>
                <w:szCs w:val="20"/>
              </w:rPr>
              <w:t>6</w:t>
            </w:r>
            <w:r w:rsidRPr="00C47350">
              <w:rPr>
                <w:sz w:val="20"/>
                <w:szCs w:val="20"/>
              </w:rPr>
              <w:t>.5</w:t>
            </w:r>
          </w:p>
        </w:tc>
        <w:tc>
          <w:tcPr>
            <w:tcW w:w="2451" w:type="dxa"/>
            <w:vMerge/>
            <w:vAlign w:val="center"/>
          </w:tcPr>
          <w:p w:rsidR="00886A5A" w:rsidRPr="00C47350" w:rsidP="00F33D6D" w14:paraId="207B7494" w14:textId="59540595">
            <w:pPr>
              <w:pStyle w:val="Style1"/>
              <w:jc w:val="center"/>
              <w:rPr>
                <w:sz w:val="20"/>
                <w:szCs w:val="20"/>
              </w:rPr>
            </w:pPr>
          </w:p>
        </w:tc>
      </w:tr>
      <w:tr w14:paraId="207B749A" w14:textId="77777777" w:rsidTr="00C47350">
        <w:tblPrEx>
          <w:tblW w:w="9900" w:type="dxa"/>
          <w:tblInd w:w="-275" w:type="dxa"/>
          <w:tblLook w:val="04A0"/>
        </w:tblPrEx>
        <w:tc>
          <w:tcPr>
            <w:tcW w:w="2340" w:type="dxa"/>
            <w:vMerge/>
            <w:vAlign w:val="center"/>
          </w:tcPr>
          <w:p w:rsidR="00886A5A" w:rsidRPr="00C47350" w:rsidP="00215E80" w14:paraId="207B7496" w14:textId="15744DDE">
            <w:pPr>
              <w:pStyle w:val="Style1"/>
              <w:jc w:val="center"/>
              <w:rPr>
                <w:sz w:val="20"/>
                <w:szCs w:val="20"/>
              </w:rPr>
            </w:pPr>
          </w:p>
        </w:tc>
        <w:tc>
          <w:tcPr>
            <w:tcW w:w="1980" w:type="dxa"/>
            <w:vMerge/>
            <w:vAlign w:val="center"/>
          </w:tcPr>
          <w:p w:rsidR="00886A5A" w:rsidRPr="00C47350" w:rsidP="00C47350" w14:paraId="207B7497" w14:textId="2247B835">
            <w:pPr>
              <w:pStyle w:val="Style1"/>
              <w:jc w:val="center"/>
              <w:rPr>
                <w:sz w:val="20"/>
                <w:szCs w:val="20"/>
              </w:rPr>
            </w:pPr>
          </w:p>
        </w:tc>
        <w:tc>
          <w:tcPr>
            <w:tcW w:w="3129" w:type="dxa"/>
            <w:vAlign w:val="center"/>
          </w:tcPr>
          <w:p w:rsidR="00886A5A" w:rsidRPr="00C47350" w:rsidP="00C47350" w14:paraId="207B7498" w14:textId="77777777">
            <w:pPr>
              <w:pStyle w:val="Style1"/>
              <w:jc w:val="center"/>
              <w:rPr>
                <w:sz w:val="20"/>
                <w:szCs w:val="20"/>
              </w:rPr>
            </w:pPr>
            <w:r w:rsidRPr="00C47350">
              <w:rPr>
                <w:sz w:val="20"/>
                <w:szCs w:val="20"/>
              </w:rPr>
              <w:t>2y: 11.5-13.5</w:t>
            </w:r>
          </w:p>
        </w:tc>
        <w:tc>
          <w:tcPr>
            <w:tcW w:w="2451" w:type="dxa"/>
            <w:vMerge/>
            <w:vAlign w:val="center"/>
          </w:tcPr>
          <w:p w:rsidR="00886A5A" w:rsidRPr="00C47350" w:rsidP="00C47350" w14:paraId="207B7499" w14:textId="0751FE76">
            <w:pPr>
              <w:pStyle w:val="Style1"/>
              <w:jc w:val="center"/>
              <w:rPr>
                <w:sz w:val="20"/>
                <w:szCs w:val="20"/>
              </w:rPr>
            </w:pPr>
          </w:p>
        </w:tc>
      </w:tr>
      <w:tr w14:paraId="207B749F" w14:textId="77777777" w:rsidTr="00C47350">
        <w:tblPrEx>
          <w:tblW w:w="9900" w:type="dxa"/>
          <w:tblInd w:w="-275" w:type="dxa"/>
          <w:tblLook w:val="04A0"/>
        </w:tblPrEx>
        <w:tc>
          <w:tcPr>
            <w:tcW w:w="2340" w:type="dxa"/>
            <w:vMerge/>
            <w:vAlign w:val="center"/>
          </w:tcPr>
          <w:p w:rsidR="00886A5A" w:rsidRPr="00C47350" w:rsidP="00215E80" w14:paraId="207B749B" w14:textId="4B8F1609">
            <w:pPr>
              <w:pStyle w:val="Style1"/>
              <w:jc w:val="center"/>
              <w:rPr>
                <w:sz w:val="20"/>
                <w:szCs w:val="20"/>
              </w:rPr>
            </w:pPr>
          </w:p>
        </w:tc>
        <w:tc>
          <w:tcPr>
            <w:tcW w:w="1980" w:type="dxa"/>
            <w:vMerge/>
            <w:vAlign w:val="center"/>
          </w:tcPr>
          <w:p w:rsidR="00886A5A" w:rsidRPr="00C47350" w:rsidP="00C47350" w14:paraId="207B749C" w14:textId="74B9641B">
            <w:pPr>
              <w:pStyle w:val="Style1"/>
              <w:jc w:val="center"/>
              <w:rPr>
                <w:sz w:val="20"/>
                <w:szCs w:val="20"/>
              </w:rPr>
            </w:pPr>
          </w:p>
        </w:tc>
        <w:tc>
          <w:tcPr>
            <w:tcW w:w="3129" w:type="dxa"/>
            <w:vAlign w:val="center"/>
          </w:tcPr>
          <w:p w:rsidR="00886A5A" w:rsidRPr="00C47350" w:rsidP="00C47350" w14:paraId="207B749D" w14:textId="77777777">
            <w:pPr>
              <w:pStyle w:val="Style1"/>
              <w:jc w:val="center"/>
              <w:rPr>
                <w:sz w:val="20"/>
                <w:szCs w:val="20"/>
              </w:rPr>
            </w:pPr>
            <w:r w:rsidRPr="00C47350">
              <w:rPr>
                <w:sz w:val="20"/>
                <w:szCs w:val="20"/>
              </w:rPr>
              <w:t>6m: 10.5-13.5</w:t>
            </w:r>
          </w:p>
        </w:tc>
        <w:tc>
          <w:tcPr>
            <w:tcW w:w="2451" w:type="dxa"/>
            <w:vMerge/>
            <w:vAlign w:val="center"/>
          </w:tcPr>
          <w:p w:rsidR="00886A5A" w:rsidRPr="00C47350" w:rsidP="00C47350" w14:paraId="207B749E" w14:textId="68BB1BE7">
            <w:pPr>
              <w:pStyle w:val="Style1"/>
              <w:jc w:val="center"/>
              <w:rPr>
                <w:sz w:val="20"/>
                <w:szCs w:val="20"/>
              </w:rPr>
            </w:pPr>
          </w:p>
        </w:tc>
      </w:tr>
      <w:tr w14:paraId="207B74A4" w14:textId="77777777" w:rsidTr="00C47350">
        <w:tblPrEx>
          <w:tblW w:w="9900" w:type="dxa"/>
          <w:tblInd w:w="-275" w:type="dxa"/>
          <w:tblLook w:val="04A0"/>
        </w:tblPrEx>
        <w:tc>
          <w:tcPr>
            <w:tcW w:w="2340" w:type="dxa"/>
            <w:vMerge/>
            <w:vAlign w:val="center"/>
          </w:tcPr>
          <w:p w:rsidR="00886A5A" w:rsidRPr="00C47350" w:rsidP="00215E80" w14:paraId="207B74A0" w14:textId="79A3C1A8">
            <w:pPr>
              <w:pStyle w:val="Style1"/>
              <w:jc w:val="center"/>
              <w:rPr>
                <w:sz w:val="20"/>
                <w:szCs w:val="20"/>
              </w:rPr>
            </w:pPr>
          </w:p>
        </w:tc>
        <w:tc>
          <w:tcPr>
            <w:tcW w:w="1980" w:type="dxa"/>
            <w:vMerge/>
            <w:vAlign w:val="center"/>
          </w:tcPr>
          <w:p w:rsidR="00886A5A" w:rsidRPr="00C47350" w:rsidP="00C47350" w14:paraId="207B74A1" w14:textId="418ACDB3">
            <w:pPr>
              <w:pStyle w:val="Style1"/>
              <w:jc w:val="center"/>
              <w:rPr>
                <w:sz w:val="20"/>
                <w:szCs w:val="20"/>
              </w:rPr>
            </w:pPr>
          </w:p>
        </w:tc>
        <w:tc>
          <w:tcPr>
            <w:tcW w:w="3129" w:type="dxa"/>
            <w:vAlign w:val="center"/>
          </w:tcPr>
          <w:p w:rsidR="00886A5A" w:rsidRPr="00C47350" w:rsidP="00C47350" w14:paraId="207B74A2" w14:textId="77777777">
            <w:pPr>
              <w:pStyle w:val="Style1"/>
              <w:jc w:val="center"/>
              <w:rPr>
                <w:sz w:val="20"/>
                <w:szCs w:val="20"/>
              </w:rPr>
            </w:pPr>
            <w:r w:rsidRPr="00C47350">
              <w:rPr>
                <w:sz w:val="20"/>
                <w:szCs w:val="20"/>
              </w:rPr>
              <w:t>3m: 9.5-13.5</w:t>
            </w:r>
          </w:p>
        </w:tc>
        <w:tc>
          <w:tcPr>
            <w:tcW w:w="2451" w:type="dxa"/>
            <w:vMerge/>
            <w:vAlign w:val="center"/>
          </w:tcPr>
          <w:p w:rsidR="00886A5A" w:rsidRPr="00C47350" w:rsidP="00C47350" w14:paraId="207B74A3" w14:textId="602B71B3">
            <w:pPr>
              <w:pStyle w:val="Style1"/>
              <w:jc w:val="center"/>
              <w:rPr>
                <w:sz w:val="20"/>
                <w:szCs w:val="20"/>
              </w:rPr>
            </w:pPr>
          </w:p>
        </w:tc>
      </w:tr>
      <w:tr w14:paraId="207B74A9" w14:textId="77777777" w:rsidTr="00C47350">
        <w:tblPrEx>
          <w:tblW w:w="9900" w:type="dxa"/>
          <w:tblInd w:w="-275" w:type="dxa"/>
          <w:tblLook w:val="04A0"/>
        </w:tblPrEx>
        <w:tc>
          <w:tcPr>
            <w:tcW w:w="2340" w:type="dxa"/>
            <w:vMerge/>
            <w:vAlign w:val="center"/>
          </w:tcPr>
          <w:p w:rsidR="00886A5A" w:rsidRPr="00C47350" w:rsidP="00C47350" w14:paraId="207B74A5" w14:textId="77777777">
            <w:pPr>
              <w:pStyle w:val="Style1"/>
              <w:jc w:val="center"/>
              <w:rPr>
                <w:sz w:val="20"/>
                <w:szCs w:val="20"/>
              </w:rPr>
            </w:pPr>
          </w:p>
        </w:tc>
        <w:tc>
          <w:tcPr>
            <w:tcW w:w="1980" w:type="dxa"/>
            <w:vMerge/>
            <w:vAlign w:val="center"/>
          </w:tcPr>
          <w:p w:rsidR="00886A5A" w:rsidRPr="00C47350" w:rsidP="00C47350" w14:paraId="207B74A6" w14:textId="77777777">
            <w:pPr>
              <w:pStyle w:val="Style1"/>
              <w:jc w:val="center"/>
              <w:rPr>
                <w:sz w:val="20"/>
                <w:szCs w:val="20"/>
              </w:rPr>
            </w:pPr>
          </w:p>
        </w:tc>
        <w:tc>
          <w:tcPr>
            <w:tcW w:w="3129" w:type="dxa"/>
            <w:vAlign w:val="center"/>
          </w:tcPr>
          <w:p w:rsidR="00886A5A" w:rsidRPr="00C47350" w:rsidP="00C47350" w14:paraId="207B74A7" w14:textId="77777777">
            <w:pPr>
              <w:pStyle w:val="Style1"/>
              <w:jc w:val="center"/>
              <w:rPr>
                <w:sz w:val="20"/>
                <w:szCs w:val="20"/>
              </w:rPr>
            </w:pPr>
            <w:r w:rsidRPr="00C47350">
              <w:rPr>
                <w:sz w:val="20"/>
                <w:szCs w:val="20"/>
              </w:rPr>
              <w:t>2m: 9-14</w:t>
            </w:r>
          </w:p>
        </w:tc>
        <w:tc>
          <w:tcPr>
            <w:tcW w:w="2451" w:type="dxa"/>
            <w:vMerge/>
          </w:tcPr>
          <w:p w:rsidR="00886A5A" w:rsidRPr="00C47350" w:rsidP="00240306" w14:paraId="207B74A8" w14:textId="77777777">
            <w:pPr>
              <w:pStyle w:val="Style1"/>
              <w:rPr>
                <w:sz w:val="20"/>
                <w:szCs w:val="20"/>
              </w:rPr>
            </w:pPr>
          </w:p>
        </w:tc>
      </w:tr>
      <w:tr w14:paraId="207B74AE" w14:textId="77777777" w:rsidTr="00C47350">
        <w:tblPrEx>
          <w:tblW w:w="9900" w:type="dxa"/>
          <w:tblInd w:w="-275" w:type="dxa"/>
          <w:tblLook w:val="04A0"/>
        </w:tblPrEx>
        <w:tc>
          <w:tcPr>
            <w:tcW w:w="2340" w:type="dxa"/>
            <w:vMerge/>
            <w:vAlign w:val="center"/>
          </w:tcPr>
          <w:p w:rsidR="00886A5A" w:rsidRPr="00C47350" w:rsidP="00C47350" w14:paraId="207B74AA" w14:textId="77777777">
            <w:pPr>
              <w:pStyle w:val="Style1"/>
              <w:jc w:val="center"/>
              <w:rPr>
                <w:sz w:val="20"/>
                <w:szCs w:val="20"/>
              </w:rPr>
            </w:pPr>
          </w:p>
        </w:tc>
        <w:tc>
          <w:tcPr>
            <w:tcW w:w="1980" w:type="dxa"/>
            <w:vMerge/>
            <w:vAlign w:val="center"/>
          </w:tcPr>
          <w:p w:rsidR="00886A5A" w:rsidRPr="00C47350" w:rsidP="00C47350" w14:paraId="207B74AB" w14:textId="77777777">
            <w:pPr>
              <w:pStyle w:val="Style1"/>
              <w:jc w:val="center"/>
              <w:rPr>
                <w:sz w:val="20"/>
                <w:szCs w:val="20"/>
              </w:rPr>
            </w:pPr>
          </w:p>
        </w:tc>
        <w:tc>
          <w:tcPr>
            <w:tcW w:w="3129" w:type="dxa"/>
            <w:vAlign w:val="center"/>
          </w:tcPr>
          <w:p w:rsidR="00886A5A" w:rsidRPr="00C47350" w:rsidP="00C47350" w14:paraId="207B74AC" w14:textId="77777777">
            <w:pPr>
              <w:pStyle w:val="Style1"/>
              <w:jc w:val="center"/>
              <w:rPr>
                <w:sz w:val="20"/>
                <w:szCs w:val="20"/>
              </w:rPr>
            </w:pPr>
            <w:r w:rsidRPr="00C47350">
              <w:rPr>
                <w:sz w:val="20"/>
                <w:szCs w:val="20"/>
              </w:rPr>
              <w:t>1m: 10-18</w:t>
            </w:r>
          </w:p>
        </w:tc>
        <w:tc>
          <w:tcPr>
            <w:tcW w:w="2451" w:type="dxa"/>
            <w:vMerge/>
          </w:tcPr>
          <w:p w:rsidR="00886A5A" w:rsidRPr="00C47350" w:rsidP="00240306" w14:paraId="207B74AD" w14:textId="77777777">
            <w:pPr>
              <w:pStyle w:val="Style1"/>
              <w:rPr>
                <w:sz w:val="20"/>
                <w:szCs w:val="20"/>
              </w:rPr>
            </w:pPr>
          </w:p>
        </w:tc>
      </w:tr>
      <w:tr w14:paraId="207B74B3" w14:textId="77777777" w:rsidTr="00C47350">
        <w:tblPrEx>
          <w:tblW w:w="9900" w:type="dxa"/>
          <w:tblInd w:w="-275" w:type="dxa"/>
          <w:tblLook w:val="04A0"/>
        </w:tblPrEx>
        <w:tc>
          <w:tcPr>
            <w:tcW w:w="2340" w:type="dxa"/>
            <w:vMerge/>
            <w:vAlign w:val="center"/>
          </w:tcPr>
          <w:p w:rsidR="00886A5A" w:rsidRPr="00C47350" w:rsidP="00C47350" w14:paraId="207B74AF" w14:textId="77777777">
            <w:pPr>
              <w:pStyle w:val="Style1"/>
              <w:jc w:val="center"/>
              <w:rPr>
                <w:sz w:val="20"/>
                <w:szCs w:val="20"/>
              </w:rPr>
            </w:pPr>
          </w:p>
        </w:tc>
        <w:tc>
          <w:tcPr>
            <w:tcW w:w="1980" w:type="dxa"/>
            <w:vMerge/>
            <w:vAlign w:val="center"/>
          </w:tcPr>
          <w:p w:rsidR="00886A5A" w:rsidRPr="00C47350" w:rsidP="00C47350" w14:paraId="207B74B0" w14:textId="77777777">
            <w:pPr>
              <w:pStyle w:val="Style1"/>
              <w:jc w:val="center"/>
              <w:rPr>
                <w:sz w:val="20"/>
                <w:szCs w:val="20"/>
              </w:rPr>
            </w:pPr>
          </w:p>
        </w:tc>
        <w:tc>
          <w:tcPr>
            <w:tcW w:w="3129" w:type="dxa"/>
            <w:vAlign w:val="center"/>
          </w:tcPr>
          <w:p w:rsidR="00886A5A" w:rsidRPr="00C47350" w:rsidP="00C47350" w14:paraId="207B74B1" w14:textId="77777777">
            <w:pPr>
              <w:pStyle w:val="Style1"/>
              <w:jc w:val="center"/>
              <w:rPr>
                <w:sz w:val="20"/>
                <w:szCs w:val="20"/>
              </w:rPr>
            </w:pPr>
            <w:r w:rsidRPr="00C47350">
              <w:rPr>
                <w:sz w:val="20"/>
                <w:szCs w:val="20"/>
              </w:rPr>
              <w:t>14d: 12.5-20.5</w:t>
            </w:r>
          </w:p>
        </w:tc>
        <w:tc>
          <w:tcPr>
            <w:tcW w:w="2451" w:type="dxa"/>
            <w:vMerge/>
          </w:tcPr>
          <w:p w:rsidR="00886A5A" w:rsidRPr="00C47350" w:rsidP="00240306" w14:paraId="207B74B2" w14:textId="77777777">
            <w:pPr>
              <w:pStyle w:val="Style1"/>
              <w:rPr>
                <w:sz w:val="20"/>
                <w:szCs w:val="20"/>
              </w:rPr>
            </w:pPr>
          </w:p>
        </w:tc>
      </w:tr>
      <w:tr w14:paraId="207B74B8" w14:textId="77777777" w:rsidTr="00134D89">
        <w:tblPrEx>
          <w:tblW w:w="9900" w:type="dxa"/>
          <w:tblInd w:w="-275" w:type="dxa"/>
          <w:tblLook w:val="04A0"/>
        </w:tblPrEx>
        <w:tc>
          <w:tcPr>
            <w:tcW w:w="2340" w:type="dxa"/>
            <w:vMerge/>
            <w:vAlign w:val="center"/>
          </w:tcPr>
          <w:p w:rsidR="00886A5A" w:rsidRPr="00C47350" w:rsidP="00134D89" w14:paraId="207B74B4" w14:textId="0EF3DA00">
            <w:pPr>
              <w:pStyle w:val="Style1"/>
              <w:jc w:val="center"/>
              <w:rPr>
                <w:sz w:val="20"/>
                <w:szCs w:val="20"/>
              </w:rPr>
            </w:pPr>
          </w:p>
        </w:tc>
        <w:tc>
          <w:tcPr>
            <w:tcW w:w="1980" w:type="dxa"/>
            <w:vMerge/>
            <w:vAlign w:val="center"/>
          </w:tcPr>
          <w:p w:rsidR="00886A5A" w:rsidRPr="00C47350" w:rsidP="00134D89" w14:paraId="207B74B5" w14:textId="41199EF4">
            <w:pPr>
              <w:pStyle w:val="Style1"/>
              <w:jc w:val="center"/>
              <w:rPr>
                <w:sz w:val="20"/>
                <w:szCs w:val="20"/>
              </w:rPr>
            </w:pPr>
          </w:p>
        </w:tc>
        <w:tc>
          <w:tcPr>
            <w:tcW w:w="3129" w:type="dxa"/>
            <w:vAlign w:val="center"/>
          </w:tcPr>
          <w:p w:rsidR="00886A5A" w:rsidRPr="00C47350" w:rsidP="00134D89" w14:paraId="207B74B6" w14:textId="77777777">
            <w:pPr>
              <w:pStyle w:val="Style1"/>
              <w:jc w:val="center"/>
              <w:rPr>
                <w:sz w:val="20"/>
                <w:szCs w:val="20"/>
              </w:rPr>
            </w:pPr>
            <w:r w:rsidRPr="00C47350">
              <w:rPr>
                <w:sz w:val="20"/>
                <w:szCs w:val="20"/>
              </w:rPr>
              <w:t>7d: 13.5-21.5</w:t>
            </w:r>
          </w:p>
        </w:tc>
        <w:tc>
          <w:tcPr>
            <w:tcW w:w="2451" w:type="dxa"/>
            <w:vMerge/>
            <w:vAlign w:val="center"/>
          </w:tcPr>
          <w:p w:rsidR="00886A5A" w:rsidRPr="00C47350" w:rsidP="00134D89" w14:paraId="207B74B7" w14:textId="3D3E4F5D">
            <w:pPr>
              <w:pStyle w:val="Style1"/>
              <w:jc w:val="center"/>
              <w:rPr>
                <w:sz w:val="20"/>
                <w:szCs w:val="20"/>
              </w:rPr>
            </w:pPr>
          </w:p>
        </w:tc>
      </w:tr>
      <w:tr w14:paraId="207B74BD" w14:textId="77777777" w:rsidTr="00C47350">
        <w:tblPrEx>
          <w:tblW w:w="9900" w:type="dxa"/>
          <w:tblInd w:w="-275" w:type="dxa"/>
          <w:tblLook w:val="04A0"/>
        </w:tblPrEx>
        <w:tc>
          <w:tcPr>
            <w:tcW w:w="2340" w:type="dxa"/>
            <w:vMerge/>
            <w:vAlign w:val="center"/>
          </w:tcPr>
          <w:p w:rsidR="00886A5A" w:rsidRPr="00C47350" w:rsidP="00134D89" w14:paraId="207B74B9" w14:textId="77777777">
            <w:pPr>
              <w:pStyle w:val="Style1"/>
              <w:jc w:val="center"/>
              <w:rPr>
                <w:sz w:val="20"/>
                <w:szCs w:val="20"/>
              </w:rPr>
            </w:pPr>
          </w:p>
        </w:tc>
        <w:tc>
          <w:tcPr>
            <w:tcW w:w="1980" w:type="dxa"/>
            <w:vMerge/>
            <w:vAlign w:val="center"/>
          </w:tcPr>
          <w:p w:rsidR="00886A5A" w:rsidRPr="00C47350" w:rsidP="00134D89" w14:paraId="207B74BA" w14:textId="77777777">
            <w:pPr>
              <w:pStyle w:val="Style1"/>
              <w:jc w:val="center"/>
              <w:rPr>
                <w:sz w:val="20"/>
                <w:szCs w:val="20"/>
              </w:rPr>
            </w:pPr>
          </w:p>
        </w:tc>
        <w:tc>
          <w:tcPr>
            <w:tcW w:w="3129" w:type="dxa"/>
            <w:vAlign w:val="center"/>
          </w:tcPr>
          <w:p w:rsidR="00886A5A" w:rsidRPr="00C47350" w:rsidP="00134D89" w14:paraId="207B74BB" w14:textId="77777777">
            <w:pPr>
              <w:pStyle w:val="Style1"/>
              <w:jc w:val="center"/>
              <w:rPr>
                <w:sz w:val="20"/>
                <w:szCs w:val="20"/>
              </w:rPr>
            </w:pPr>
            <w:r w:rsidRPr="00C47350">
              <w:rPr>
                <w:sz w:val="20"/>
                <w:szCs w:val="20"/>
              </w:rPr>
              <w:t>1d: 14.5-22.5</w:t>
            </w:r>
          </w:p>
        </w:tc>
        <w:tc>
          <w:tcPr>
            <w:tcW w:w="2451" w:type="dxa"/>
            <w:vMerge/>
          </w:tcPr>
          <w:p w:rsidR="00886A5A" w:rsidRPr="00C47350" w:rsidP="00134D89" w14:paraId="207B74BC" w14:textId="77777777">
            <w:pPr>
              <w:pStyle w:val="Style1"/>
              <w:rPr>
                <w:sz w:val="20"/>
                <w:szCs w:val="20"/>
              </w:rPr>
            </w:pPr>
          </w:p>
        </w:tc>
      </w:tr>
      <w:tr w14:paraId="207B74C2" w14:textId="77777777" w:rsidTr="00C47350">
        <w:tblPrEx>
          <w:tblW w:w="9900" w:type="dxa"/>
          <w:tblInd w:w="-275" w:type="dxa"/>
          <w:tblLook w:val="04A0"/>
        </w:tblPrEx>
        <w:tc>
          <w:tcPr>
            <w:tcW w:w="2340" w:type="dxa"/>
            <w:vMerge/>
            <w:vAlign w:val="center"/>
          </w:tcPr>
          <w:p w:rsidR="00886A5A" w:rsidRPr="00C47350" w:rsidP="00134D89" w14:paraId="207B74BE" w14:textId="77777777">
            <w:pPr>
              <w:pStyle w:val="Style1"/>
              <w:jc w:val="center"/>
              <w:rPr>
                <w:sz w:val="20"/>
                <w:szCs w:val="20"/>
              </w:rPr>
            </w:pPr>
          </w:p>
        </w:tc>
        <w:tc>
          <w:tcPr>
            <w:tcW w:w="1980" w:type="dxa"/>
            <w:vMerge/>
            <w:vAlign w:val="center"/>
          </w:tcPr>
          <w:p w:rsidR="00886A5A" w:rsidRPr="00C47350" w:rsidP="00134D89" w14:paraId="207B74BF" w14:textId="77777777">
            <w:pPr>
              <w:pStyle w:val="Style1"/>
              <w:jc w:val="center"/>
              <w:rPr>
                <w:sz w:val="20"/>
                <w:szCs w:val="20"/>
              </w:rPr>
            </w:pPr>
          </w:p>
        </w:tc>
        <w:tc>
          <w:tcPr>
            <w:tcW w:w="3129" w:type="dxa"/>
            <w:vAlign w:val="center"/>
          </w:tcPr>
          <w:p w:rsidR="00886A5A" w:rsidRPr="00C47350" w:rsidP="00134D89" w14:paraId="207B74C0" w14:textId="77777777">
            <w:pPr>
              <w:pStyle w:val="Style1"/>
              <w:jc w:val="center"/>
              <w:rPr>
                <w:sz w:val="20"/>
                <w:szCs w:val="20"/>
              </w:rPr>
            </w:pPr>
            <w:r w:rsidRPr="00C47350">
              <w:rPr>
                <w:sz w:val="20"/>
                <w:szCs w:val="20"/>
              </w:rPr>
              <w:t>0d: 13.5-19.5</w:t>
            </w:r>
          </w:p>
        </w:tc>
        <w:tc>
          <w:tcPr>
            <w:tcW w:w="2451" w:type="dxa"/>
            <w:vMerge/>
          </w:tcPr>
          <w:p w:rsidR="00886A5A" w:rsidRPr="00C47350" w:rsidP="00134D89" w14:paraId="207B74C1" w14:textId="77777777">
            <w:pPr>
              <w:pStyle w:val="Style1"/>
              <w:rPr>
                <w:sz w:val="20"/>
                <w:szCs w:val="20"/>
              </w:rPr>
            </w:pPr>
          </w:p>
        </w:tc>
      </w:tr>
      <w:tr w14:paraId="1EE15DC0" w14:textId="77777777" w:rsidTr="00CD2869">
        <w:tblPrEx>
          <w:tblW w:w="9900" w:type="dxa"/>
          <w:tblInd w:w="-275" w:type="dxa"/>
          <w:tblLook w:val="04A0"/>
        </w:tblPrEx>
        <w:tc>
          <w:tcPr>
            <w:tcW w:w="2340" w:type="dxa"/>
            <w:vAlign w:val="center"/>
          </w:tcPr>
          <w:p w:rsidR="009F62D8" w:rsidP="00CD2869" w14:paraId="2203D35F" w14:textId="77777777">
            <w:pPr>
              <w:pStyle w:val="Style1"/>
              <w:jc w:val="center"/>
              <w:rPr>
                <w:b/>
                <w:sz w:val="20"/>
                <w:szCs w:val="20"/>
              </w:rPr>
            </w:pPr>
            <w:r>
              <w:rPr>
                <w:b/>
                <w:sz w:val="20"/>
                <w:szCs w:val="20"/>
              </w:rPr>
              <w:t>ACT (Activated Clotting Time)</w:t>
            </w:r>
          </w:p>
          <w:p w:rsidR="009F62D8" w:rsidRPr="00C47350" w:rsidP="00CD2869" w14:paraId="07D09A4A" w14:textId="77777777">
            <w:pPr>
              <w:pStyle w:val="Style1"/>
              <w:jc w:val="center"/>
              <w:rPr>
                <w:b/>
                <w:sz w:val="20"/>
                <w:szCs w:val="20"/>
              </w:rPr>
            </w:pPr>
            <w:r>
              <w:rPr>
                <w:b/>
                <w:sz w:val="20"/>
                <w:szCs w:val="20"/>
              </w:rPr>
              <w:t>Celite Activated</w:t>
            </w:r>
          </w:p>
        </w:tc>
        <w:tc>
          <w:tcPr>
            <w:tcW w:w="1980" w:type="dxa"/>
            <w:vAlign w:val="center"/>
          </w:tcPr>
          <w:p w:rsidR="009F62D8" w:rsidRPr="00C47350" w:rsidP="00CD2869" w14:paraId="68BBB3E4" w14:textId="77777777">
            <w:pPr>
              <w:pStyle w:val="Style1"/>
              <w:jc w:val="center"/>
              <w:rPr>
                <w:sz w:val="20"/>
                <w:szCs w:val="20"/>
              </w:rPr>
            </w:pPr>
            <w:r>
              <w:rPr>
                <w:sz w:val="20"/>
                <w:szCs w:val="20"/>
              </w:rPr>
              <w:t>Seconds</w:t>
            </w:r>
          </w:p>
        </w:tc>
        <w:tc>
          <w:tcPr>
            <w:tcW w:w="3129" w:type="dxa"/>
            <w:vAlign w:val="center"/>
          </w:tcPr>
          <w:p w:rsidR="009F62D8" w:rsidP="00CD2869" w14:paraId="03F115B6" w14:textId="77777777">
            <w:pPr>
              <w:pStyle w:val="Style1"/>
              <w:jc w:val="center"/>
              <w:rPr>
                <w:sz w:val="20"/>
                <w:szCs w:val="20"/>
              </w:rPr>
            </w:pPr>
            <w:r>
              <w:rPr>
                <w:sz w:val="20"/>
                <w:szCs w:val="20"/>
              </w:rPr>
              <w:t>Celite-Non warm</w:t>
            </w:r>
          </w:p>
          <w:p w:rsidR="009F62D8" w:rsidP="00CD2869" w14:paraId="52DA9F76" w14:textId="77777777">
            <w:pPr>
              <w:pStyle w:val="Style1"/>
              <w:jc w:val="center"/>
              <w:rPr>
                <w:sz w:val="20"/>
                <w:szCs w:val="20"/>
              </w:rPr>
            </w:pPr>
            <w:r>
              <w:rPr>
                <w:sz w:val="20"/>
                <w:szCs w:val="20"/>
              </w:rPr>
              <w:t>Non-Heparinized</w:t>
            </w:r>
          </w:p>
          <w:p w:rsidR="009F62D8" w:rsidRPr="00C47350" w:rsidP="00CD2869" w14:paraId="2824627C" w14:textId="77777777">
            <w:pPr>
              <w:pStyle w:val="Style1"/>
              <w:jc w:val="center"/>
              <w:rPr>
                <w:sz w:val="20"/>
                <w:szCs w:val="20"/>
              </w:rPr>
            </w:pPr>
            <w:r>
              <w:rPr>
                <w:sz w:val="20"/>
                <w:szCs w:val="20"/>
              </w:rPr>
              <w:t>84-139</w:t>
            </w:r>
          </w:p>
        </w:tc>
        <w:tc>
          <w:tcPr>
            <w:tcW w:w="2451" w:type="dxa"/>
            <w:vAlign w:val="center"/>
          </w:tcPr>
          <w:p w:rsidR="009F62D8" w:rsidRPr="00C47350" w:rsidP="00CD2869" w14:paraId="16E3091D" w14:textId="77777777">
            <w:pPr>
              <w:pStyle w:val="Style1"/>
              <w:jc w:val="center"/>
              <w:rPr>
                <w:sz w:val="20"/>
                <w:szCs w:val="20"/>
              </w:rPr>
            </w:pPr>
            <w:r>
              <w:rPr>
                <w:sz w:val="20"/>
                <w:szCs w:val="20"/>
              </w:rPr>
              <w:t>50-1000</w:t>
            </w:r>
          </w:p>
        </w:tc>
      </w:tr>
    </w:tbl>
    <w:p w:rsidR="007B196E" w:rsidP="009F62D8" w14:paraId="57ACA1AB" w14:textId="01363BD8">
      <w:pPr>
        <w:pStyle w:val="Style1"/>
      </w:pPr>
      <w:r>
        <w:t>Revision 9/24</w:t>
      </w:r>
    </w:p>
    <w:p w:rsidR="00240306" w:rsidP="00240306" w14:paraId="207B74FB" w14:textId="77777777">
      <w:pPr>
        <w:pStyle w:val="Style1"/>
      </w:pPr>
    </w:p>
    <w:p w:rsidR="00FC46AC" w14:paraId="207B74FC" w14:textId="21BEE5E8">
      <w:pPr>
        <w:rPr>
          <w:szCs w:val="24"/>
        </w:rPr>
      </w:pPr>
      <w:r>
        <w:br w:type="page"/>
      </w:r>
    </w:p>
    <w:p w:rsidR="00D171FF" w:rsidP="00005413" w14:paraId="470325F1" w14:textId="72F84DBB">
      <w:pPr>
        <w:pStyle w:val="Style1"/>
        <w:numPr>
          <w:ilvl w:val="0"/>
          <w:numId w:val="15"/>
        </w:numPr>
        <w:rPr>
          <w:rFonts w:cs="Arial"/>
          <w:szCs w:val="22"/>
        </w:rPr>
      </w:pPr>
      <w:r>
        <w:rPr>
          <w:rFonts w:cs="Arial"/>
          <w:szCs w:val="22"/>
        </w:rPr>
        <w:t xml:space="preserve"> </w:t>
      </w:r>
      <w:r w:rsidRPr="00D171FF">
        <w:rPr>
          <w:rFonts w:cs="Arial"/>
          <w:szCs w:val="22"/>
        </w:rPr>
        <w:t>Critical Ranges</w:t>
      </w:r>
    </w:p>
    <w:p w:rsidR="00D171FF" w:rsidRPr="00D171FF" w:rsidP="00D171FF" w14:paraId="404A9D0D" w14:textId="77777777">
      <w:pPr>
        <w:rPr>
          <w:rFonts w:cs="Arial"/>
          <w:i/>
          <w:szCs w:val="22"/>
        </w:rPr>
      </w:pPr>
    </w:p>
    <w:p w:rsidR="00FC46AC" w:rsidRPr="00D171FF" w:rsidP="00D171FF" w14:paraId="1087965C" w14:textId="05D13A12">
      <w:pPr>
        <w:pStyle w:val="ListParagraph"/>
        <w:numPr>
          <w:ilvl w:val="0"/>
          <w:numId w:val="0"/>
        </w:numPr>
        <w:ind w:left="360"/>
        <w:rPr>
          <w:rFonts w:cs="Arial"/>
          <w:b/>
          <w:bCs/>
          <w:i/>
          <w:sz w:val="28"/>
          <w:szCs w:val="28"/>
        </w:rPr>
      </w:pPr>
      <w:r>
        <w:rPr>
          <w:rFonts w:cs="Arial"/>
          <w:b/>
          <w:bCs/>
          <w:sz w:val="28"/>
          <w:szCs w:val="28"/>
        </w:rPr>
        <w:t xml:space="preserve">             </w:t>
      </w:r>
      <w:r w:rsidRPr="00D171FF">
        <w:rPr>
          <w:rFonts w:cs="Arial"/>
          <w:b/>
          <w:bCs/>
          <w:sz w:val="28"/>
          <w:szCs w:val="28"/>
        </w:rPr>
        <w:t>Point-of-Care Testing (POCT) Critical Value Limits</w:t>
      </w:r>
    </w:p>
    <w:p w:rsidR="00FC46AC" w:rsidRPr="00E512C3" w:rsidP="00FC46AC" w14:paraId="3C9FF37B" w14:textId="77777777">
      <w:pPr>
        <w:jc w:val="center"/>
        <w:rPr>
          <w:rFonts w:cs="Arial"/>
          <w:b/>
          <w:bCs/>
          <w:sz w:val="18"/>
          <w:szCs w:val="18"/>
        </w:rPr>
      </w:pPr>
      <w:r w:rsidRPr="00E512C3">
        <w:rPr>
          <w:rFonts w:cs="Arial"/>
          <w:b/>
          <w:bCs/>
          <w:sz w:val="18"/>
          <w:szCs w:val="18"/>
        </w:rPr>
        <w:t>Defined for Point of Care Testing by the Clinical Laboratory</w:t>
      </w:r>
    </w:p>
    <w:p w:rsidR="00FC46AC" w:rsidRPr="000E468A" w:rsidP="00005413" w14:paraId="4E5FCE05" w14:textId="36EABB6C">
      <w:pPr>
        <w:jc w:val="center"/>
        <w:rPr>
          <w:rFonts w:cs="Arial"/>
          <w:b/>
          <w:bCs/>
          <w:sz w:val="18"/>
          <w:szCs w:val="18"/>
        </w:rPr>
      </w:pPr>
      <w:r w:rsidRPr="00E512C3">
        <w:rPr>
          <w:rFonts w:cs="Arial"/>
          <w:b/>
          <w:bCs/>
          <w:sz w:val="18"/>
          <w:szCs w:val="18"/>
        </w:rPr>
        <w:t>in Conjunction with the Medical Directors for POCT User Sites</w:t>
      </w:r>
    </w:p>
    <w:tbl>
      <w:tblPr>
        <w:tblW w:w="10203" w:type="dxa"/>
        <w:tblInd w:w="-434" w:type="dxa"/>
        <w:tblLayout w:type="fixed"/>
        <w:tblCellMar>
          <w:left w:w="0" w:type="dxa"/>
          <w:right w:w="0" w:type="dxa"/>
        </w:tblCellMar>
        <w:tblLook w:val="01E0"/>
      </w:tblPr>
      <w:tblGrid>
        <w:gridCol w:w="1960"/>
        <w:gridCol w:w="810"/>
        <w:gridCol w:w="1620"/>
        <w:gridCol w:w="1800"/>
        <w:gridCol w:w="1800"/>
        <w:gridCol w:w="2213"/>
      </w:tblGrid>
      <w:tr w14:paraId="154461BA" w14:textId="77777777" w:rsidTr="00CD2869">
        <w:tblPrEx>
          <w:tblW w:w="10203" w:type="dxa"/>
          <w:tblInd w:w="-434" w:type="dxa"/>
          <w:tblLayout w:type="fixed"/>
          <w:tblCellMar>
            <w:left w:w="0" w:type="dxa"/>
            <w:right w:w="0" w:type="dxa"/>
          </w:tblCellMar>
          <w:tblLook w:val="01E0"/>
        </w:tblPrEx>
        <w:trPr>
          <w:trHeight w:hRule="exact" w:val="552"/>
        </w:trPr>
        <w:tc>
          <w:tcPr>
            <w:tcW w:w="1960"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E512C3" w:rsidP="00CD2869" w14:paraId="4C6F64F1" w14:textId="77777777">
            <w:pPr>
              <w:rPr>
                <w:rFonts w:cs="Arial"/>
                <w:b/>
                <w:bCs/>
                <w:sz w:val="18"/>
                <w:szCs w:val="18"/>
              </w:rPr>
            </w:pPr>
            <w:r w:rsidRPr="00E512C3">
              <w:rPr>
                <w:rFonts w:cs="Arial"/>
                <w:b/>
                <w:bCs/>
                <w:sz w:val="18"/>
                <w:szCs w:val="18"/>
              </w:rPr>
              <w:t>Analyte</w:t>
            </w:r>
          </w:p>
        </w:tc>
        <w:tc>
          <w:tcPr>
            <w:tcW w:w="810"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E512C3" w:rsidP="00CD2869" w14:paraId="68804432" w14:textId="77777777">
            <w:pPr>
              <w:jc w:val="center"/>
              <w:rPr>
                <w:rFonts w:cs="Arial"/>
                <w:b/>
                <w:bCs/>
                <w:sz w:val="18"/>
                <w:szCs w:val="18"/>
              </w:rPr>
            </w:pPr>
            <w:r w:rsidRPr="00E512C3">
              <w:rPr>
                <w:rFonts w:cs="Arial"/>
                <w:b/>
                <w:bCs/>
                <w:sz w:val="18"/>
                <w:szCs w:val="18"/>
              </w:rPr>
              <w:t>Method</w:t>
            </w:r>
          </w:p>
        </w:tc>
        <w:tc>
          <w:tcPr>
            <w:tcW w:w="1620"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891855" w:rsidP="00CD2869" w14:paraId="1BC5196B" w14:textId="77777777">
            <w:pPr>
              <w:rPr>
                <w:rFonts w:cs="Arial"/>
                <w:b/>
                <w:bCs/>
                <w:color w:val="FFFFFF" w:themeColor="background1"/>
                <w:sz w:val="18"/>
                <w:szCs w:val="18"/>
              </w:rPr>
            </w:pPr>
            <w:r w:rsidRPr="00891855">
              <w:rPr>
                <w:rFonts w:cs="Arial"/>
                <w:b/>
                <w:bCs/>
                <w:color w:val="FFFFFF" w:themeColor="background1"/>
                <w:sz w:val="18"/>
                <w:szCs w:val="18"/>
              </w:rPr>
              <w:t>Adult</w:t>
            </w:r>
          </w:p>
          <w:p w:rsidR="00FC46AC" w:rsidRPr="00891855" w:rsidP="00CD2869" w14:paraId="736CDCE2" w14:textId="77777777">
            <w:pPr>
              <w:rPr>
                <w:rFonts w:cs="Arial"/>
                <w:b/>
                <w:bCs/>
                <w:color w:val="FFFFFF" w:themeColor="background1"/>
                <w:sz w:val="18"/>
                <w:szCs w:val="18"/>
              </w:rPr>
            </w:pPr>
            <w:r w:rsidRPr="00891855">
              <w:rPr>
                <w:rFonts w:cs="Arial"/>
                <w:b/>
                <w:bCs/>
                <w:color w:val="FFFFFF" w:themeColor="background1"/>
                <w:sz w:val="18"/>
                <w:szCs w:val="18"/>
              </w:rPr>
              <w:t>(&gt;18 yrs)</w:t>
            </w:r>
          </w:p>
        </w:tc>
        <w:tc>
          <w:tcPr>
            <w:tcW w:w="1800"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891855" w:rsidP="00CD2869" w14:paraId="3262C117" w14:textId="77777777">
            <w:pPr>
              <w:rPr>
                <w:rFonts w:cs="Arial"/>
                <w:b/>
                <w:bCs/>
                <w:color w:val="FFFFFF" w:themeColor="background1"/>
                <w:sz w:val="18"/>
                <w:szCs w:val="18"/>
              </w:rPr>
            </w:pPr>
            <w:r w:rsidRPr="00891855">
              <w:rPr>
                <w:rFonts w:cs="Arial"/>
                <w:b/>
                <w:bCs/>
                <w:color w:val="FFFFFF" w:themeColor="background1"/>
                <w:sz w:val="18"/>
                <w:szCs w:val="18"/>
              </w:rPr>
              <w:t>Pediatric</w:t>
            </w:r>
          </w:p>
          <w:p w:rsidR="00FC46AC" w:rsidRPr="00891855" w:rsidP="00CD2869" w14:paraId="119653EB" w14:textId="77777777">
            <w:pPr>
              <w:rPr>
                <w:rFonts w:cs="Arial"/>
                <w:b/>
                <w:bCs/>
                <w:color w:val="FFFFFF" w:themeColor="background1"/>
                <w:sz w:val="18"/>
                <w:szCs w:val="18"/>
              </w:rPr>
            </w:pPr>
            <w:r w:rsidRPr="00891855">
              <w:rPr>
                <w:rFonts w:cs="Arial"/>
                <w:b/>
                <w:bCs/>
                <w:color w:val="FFFFFF" w:themeColor="background1"/>
                <w:sz w:val="18"/>
                <w:szCs w:val="18"/>
              </w:rPr>
              <w:t>(&gt;1 month-18 yrs)</w:t>
            </w:r>
          </w:p>
        </w:tc>
        <w:tc>
          <w:tcPr>
            <w:tcW w:w="1800"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891855" w:rsidP="00CD2869" w14:paraId="4F1E1990" w14:textId="77777777">
            <w:pPr>
              <w:rPr>
                <w:rFonts w:cs="Arial"/>
                <w:b/>
                <w:bCs/>
                <w:color w:val="FFFFFF" w:themeColor="background1"/>
                <w:sz w:val="18"/>
                <w:szCs w:val="18"/>
              </w:rPr>
            </w:pPr>
            <w:r w:rsidRPr="00891855">
              <w:rPr>
                <w:rFonts w:cs="Arial"/>
                <w:b/>
                <w:bCs/>
                <w:color w:val="FFFFFF" w:themeColor="background1"/>
                <w:sz w:val="18"/>
                <w:szCs w:val="18"/>
              </w:rPr>
              <w:t xml:space="preserve">Neonate </w:t>
            </w:r>
          </w:p>
          <w:p w:rsidR="00FC46AC" w:rsidRPr="00891855" w:rsidP="00CD2869" w14:paraId="50C7962F" w14:textId="77777777">
            <w:pPr>
              <w:rPr>
                <w:rFonts w:cs="Arial"/>
                <w:b/>
                <w:bCs/>
                <w:color w:val="FFFFFF" w:themeColor="background1"/>
                <w:sz w:val="18"/>
                <w:szCs w:val="18"/>
              </w:rPr>
            </w:pPr>
            <w:r w:rsidRPr="00891855">
              <w:rPr>
                <w:rFonts w:cs="Arial"/>
                <w:b/>
                <w:bCs/>
                <w:color w:val="FFFFFF" w:themeColor="background1"/>
                <w:sz w:val="18"/>
                <w:szCs w:val="18"/>
              </w:rPr>
              <w:t>(0-28 days)</w:t>
            </w:r>
          </w:p>
        </w:tc>
        <w:tc>
          <w:tcPr>
            <w:tcW w:w="2213" w:type="dxa"/>
            <w:tcBorders>
              <w:top w:val="single" w:sz="5" w:space="0" w:color="000000"/>
              <w:left w:val="single" w:sz="5" w:space="0" w:color="000000"/>
              <w:bottom w:val="single" w:sz="5" w:space="0" w:color="000000"/>
              <w:right w:val="single" w:sz="5" w:space="0" w:color="000000"/>
            </w:tcBorders>
            <w:shd w:val="clear" w:color="auto" w:fill="0000FF"/>
            <w:vAlign w:val="center"/>
          </w:tcPr>
          <w:p w:rsidR="00FC46AC" w:rsidRPr="00E512C3" w:rsidP="00CD2869" w14:paraId="13D95FFE" w14:textId="77777777">
            <w:pPr>
              <w:rPr>
                <w:rFonts w:cs="Arial"/>
                <w:b/>
                <w:bCs/>
                <w:sz w:val="18"/>
                <w:szCs w:val="18"/>
              </w:rPr>
            </w:pPr>
            <w:r w:rsidRPr="00E512C3">
              <w:rPr>
                <w:rFonts w:cs="Arial"/>
                <w:b/>
                <w:bCs/>
                <w:sz w:val="18"/>
                <w:szCs w:val="18"/>
              </w:rPr>
              <w:t>Comments</w:t>
            </w:r>
          </w:p>
        </w:tc>
      </w:tr>
      <w:tr w14:paraId="5F0E1EB6" w14:textId="77777777" w:rsidTr="00CD2869">
        <w:tblPrEx>
          <w:tblW w:w="10203" w:type="dxa"/>
          <w:tblInd w:w="-434" w:type="dxa"/>
          <w:tblLayout w:type="fixed"/>
          <w:tblCellMar>
            <w:left w:w="0" w:type="dxa"/>
            <w:right w:w="0" w:type="dxa"/>
          </w:tblCellMar>
          <w:tblLook w:val="01E0"/>
        </w:tblPrEx>
        <w:trPr>
          <w:trHeight w:val="433"/>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B65D6DC" w14:textId="77777777">
            <w:pPr>
              <w:rPr>
                <w:rFonts w:cs="Arial"/>
                <w:sz w:val="18"/>
                <w:szCs w:val="18"/>
              </w:rPr>
            </w:pPr>
            <w:r w:rsidRPr="005D2A7D">
              <w:rPr>
                <w:rFonts w:cs="Arial"/>
                <w:sz w:val="18"/>
                <w:szCs w:val="18"/>
              </w:rPr>
              <w:t>Glucose mg/dL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0CF0C244" w14:textId="77777777">
            <w:pPr>
              <w:jc w:val="center"/>
              <w:rPr>
                <w:rFonts w:cs="Arial"/>
                <w:sz w:val="18"/>
                <w:szCs w:val="18"/>
              </w:rPr>
            </w:pPr>
            <w:r w:rsidRPr="005D2A7D">
              <w:rPr>
                <w:rFonts w:cs="Arial"/>
                <w:sz w:val="18"/>
                <w:szCs w:val="18"/>
              </w:rPr>
              <w:t>NOVA</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0B59666D" w14:textId="77777777">
            <w:pPr>
              <w:rPr>
                <w:rFonts w:cs="Arial"/>
                <w:sz w:val="18"/>
                <w:szCs w:val="18"/>
              </w:rPr>
            </w:pPr>
            <w:r w:rsidRPr="00672DE3">
              <w:rPr>
                <w:rFonts w:cs="Arial"/>
                <w:sz w:val="18"/>
                <w:szCs w:val="18"/>
              </w:rPr>
              <w:t>&lt;50 or &gt;400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7FBB0E27" w14:textId="77777777">
            <w:pPr>
              <w:rPr>
                <w:rFonts w:cs="Arial"/>
                <w:sz w:val="18"/>
                <w:szCs w:val="18"/>
              </w:rPr>
            </w:pPr>
            <w:r w:rsidRPr="00672DE3">
              <w:rPr>
                <w:rFonts w:cs="Arial"/>
                <w:sz w:val="18"/>
                <w:szCs w:val="18"/>
              </w:rPr>
              <w:t>&lt;50 or &gt;200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461AF4F7" w14:textId="77777777">
            <w:pPr>
              <w:rPr>
                <w:rFonts w:cs="Arial"/>
                <w:sz w:val="18"/>
                <w:szCs w:val="18"/>
              </w:rPr>
            </w:pPr>
            <w:r w:rsidRPr="00672DE3">
              <w:rPr>
                <w:rFonts w:cs="Arial"/>
                <w:sz w:val="18"/>
                <w:szCs w:val="18"/>
              </w:rPr>
              <w:t>&lt;50 or &gt;125</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33478E2" w14:textId="77777777">
            <w:pPr>
              <w:rPr>
                <w:rFonts w:cs="Arial"/>
                <w:strike/>
                <w:sz w:val="18"/>
                <w:szCs w:val="18"/>
              </w:rPr>
            </w:pPr>
          </w:p>
        </w:tc>
      </w:tr>
      <w:tr w14:paraId="3F482C0B" w14:textId="77777777" w:rsidTr="00CD2869">
        <w:tblPrEx>
          <w:tblW w:w="10203" w:type="dxa"/>
          <w:tblInd w:w="-434" w:type="dxa"/>
          <w:tblLayout w:type="fixed"/>
          <w:tblCellMar>
            <w:left w:w="0" w:type="dxa"/>
            <w:right w:w="0" w:type="dxa"/>
          </w:tblCellMar>
          <w:tblLook w:val="01E0"/>
        </w:tblPrEx>
        <w:trPr>
          <w:trHeight w:val="433"/>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3BBD1731" w14:textId="77777777">
            <w:pPr>
              <w:rPr>
                <w:rFonts w:cs="Arial"/>
                <w:sz w:val="18"/>
                <w:szCs w:val="18"/>
              </w:rPr>
            </w:pPr>
            <w:r w:rsidRPr="005D2A7D">
              <w:rPr>
                <w:rFonts w:cs="Arial"/>
                <w:sz w:val="18"/>
                <w:szCs w:val="18"/>
              </w:rPr>
              <w:t>Hematocrit % PCV</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02F7BEE"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8B23E18" w14:textId="77777777">
            <w:pPr>
              <w:rPr>
                <w:rFonts w:cs="Arial"/>
                <w:sz w:val="18"/>
                <w:szCs w:val="18"/>
              </w:rPr>
            </w:pPr>
            <w:r w:rsidRPr="00672DE3">
              <w:rPr>
                <w:rFonts w:cs="Arial"/>
                <w:sz w:val="18"/>
                <w:szCs w:val="18"/>
              </w:rPr>
              <w:t>&lt;=18 or &gt;=60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0904D006" w14:textId="77777777">
            <w:pPr>
              <w:rPr>
                <w:rFonts w:cs="Arial"/>
                <w:sz w:val="18"/>
                <w:szCs w:val="18"/>
              </w:rPr>
            </w:pPr>
            <w:r w:rsidRPr="00672DE3">
              <w:rPr>
                <w:rFonts w:cs="Arial"/>
                <w:sz w:val="18"/>
                <w:szCs w:val="18"/>
              </w:rPr>
              <w:t>&lt;=18 or &gt;=60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8AD3D97" w14:textId="77777777">
            <w:pPr>
              <w:rPr>
                <w:rFonts w:cs="Arial"/>
                <w:sz w:val="18"/>
                <w:szCs w:val="18"/>
              </w:rPr>
            </w:pPr>
            <w:r w:rsidRPr="00672DE3">
              <w:rPr>
                <w:rFonts w:cs="Arial"/>
                <w:sz w:val="18"/>
                <w:szCs w:val="18"/>
              </w:rPr>
              <w:t>0d &lt;=18 or &gt;=60.1</w:t>
            </w:r>
          </w:p>
          <w:p w:rsidR="00FC46AC" w:rsidRPr="00672DE3" w:rsidP="00CD2869" w14:paraId="4920814D" w14:textId="77777777">
            <w:pPr>
              <w:rPr>
                <w:rFonts w:cs="Arial"/>
                <w:sz w:val="18"/>
                <w:szCs w:val="18"/>
              </w:rPr>
            </w:pPr>
            <w:r w:rsidRPr="00672DE3">
              <w:rPr>
                <w:rFonts w:cs="Arial"/>
                <w:sz w:val="18"/>
                <w:szCs w:val="18"/>
              </w:rPr>
              <w:t>1d &lt;=18 or &gt;=67.1</w:t>
            </w:r>
          </w:p>
          <w:p w:rsidR="00FC46AC" w:rsidRPr="00672DE3" w:rsidP="00CD2869" w14:paraId="7F0D50B1" w14:textId="77777777">
            <w:pPr>
              <w:rPr>
                <w:rFonts w:cs="Arial"/>
                <w:sz w:val="18"/>
                <w:szCs w:val="18"/>
              </w:rPr>
            </w:pPr>
            <w:r w:rsidRPr="00672DE3">
              <w:rPr>
                <w:rFonts w:cs="Arial"/>
                <w:sz w:val="18"/>
                <w:szCs w:val="18"/>
              </w:rPr>
              <w:t>3d &lt;=18 or &gt;=66.1</w:t>
            </w:r>
          </w:p>
          <w:p w:rsidR="00FC46AC" w:rsidRPr="00672DE3" w:rsidP="00CD2869" w14:paraId="3CDDA1D1" w14:textId="77777777">
            <w:pPr>
              <w:rPr>
                <w:rFonts w:cs="Arial"/>
                <w:sz w:val="18"/>
                <w:szCs w:val="18"/>
              </w:rPr>
            </w:pPr>
            <w:r w:rsidRPr="00672DE3">
              <w:rPr>
                <w:rFonts w:cs="Arial"/>
                <w:sz w:val="18"/>
                <w:szCs w:val="18"/>
              </w:rPr>
              <w:t>1w &lt;=18 or &gt;=63.1</w:t>
            </w:r>
          </w:p>
          <w:p w:rsidR="00FC46AC" w:rsidRPr="00672DE3" w:rsidP="00CD2869" w14:paraId="1D95B129" w14:textId="77777777">
            <w:pPr>
              <w:rPr>
                <w:rFonts w:cs="Arial"/>
                <w:sz w:val="18"/>
                <w:szCs w:val="18"/>
              </w:rPr>
            </w:pPr>
            <w:r w:rsidRPr="00672DE3">
              <w:rPr>
                <w:rFonts w:cs="Arial"/>
                <w:sz w:val="18"/>
                <w:szCs w:val="18"/>
              </w:rPr>
              <w:t>&gt;=2w &lt;=18 or &gt;=60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2BA2A65" w14:textId="77777777">
            <w:pPr>
              <w:rPr>
                <w:rFonts w:cs="Arial"/>
                <w:sz w:val="18"/>
                <w:szCs w:val="18"/>
              </w:rPr>
            </w:pPr>
            <w:r w:rsidRPr="00672DE3">
              <w:rPr>
                <w:rFonts w:cs="Arial"/>
                <w:sz w:val="18"/>
                <w:szCs w:val="18"/>
              </w:rPr>
              <w:t>For hematocrit results to be considered critical, they should also fail the normal range defined for the patient's age.</w:t>
            </w:r>
          </w:p>
          <w:p w:rsidR="00FC46AC" w:rsidRPr="00672DE3" w:rsidP="00CD2869" w14:paraId="0AF91686" w14:textId="77777777">
            <w:pPr>
              <w:rPr>
                <w:rFonts w:cs="Arial"/>
                <w:sz w:val="18"/>
                <w:szCs w:val="18"/>
              </w:rPr>
            </w:pPr>
          </w:p>
          <w:p w:rsidR="00FC46AC" w:rsidRPr="00672DE3" w:rsidP="00CD2869" w14:paraId="10E1BE24" w14:textId="77777777">
            <w:pPr>
              <w:rPr>
                <w:rFonts w:cs="Arial"/>
                <w:sz w:val="18"/>
                <w:szCs w:val="18"/>
              </w:rPr>
            </w:pPr>
          </w:p>
        </w:tc>
      </w:tr>
      <w:tr w14:paraId="1BDACF82" w14:textId="77777777" w:rsidTr="00CD2869">
        <w:tblPrEx>
          <w:tblW w:w="10203" w:type="dxa"/>
          <w:tblInd w:w="-434" w:type="dxa"/>
          <w:tblLayout w:type="fixed"/>
          <w:tblCellMar>
            <w:left w:w="0" w:type="dxa"/>
            <w:right w:w="0" w:type="dxa"/>
          </w:tblCellMar>
          <w:tblLook w:val="01E0"/>
        </w:tblPrEx>
        <w:trPr>
          <w:trHeight w:val="433"/>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4ECE67FB" w14:textId="77777777">
            <w:pPr>
              <w:rPr>
                <w:rFonts w:cs="Arial"/>
                <w:sz w:val="18"/>
                <w:szCs w:val="18"/>
              </w:rPr>
            </w:pPr>
            <w:r w:rsidRPr="005D2A7D">
              <w:rPr>
                <w:rFonts w:cs="Arial"/>
                <w:sz w:val="18"/>
                <w:szCs w:val="18"/>
              </w:rPr>
              <w:t>Hemoglobin g/dL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5F77D4AF"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32728E0" w14:textId="77777777">
            <w:pPr>
              <w:rPr>
                <w:rFonts w:cs="Arial"/>
                <w:sz w:val="18"/>
                <w:szCs w:val="18"/>
              </w:rPr>
            </w:pPr>
            <w:r w:rsidRPr="00672DE3">
              <w:rPr>
                <w:rFonts w:cs="Arial"/>
                <w:sz w:val="18"/>
                <w:szCs w:val="18"/>
              </w:rPr>
              <w:t>&lt;=6 or &gt;=20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6057D10C" w14:textId="77777777">
            <w:pPr>
              <w:rPr>
                <w:rFonts w:cs="Arial"/>
                <w:sz w:val="18"/>
                <w:szCs w:val="18"/>
              </w:rPr>
            </w:pPr>
            <w:r w:rsidRPr="00672DE3">
              <w:rPr>
                <w:rFonts w:cs="Arial"/>
                <w:sz w:val="18"/>
                <w:szCs w:val="18"/>
              </w:rPr>
              <w:t>&lt;=6 or &gt;=20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3FB91A0" w14:textId="77777777">
            <w:pPr>
              <w:rPr>
                <w:rFonts w:cs="Arial"/>
                <w:sz w:val="18"/>
                <w:szCs w:val="18"/>
              </w:rPr>
            </w:pPr>
            <w:r w:rsidRPr="00672DE3">
              <w:rPr>
                <w:rFonts w:cs="Arial"/>
                <w:sz w:val="18"/>
                <w:szCs w:val="18"/>
              </w:rPr>
              <w:t>0d &lt;=6 or &gt;=20</w:t>
            </w:r>
          </w:p>
          <w:p w:rsidR="00FC46AC" w:rsidRPr="00672DE3" w:rsidP="00CD2869" w14:paraId="050E7FEB" w14:textId="77777777">
            <w:pPr>
              <w:rPr>
                <w:rFonts w:cs="Arial"/>
                <w:sz w:val="18"/>
                <w:szCs w:val="18"/>
              </w:rPr>
            </w:pPr>
            <w:r w:rsidRPr="00672DE3">
              <w:rPr>
                <w:rFonts w:cs="Arial"/>
                <w:sz w:val="18"/>
                <w:szCs w:val="18"/>
              </w:rPr>
              <w:t>1d &lt;=6 or &gt;=22.6</w:t>
            </w:r>
          </w:p>
          <w:p w:rsidR="00FC46AC" w:rsidRPr="00672DE3" w:rsidP="00CD2869" w14:paraId="184E1737" w14:textId="77777777">
            <w:pPr>
              <w:rPr>
                <w:rFonts w:cs="Arial"/>
                <w:sz w:val="18"/>
                <w:szCs w:val="18"/>
              </w:rPr>
            </w:pPr>
            <w:r w:rsidRPr="00672DE3">
              <w:rPr>
                <w:rFonts w:cs="Arial"/>
                <w:sz w:val="18"/>
                <w:szCs w:val="18"/>
              </w:rPr>
              <w:t>3d &lt;=6 or &gt;=21.6</w:t>
            </w:r>
          </w:p>
          <w:p w:rsidR="00FC46AC" w:rsidRPr="00672DE3" w:rsidP="00CD2869" w14:paraId="06DD5F58" w14:textId="77777777">
            <w:pPr>
              <w:rPr>
                <w:rFonts w:cs="Arial"/>
                <w:sz w:val="18"/>
                <w:szCs w:val="18"/>
              </w:rPr>
            </w:pPr>
            <w:r w:rsidRPr="00672DE3">
              <w:rPr>
                <w:rFonts w:cs="Arial"/>
                <w:sz w:val="18"/>
                <w:szCs w:val="18"/>
              </w:rPr>
              <w:t>1w &lt;=6 or &gt;=20.6</w:t>
            </w:r>
          </w:p>
          <w:p w:rsidR="00FC46AC" w:rsidRPr="00672DE3" w:rsidP="00CD2869" w14:paraId="759F5595" w14:textId="77777777">
            <w:pPr>
              <w:rPr>
                <w:rFonts w:cs="Arial"/>
                <w:sz w:val="18"/>
                <w:szCs w:val="18"/>
              </w:rPr>
            </w:pPr>
            <w:r w:rsidRPr="00672DE3">
              <w:rPr>
                <w:rFonts w:cs="Arial"/>
                <w:sz w:val="18"/>
                <w:szCs w:val="18"/>
              </w:rPr>
              <w:t>&gt;=2w &lt;=6 or &gt;=20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7CA3322E" w14:textId="77777777">
            <w:pPr>
              <w:rPr>
                <w:rFonts w:cs="Arial"/>
                <w:sz w:val="18"/>
                <w:szCs w:val="18"/>
              </w:rPr>
            </w:pPr>
            <w:r w:rsidRPr="00672DE3">
              <w:rPr>
                <w:rFonts w:cs="Arial"/>
                <w:sz w:val="18"/>
                <w:szCs w:val="18"/>
              </w:rPr>
              <w:t>For hemoglobin results to be considered critical, they should also fail the normal range defined for the patient's age.</w:t>
            </w:r>
          </w:p>
          <w:p w:rsidR="00FC46AC" w:rsidRPr="00672DE3" w:rsidP="00CD2869" w14:paraId="1BC9150F" w14:textId="77777777">
            <w:pPr>
              <w:rPr>
                <w:rFonts w:cs="Arial"/>
                <w:sz w:val="18"/>
                <w:szCs w:val="18"/>
              </w:rPr>
            </w:pPr>
          </w:p>
          <w:p w:rsidR="00FC46AC" w:rsidRPr="00672DE3" w:rsidP="00CD2869" w14:paraId="0C39AE27" w14:textId="77777777">
            <w:pPr>
              <w:rPr>
                <w:rFonts w:cs="Arial"/>
                <w:sz w:val="18"/>
                <w:szCs w:val="18"/>
              </w:rPr>
            </w:pPr>
          </w:p>
        </w:tc>
      </w:tr>
      <w:tr w14:paraId="2321EEEF" w14:textId="77777777" w:rsidTr="00CD2869">
        <w:tblPrEx>
          <w:tblW w:w="10203" w:type="dxa"/>
          <w:tblInd w:w="-434" w:type="dxa"/>
          <w:tblLayout w:type="fixed"/>
          <w:tblCellMar>
            <w:left w:w="0" w:type="dxa"/>
            <w:right w:w="0" w:type="dxa"/>
          </w:tblCellMar>
          <w:tblLook w:val="01E0"/>
        </w:tblPrEx>
        <w:trPr>
          <w:trHeight w:hRule="exact" w:val="1524"/>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345770B0" w14:textId="77777777">
            <w:pPr>
              <w:rPr>
                <w:rFonts w:cs="Arial"/>
                <w:sz w:val="18"/>
                <w:szCs w:val="18"/>
              </w:rPr>
            </w:pPr>
            <w:r w:rsidRPr="005D2A7D">
              <w:rPr>
                <w:rFonts w:cs="Arial"/>
                <w:sz w:val="18"/>
                <w:szCs w:val="18"/>
              </w:rPr>
              <w:t>INR Value (PT/INR)</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198AEE33"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01E0E157" w14:textId="77777777">
            <w:pPr>
              <w:rPr>
                <w:rFonts w:cs="Arial"/>
                <w:sz w:val="18"/>
                <w:szCs w:val="18"/>
              </w:rPr>
            </w:pPr>
            <w:r w:rsidRPr="00672DE3">
              <w:rPr>
                <w:rFonts w:cs="Arial"/>
                <w:sz w:val="18"/>
                <w:szCs w:val="18"/>
              </w:rPr>
              <w:t>&gt;=5 or value not calculated</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B316CAC" w14:textId="77777777">
            <w:pPr>
              <w:rPr>
                <w:rFonts w:cs="Arial"/>
                <w:sz w:val="18"/>
                <w:szCs w:val="18"/>
              </w:rPr>
            </w:pPr>
            <w:r w:rsidRPr="00672DE3">
              <w:rPr>
                <w:rFonts w:cs="Arial"/>
                <w:sz w:val="18"/>
                <w:szCs w:val="18"/>
              </w:rPr>
              <w:t>&gt;=5 or value not calculated</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222C074" w14:textId="77777777">
            <w:pPr>
              <w:rPr>
                <w:rFonts w:cs="Arial"/>
                <w:sz w:val="18"/>
                <w:szCs w:val="18"/>
              </w:rPr>
            </w:pPr>
            <w:r w:rsidRPr="00672DE3">
              <w:rPr>
                <w:rFonts w:cs="Arial"/>
                <w:sz w:val="18"/>
                <w:szCs w:val="18"/>
              </w:rPr>
              <w:t>&gt;=5 or value not calculated</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A3DF4F0" w14:textId="77777777">
            <w:pPr>
              <w:rPr>
                <w:rFonts w:cs="Arial"/>
                <w:sz w:val="18"/>
                <w:szCs w:val="18"/>
              </w:rPr>
            </w:pPr>
            <w:r w:rsidRPr="00672DE3">
              <w:rPr>
                <w:rFonts w:cs="Arial"/>
                <w:sz w:val="18"/>
                <w:szCs w:val="18"/>
              </w:rPr>
              <w:t xml:space="preserve">INR values equal to or greater than 4.0, as reported by i-STAT will have a reflex venous PT/INR ordered and sent to the Clinical Laboratory for confirmatory testing. </w:t>
            </w:r>
          </w:p>
          <w:p w:rsidR="00FC46AC" w:rsidRPr="00672DE3" w:rsidP="00CD2869" w14:paraId="25EA6A04" w14:textId="77777777">
            <w:pPr>
              <w:rPr>
                <w:rFonts w:cs="Arial"/>
                <w:sz w:val="18"/>
                <w:szCs w:val="18"/>
              </w:rPr>
            </w:pPr>
          </w:p>
          <w:p w:rsidR="00FC46AC" w:rsidRPr="00672DE3" w:rsidP="00CD2869" w14:paraId="2CF1D23A" w14:textId="77777777">
            <w:pPr>
              <w:rPr>
                <w:rFonts w:cs="Arial"/>
                <w:sz w:val="18"/>
                <w:szCs w:val="18"/>
              </w:rPr>
            </w:pPr>
          </w:p>
          <w:p w:rsidR="00FC46AC" w:rsidRPr="00672DE3" w:rsidP="00CD2869" w14:paraId="541ACC71" w14:textId="77777777">
            <w:pPr>
              <w:rPr>
                <w:rFonts w:cs="Arial"/>
                <w:sz w:val="18"/>
                <w:szCs w:val="18"/>
              </w:rPr>
            </w:pPr>
          </w:p>
        </w:tc>
      </w:tr>
      <w:tr w14:paraId="718ED3CD" w14:textId="77777777" w:rsidTr="00CD2869">
        <w:tblPrEx>
          <w:tblW w:w="10203" w:type="dxa"/>
          <w:tblInd w:w="-434" w:type="dxa"/>
          <w:tblLayout w:type="fixed"/>
          <w:tblCellMar>
            <w:left w:w="0" w:type="dxa"/>
            <w:right w:w="0" w:type="dxa"/>
          </w:tblCellMar>
          <w:tblLook w:val="01E0"/>
        </w:tblPrEx>
        <w:trPr>
          <w:trHeight w:val="441"/>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7D7FF2B" w14:textId="77777777">
            <w:pPr>
              <w:rPr>
                <w:rFonts w:cs="Arial"/>
                <w:sz w:val="18"/>
                <w:szCs w:val="18"/>
              </w:rPr>
            </w:pPr>
            <w:r w:rsidRPr="005D2A7D">
              <w:rPr>
                <w:rFonts w:cs="Arial"/>
                <w:sz w:val="18"/>
                <w:szCs w:val="18"/>
              </w:rPr>
              <w:t>Ionized Calcium mmol/L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465053D"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1286CF3A" w14:textId="77777777">
            <w:pPr>
              <w:rPr>
                <w:rFonts w:cs="Arial"/>
                <w:sz w:val="18"/>
                <w:szCs w:val="18"/>
              </w:rPr>
            </w:pPr>
            <w:r w:rsidRPr="00672DE3">
              <w:rPr>
                <w:rFonts w:cs="Arial"/>
                <w:sz w:val="18"/>
                <w:szCs w:val="18"/>
              </w:rPr>
              <w:t>&lt;0.75 or &gt;1.40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58C8A448" w14:textId="77777777">
            <w:pPr>
              <w:rPr>
                <w:rFonts w:cs="Arial"/>
                <w:sz w:val="18"/>
                <w:szCs w:val="18"/>
              </w:rPr>
            </w:pPr>
            <w:r w:rsidRPr="00672DE3">
              <w:rPr>
                <w:rFonts w:cs="Arial"/>
                <w:sz w:val="18"/>
                <w:szCs w:val="18"/>
              </w:rPr>
              <w:t>&lt;0.75 or &gt;1.40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453518C" w14:textId="77777777">
            <w:pPr>
              <w:rPr>
                <w:rFonts w:cs="Arial"/>
                <w:sz w:val="18"/>
                <w:szCs w:val="18"/>
              </w:rPr>
            </w:pPr>
            <w:r w:rsidRPr="00672DE3">
              <w:rPr>
                <w:rFonts w:cs="Arial"/>
                <w:sz w:val="18"/>
                <w:szCs w:val="18"/>
              </w:rPr>
              <w:t>&lt;0.80 or &gt;1.40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B6C3736" w14:textId="77777777">
            <w:pPr>
              <w:rPr>
                <w:rFonts w:cs="Arial"/>
                <w:sz w:val="18"/>
                <w:szCs w:val="18"/>
              </w:rPr>
            </w:pPr>
          </w:p>
        </w:tc>
      </w:tr>
      <w:tr w14:paraId="0E62CC37" w14:textId="77777777" w:rsidTr="00CD2869">
        <w:tblPrEx>
          <w:tblW w:w="10203" w:type="dxa"/>
          <w:tblInd w:w="-434" w:type="dxa"/>
          <w:tblLayout w:type="fixed"/>
          <w:tblCellMar>
            <w:left w:w="0" w:type="dxa"/>
            <w:right w:w="0" w:type="dxa"/>
          </w:tblCellMar>
          <w:tblLook w:val="01E0"/>
        </w:tblPrEx>
        <w:trPr>
          <w:trHeight w:val="441"/>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0F6060BA" w14:textId="77777777">
            <w:pPr>
              <w:rPr>
                <w:rFonts w:cs="Arial"/>
                <w:sz w:val="18"/>
                <w:szCs w:val="18"/>
              </w:rPr>
            </w:pPr>
            <w:r w:rsidRPr="005D2A7D">
              <w:rPr>
                <w:rFonts w:cs="Arial"/>
                <w:sz w:val="18"/>
                <w:szCs w:val="18"/>
              </w:rPr>
              <w:t xml:space="preserve"> pCO2 mmHg</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F6B7FC8"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5A120F0B" w14:textId="77777777">
            <w:pPr>
              <w:rPr>
                <w:rFonts w:cs="Arial"/>
                <w:sz w:val="18"/>
                <w:szCs w:val="18"/>
              </w:rPr>
            </w:pPr>
            <w:r w:rsidRPr="00672DE3">
              <w:rPr>
                <w:rFonts w:cs="Arial"/>
                <w:sz w:val="18"/>
                <w:szCs w:val="18"/>
              </w:rPr>
              <w:t>&lt;25 or &gt;60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01D80EB6" w14:textId="77777777">
            <w:pPr>
              <w:rPr>
                <w:rFonts w:cs="Arial"/>
                <w:sz w:val="18"/>
                <w:szCs w:val="18"/>
              </w:rPr>
            </w:pPr>
            <w:r w:rsidRPr="00672DE3">
              <w:rPr>
                <w:rFonts w:cs="Arial"/>
                <w:sz w:val="18"/>
                <w:szCs w:val="18"/>
              </w:rPr>
              <w:t>&lt;30 or &gt;80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58B91D4E" w14:textId="77777777">
            <w:pPr>
              <w:rPr>
                <w:rFonts w:cs="Arial"/>
                <w:sz w:val="18"/>
                <w:szCs w:val="18"/>
              </w:rPr>
            </w:pPr>
            <w:r w:rsidRPr="00672DE3">
              <w:rPr>
                <w:rFonts w:cs="Arial"/>
                <w:sz w:val="18"/>
                <w:szCs w:val="18"/>
              </w:rPr>
              <w:t>&lt;35 or &gt;80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50A6143A" w14:textId="77777777">
            <w:pPr>
              <w:rPr>
                <w:rFonts w:cs="Arial"/>
                <w:sz w:val="18"/>
                <w:szCs w:val="18"/>
              </w:rPr>
            </w:pPr>
          </w:p>
        </w:tc>
      </w:tr>
      <w:tr w14:paraId="471DE3DC" w14:textId="77777777" w:rsidTr="00CD2869">
        <w:tblPrEx>
          <w:tblW w:w="10203" w:type="dxa"/>
          <w:tblInd w:w="-434" w:type="dxa"/>
          <w:tblLayout w:type="fixed"/>
          <w:tblCellMar>
            <w:left w:w="0" w:type="dxa"/>
            <w:right w:w="0" w:type="dxa"/>
          </w:tblCellMar>
          <w:tblLook w:val="01E0"/>
        </w:tblPrEx>
        <w:trPr>
          <w:trHeight w:val="441"/>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F4116F8" w14:textId="77777777">
            <w:pPr>
              <w:rPr>
                <w:rFonts w:cs="Arial"/>
                <w:sz w:val="18"/>
                <w:szCs w:val="18"/>
              </w:rPr>
            </w:pPr>
            <w:r w:rsidRPr="005D2A7D">
              <w:rPr>
                <w:rFonts w:cs="Arial"/>
                <w:sz w:val="18"/>
                <w:szCs w:val="18"/>
              </w:rPr>
              <w:t>pH</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F1B22BF"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4F1106ED" w14:textId="77777777">
            <w:pPr>
              <w:rPr>
                <w:rFonts w:cs="Arial"/>
                <w:sz w:val="18"/>
                <w:szCs w:val="18"/>
              </w:rPr>
            </w:pPr>
            <w:r w:rsidRPr="00672DE3">
              <w:rPr>
                <w:rFonts w:cs="Arial"/>
                <w:sz w:val="18"/>
                <w:szCs w:val="18"/>
              </w:rPr>
              <w:t>&lt;7.2 or &gt;7.6</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5B439095" w14:textId="77777777">
            <w:pPr>
              <w:rPr>
                <w:rFonts w:cs="Arial"/>
                <w:sz w:val="18"/>
                <w:szCs w:val="18"/>
              </w:rPr>
            </w:pPr>
            <w:r w:rsidRPr="00672DE3">
              <w:rPr>
                <w:rFonts w:cs="Arial"/>
                <w:sz w:val="18"/>
                <w:szCs w:val="18"/>
              </w:rPr>
              <w:t>&lt;7.15 or &gt;7.6</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4A0E7FD7" w14:textId="77777777">
            <w:pPr>
              <w:rPr>
                <w:rFonts w:cs="Arial"/>
                <w:sz w:val="18"/>
                <w:szCs w:val="18"/>
              </w:rPr>
            </w:pPr>
            <w:r w:rsidRPr="00672DE3">
              <w:rPr>
                <w:rFonts w:cs="Arial"/>
                <w:sz w:val="18"/>
                <w:szCs w:val="18"/>
              </w:rPr>
              <w:t>&lt;7.20 or &gt;7.45</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294B4189" w14:textId="77777777">
            <w:pPr>
              <w:rPr>
                <w:rFonts w:cs="Arial"/>
                <w:sz w:val="18"/>
                <w:szCs w:val="18"/>
              </w:rPr>
            </w:pPr>
          </w:p>
        </w:tc>
      </w:tr>
      <w:tr w14:paraId="74EA1784" w14:textId="77777777" w:rsidTr="00CD2869">
        <w:tblPrEx>
          <w:tblW w:w="10203" w:type="dxa"/>
          <w:tblInd w:w="-434" w:type="dxa"/>
          <w:tblLayout w:type="fixed"/>
          <w:tblCellMar>
            <w:left w:w="0" w:type="dxa"/>
            <w:right w:w="0" w:type="dxa"/>
          </w:tblCellMar>
          <w:tblLook w:val="01E0"/>
        </w:tblPrEx>
        <w:trPr>
          <w:trHeight w:hRule="exact" w:val="1362"/>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0BB4683" w14:textId="77777777">
            <w:pPr>
              <w:rPr>
                <w:rFonts w:cs="Arial"/>
                <w:sz w:val="18"/>
                <w:szCs w:val="18"/>
              </w:rPr>
            </w:pPr>
            <w:r w:rsidRPr="005D2A7D">
              <w:rPr>
                <w:rFonts w:cs="Arial"/>
                <w:sz w:val="18"/>
                <w:szCs w:val="18"/>
              </w:rPr>
              <w:t>pO2 mmHg</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0B8CF665"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39D53C43" w14:textId="77777777">
            <w:pPr>
              <w:rPr>
                <w:rFonts w:cs="Arial"/>
                <w:sz w:val="18"/>
                <w:szCs w:val="18"/>
              </w:rPr>
            </w:pPr>
            <w:r w:rsidRPr="00672DE3">
              <w:rPr>
                <w:rFonts w:cs="Arial"/>
                <w:sz w:val="18"/>
                <w:szCs w:val="18"/>
              </w:rPr>
              <w:t>&lt;50 or &gt;200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44759953" w14:textId="77777777">
            <w:pPr>
              <w:rPr>
                <w:rFonts w:cs="Arial"/>
                <w:sz w:val="18"/>
                <w:szCs w:val="18"/>
              </w:rPr>
            </w:pPr>
            <w:r w:rsidRPr="00672DE3">
              <w:rPr>
                <w:rFonts w:cs="Arial"/>
                <w:sz w:val="18"/>
                <w:szCs w:val="18"/>
              </w:rPr>
              <w:t>&lt;30 or &gt;200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6E87EDD3" w14:textId="77777777">
            <w:pPr>
              <w:rPr>
                <w:rFonts w:cs="Arial"/>
                <w:sz w:val="18"/>
                <w:szCs w:val="18"/>
              </w:rPr>
            </w:pPr>
            <w:r w:rsidRPr="00672DE3">
              <w:rPr>
                <w:rFonts w:cs="Arial"/>
                <w:sz w:val="18"/>
                <w:szCs w:val="18"/>
              </w:rPr>
              <w:t>&lt;30 or &gt;200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6FBBAE56" w14:textId="77777777">
            <w:pPr>
              <w:rPr>
                <w:rFonts w:cs="Arial"/>
                <w:sz w:val="18"/>
                <w:szCs w:val="18"/>
              </w:rPr>
            </w:pPr>
            <w:r w:rsidRPr="00672DE3">
              <w:rPr>
                <w:rFonts w:cs="Arial"/>
                <w:sz w:val="18"/>
                <w:szCs w:val="18"/>
              </w:rPr>
              <w:t xml:space="preserve">&lt;30/&lt;50 Arterial Only </w:t>
            </w:r>
          </w:p>
          <w:p w:rsidR="00FC46AC" w:rsidRPr="00672DE3" w:rsidP="00CD2869" w14:paraId="0E1C0EA8" w14:textId="77777777">
            <w:pPr>
              <w:rPr>
                <w:rFonts w:cs="Arial"/>
                <w:sz w:val="18"/>
                <w:szCs w:val="18"/>
              </w:rPr>
            </w:pPr>
          </w:p>
          <w:p w:rsidR="00FC46AC" w:rsidRPr="00672DE3" w:rsidP="00CD2869" w14:paraId="656B0EC8" w14:textId="77777777">
            <w:pPr>
              <w:rPr>
                <w:rFonts w:cs="Arial"/>
                <w:sz w:val="18"/>
                <w:szCs w:val="18"/>
              </w:rPr>
            </w:pPr>
            <w:r w:rsidRPr="00672DE3">
              <w:rPr>
                <w:rFonts w:cs="Arial"/>
                <w:sz w:val="18"/>
                <w:szCs w:val="18"/>
              </w:rPr>
              <w:t>&gt;200 All Sample Types (does not apply to OR/ECMO circuit arterial samples)</w:t>
            </w:r>
          </w:p>
          <w:p w:rsidR="00FC46AC" w:rsidRPr="00672DE3" w:rsidP="00CD2869" w14:paraId="572300FF" w14:textId="77777777">
            <w:pPr>
              <w:rPr>
                <w:rFonts w:cs="Arial"/>
                <w:sz w:val="18"/>
                <w:szCs w:val="18"/>
              </w:rPr>
            </w:pPr>
          </w:p>
        </w:tc>
      </w:tr>
      <w:tr w14:paraId="3D3FCFE3" w14:textId="77777777" w:rsidTr="00CD2869">
        <w:tblPrEx>
          <w:tblW w:w="10203" w:type="dxa"/>
          <w:tblInd w:w="-434" w:type="dxa"/>
          <w:tblLayout w:type="fixed"/>
          <w:tblCellMar>
            <w:left w:w="0" w:type="dxa"/>
            <w:right w:w="0" w:type="dxa"/>
          </w:tblCellMar>
          <w:tblLook w:val="01E0"/>
        </w:tblPrEx>
        <w:trPr>
          <w:trHeight w:hRule="exact" w:val="2334"/>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53951DD6" w14:textId="77777777">
            <w:pPr>
              <w:rPr>
                <w:rFonts w:cs="Arial"/>
                <w:sz w:val="18"/>
                <w:szCs w:val="18"/>
              </w:rPr>
            </w:pPr>
            <w:r w:rsidRPr="005D2A7D">
              <w:rPr>
                <w:rFonts w:cs="Arial"/>
                <w:sz w:val="18"/>
                <w:szCs w:val="18"/>
              </w:rPr>
              <w:t>Potassium mmol/L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1AA67063"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7E32510A" w14:textId="77777777">
            <w:pPr>
              <w:rPr>
                <w:rFonts w:cs="Arial"/>
                <w:sz w:val="18"/>
                <w:szCs w:val="18"/>
              </w:rPr>
            </w:pPr>
            <w:r w:rsidRPr="00672DE3">
              <w:rPr>
                <w:rFonts w:cs="Arial"/>
                <w:sz w:val="18"/>
                <w:szCs w:val="18"/>
              </w:rPr>
              <w:t>&lt;3.0 or &gt;6.0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6B5BECFC" w14:textId="77777777">
            <w:pPr>
              <w:rPr>
                <w:rFonts w:cs="Arial"/>
                <w:sz w:val="18"/>
                <w:szCs w:val="18"/>
              </w:rPr>
            </w:pPr>
            <w:r w:rsidRPr="00672DE3">
              <w:rPr>
                <w:rFonts w:cs="Arial"/>
                <w:sz w:val="18"/>
                <w:szCs w:val="18"/>
              </w:rPr>
              <w:t>3m &lt;3.0 or &gt;6.5</w:t>
            </w:r>
          </w:p>
          <w:p w:rsidR="00FC46AC" w:rsidRPr="00672DE3" w:rsidP="00CD2869" w14:paraId="409F5F3B" w14:textId="77777777">
            <w:pPr>
              <w:rPr>
                <w:rFonts w:cs="Arial"/>
                <w:sz w:val="18"/>
                <w:szCs w:val="18"/>
              </w:rPr>
            </w:pPr>
            <w:r w:rsidRPr="00672DE3">
              <w:rPr>
                <w:rFonts w:cs="Arial"/>
                <w:sz w:val="18"/>
                <w:szCs w:val="18"/>
              </w:rPr>
              <w:t>&gt;=1y &lt;3.0 or &gt;6.0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3D1532A0" w14:textId="77777777">
            <w:pPr>
              <w:rPr>
                <w:rFonts w:cs="Arial"/>
                <w:sz w:val="18"/>
                <w:szCs w:val="18"/>
              </w:rPr>
            </w:pPr>
            <w:r w:rsidRPr="00672DE3">
              <w:rPr>
                <w:rFonts w:cs="Arial"/>
                <w:sz w:val="18"/>
                <w:szCs w:val="18"/>
              </w:rPr>
              <w:t>0d &lt;3.0 or &gt;6.2</w:t>
            </w:r>
          </w:p>
          <w:p w:rsidR="00FC46AC" w:rsidRPr="00672DE3" w:rsidP="00CD2869" w14:paraId="7143F5F2" w14:textId="77777777">
            <w:pPr>
              <w:rPr>
                <w:rFonts w:cs="Arial"/>
                <w:sz w:val="18"/>
                <w:szCs w:val="18"/>
              </w:rPr>
            </w:pPr>
            <w:r w:rsidRPr="00672DE3">
              <w:rPr>
                <w:rFonts w:cs="Arial"/>
                <w:sz w:val="18"/>
                <w:szCs w:val="18"/>
              </w:rPr>
              <w:t>7d &lt;3.0 or &gt;7.0</w:t>
            </w:r>
          </w:p>
          <w:p w:rsidR="00FC46AC" w:rsidRPr="00672DE3" w:rsidP="00CD2869" w14:paraId="573F2C3D" w14:textId="77777777">
            <w:pPr>
              <w:rPr>
                <w:rFonts w:cs="Arial"/>
                <w:sz w:val="18"/>
                <w:szCs w:val="18"/>
              </w:rPr>
            </w:pPr>
            <w:r w:rsidRPr="00672DE3">
              <w:rPr>
                <w:rFonts w:cs="Arial"/>
                <w:sz w:val="18"/>
                <w:szCs w:val="18"/>
              </w:rPr>
              <w:t>1m &lt;3.0 or &gt;7.5</w:t>
            </w:r>
          </w:p>
          <w:p w:rsidR="00FC46AC" w:rsidRPr="00672DE3" w:rsidP="00CD2869" w14:paraId="2D910C95" w14:textId="77777777">
            <w:pPr>
              <w:rPr>
                <w:rFonts w:cs="Arial"/>
                <w:sz w:val="18"/>
                <w:szCs w:val="18"/>
              </w:rPr>
            </w:pP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672DE3" w:rsidP="00CD2869" w14:paraId="309C839A" w14:textId="77777777">
            <w:pPr>
              <w:rPr>
                <w:rFonts w:cs="Arial"/>
                <w:sz w:val="18"/>
                <w:szCs w:val="18"/>
              </w:rPr>
            </w:pPr>
            <w:r w:rsidRPr="00672DE3">
              <w:rPr>
                <w:rFonts w:cs="Arial"/>
                <w:sz w:val="18"/>
                <w:szCs w:val="18"/>
              </w:rPr>
              <w:t>Unexpected results &gt;6 should be verified by the laboratory.</w:t>
            </w:r>
          </w:p>
          <w:p w:rsidR="00FC46AC" w:rsidRPr="00672DE3" w:rsidP="00CD2869" w14:paraId="7F716BC1" w14:textId="77777777">
            <w:pPr>
              <w:rPr>
                <w:rFonts w:cs="Arial"/>
                <w:sz w:val="18"/>
                <w:szCs w:val="18"/>
              </w:rPr>
            </w:pPr>
            <w:r w:rsidRPr="00672DE3">
              <w:rPr>
                <w:rFonts w:cs="Arial"/>
                <w:sz w:val="18"/>
                <w:szCs w:val="18"/>
              </w:rPr>
              <w:t>Hemolysis falsely elevates results. For potassium results to be considered critical, they should also fail the normal range defined for the patient's age.</w:t>
            </w:r>
          </w:p>
        </w:tc>
      </w:tr>
      <w:tr w14:paraId="14260E83" w14:textId="77777777" w:rsidTr="00CD2869">
        <w:tblPrEx>
          <w:tblW w:w="10203" w:type="dxa"/>
          <w:tblInd w:w="-434" w:type="dxa"/>
          <w:tblLayout w:type="fixed"/>
          <w:tblCellMar>
            <w:left w:w="0" w:type="dxa"/>
            <w:right w:w="0" w:type="dxa"/>
          </w:tblCellMar>
          <w:tblLook w:val="01E0"/>
        </w:tblPrEx>
        <w:trPr>
          <w:trHeight w:val="450"/>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54170C35" w14:textId="77777777">
            <w:pPr>
              <w:rPr>
                <w:rFonts w:cs="Arial"/>
                <w:sz w:val="18"/>
                <w:szCs w:val="18"/>
              </w:rPr>
            </w:pPr>
            <w:r w:rsidRPr="005D2A7D">
              <w:rPr>
                <w:rFonts w:cs="Arial"/>
                <w:sz w:val="18"/>
                <w:szCs w:val="18"/>
              </w:rPr>
              <w:t>Sodium mmol/L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133C37CE"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0835988E" w14:textId="77777777">
            <w:pPr>
              <w:rPr>
                <w:rFonts w:cs="Arial"/>
                <w:sz w:val="18"/>
                <w:szCs w:val="18"/>
              </w:rPr>
            </w:pPr>
            <w:r w:rsidRPr="005D2A7D">
              <w:rPr>
                <w:rFonts w:cs="Arial"/>
                <w:sz w:val="18"/>
                <w:szCs w:val="18"/>
              </w:rPr>
              <w:t>&lt;120 or &gt;160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0B2A3457" w14:textId="77777777">
            <w:pPr>
              <w:rPr>
                <w:rFonts w:cs="Arial"/>
                <w:sz w:val="18"/>
                <w:szCs w:val="18"/>
              </w:rPr>
            </w:pPr>
            <w:r w:rsidRPr="005D2A7D">
              <w:rPr>
                <w:rFonts w:cs="Arial"/>
                <w:sz w:val="18"/>
                <w:szCs w:val="18"/>
              </w:rPr>
              <w:t>&lt;120 or &gt;160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D269C49" w14:textId="77777777">
            <w:pPr>
              <w:rPr>
                <w:rFonts w:cs="Arial"/>
                <w:sz w:val="18"/>
                <w:szCs w:val="18"/>
              </w:rPr>
            </w:pPr>
            <w:r w:rsidRPr="005D2A7D">
              <w:rPr>
                <w:rFonts w:cs="Arial"/>
                <w:sz w:val="18"/>
                <w:szCs w:val="18"/>
              </w:rPr>
              <w:t>&lt;120 or &gt;150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D467C93" w14:textId="77777777">
            <w:pPr>
              <w:rPr>
                <w:rFonts w:cs="Arial"/>
                <w:sz w:val="18"/>
                <w:szCs w:val="18"/>
              </w:rPr>
            </w:pPr>
          </w:p>
        </w:tc>
      </w:tr>
      <w:tr w14:paraId="6C8A4F73" w14:textId="77777777" w:rsidTr="00CD2869">
        <w:tblPrEx>
          <w:tblW w:w="10203" w:type="dxa"/>
          <w:tblInd w:w="-434" w:type="dxa"/>
          <w:tblLayout w:type="fixed"/>
          <w:tblCellMar>
            <w:left w:w="0" w:type="dxa"/>
            <w:right w:w="0" w:type="dxa"/>
          </w:tblCellMar>
          <w:tblLook w:val="01E0"/>
        </w:tblPrEx>
        <w:trPr>
          <w:trHeight w:val="450"/>
        </w:trPr>
        <w:tc>
          <w:tcPr>
            <w:tcW w:w="196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13077BDA" w14:textId="77777777">
            <w:pPr>
              <w:rPr>
                <w:rFonts w:cs="Arial"/>
                <w:sz w:val="18"/>
                <w:szCs w:val="18"/>
              </w:rPr>
            </w:pPr>
            <w:r w:rsidRPr="005D2A7D">
              <w:rPr>
                <w:rFonts w:cs="Arial"/>
                <w:sz w:val="18"/>
                <w:szCs w:val="18"/>
              </w:rPr>
              <w:t>Total CO2 mmol/L</w:t>
            </w:r>
          </w:p>
        </w:tc>
        <w:tc>
          <w:tcPr>
            <w:tcW w:w="81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21271FE1" w14:textId="77777777">
            <w:pPr>
              <w:jc w:val="center"/>
              <w:rPr>
                <w:rFonts w:cs="Arial"/>
                <w:sz w:val="18"/>
                <w:szCs w:val="18"/>
              </w:rPr>
            </w:pPr>
            <w:r w:rsidRPr="005D2A7D">
              <w:rPr>
                <w:rFonts w:cs="Arial"/>
                <w:sz w:val="18"/>
                <w:szCs w:val="18"/>
              </w:rPr>
              <w:t>i-STAT</w:t>
            </w:r>
          </w:p>
        </w:tc>
        <w:tc>
          <w:tcPr>
            <w:tcW w:w="162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4FED1BA" w14:textId="77777777">
            <w:pPr>
              <w:rPr>
                <w:rFonts w:cs="Arial"/>
                <w:sz w:val="18"/>
                <w:szCs w:val="18"/>
              </w:rPr>
            </w:pPr>
            <w:r w:rsidRPr="005D2A7D">
              <w:rPr>
                <w:rFonts w:cs="Arial"/>
                <w:sz w:val="18"/>
                <w:szCs w:val="18"/>
              </w:rPr>
              <w:t>&lt;10 or &gt;40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6EC0C859" w14:textId="77777777">
            <w:pPr>
              <w:rPr>
                <w:rFonts w:cs="Arial"/>
                <w:sz w:val="18"/>
                <w:szCs w:val="18"/>
              </w:rPr>
            </w:pPr>
            <w:r w:rsidRPr="005D2A7D">
              <w:rPr>
                <w:rFonts w:cs="Arial"/>
                <w:sz w:val="18"/>
                <w:szCs w:val="18"/>
              </w:rPr>
              <w:t>&lt;10 or &gt;40</w:t>
            </w:r>
          </w:p>
        </w:tc>
        <w:tc>
          <w:tcPr>
            <w:tcW w:w="1800"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74D3013B" w14:textId="77777777">
            <w:pPr>
              <w:rPr>
                <w:rFonts w:cs="Arial"/>
                <w:sz w:val="18"/>
                <w:szCs w:val="18"/>
              </w:rPr>
            </w:pPr>
            <w:r w:rsidRPr="005D2A7D">
              <w:rPr>
                <w:rFonts w:cs="Arial"/>
                <w:sz w:val="18"/>
                <w:szCs w:val="18"/>
              </w:rPr>
              <w:t>&lt;10 or &gt;40</w:t>
            </w:r>
          </w:p>
        </w:tc>
        <w:tc>
          <w:tcPr>
            <w:tcW w:w="2213" w:type="dxa"/>
            <w:tcBorders>
              <w:top w:val="single" w:sz="5" w:space="0" w:color="000000"/>
              <w:left w:val="single" w:sz="5" w:space="0" w:color="000000"/>
              <w:bottom w:val="single" w:sz="5" w:space="0" w:color="000000"/>
              <w:right w:val="single" w:sz="5" w:space="0" w:color="000000"/>
            </w:tcBorders>
            <w:vAlign w:val="center"/>
          </w:tcPr>
          <w:p w:rsidR="00FC46AC" w:rsidRPr="005D2A7D" w:rsidP="00CD2869" w14:paraId="5DE31ADC" w14:textId="77777777">
            <w:pPr>
              <w:rPr>
                <w:rFonts w:cs="Arial"/>
                <w:sz w:val="18"/>
                <w:szCs w:val="18"/>
              </w:rPr>
            </w:pPr>
          </w:p>
        </w:tc>
      </w:tr>
    </w:tbl>
    <w:p w:rsidR="00FC46AC" w:rsidP="00005413" w14:paraId="4B23582C" w14:textId="2FF5291D">
      <w:pPr>
        <w:pStyle w:val="Style1"/>
      </w:pPr>
      <w:r>
        <w:t>Revision 9/2024</w:t>
      </w:r>
    </w:p>
    <w:p w:rsidR="004F42A8" w:rsidRPr="00695250" w:rsidP="00240306" w14:paraId="329867C3" w14:textId="77777777">
      <w:pPr>
        <w:pStyle w:val="Style1"/>
      </w:pPr>
    </w:p>
    <w:p w:rsidR="00AC1232" w:rsidP="005938A9" w14:paraId="207B74FD" w14:textId="0F2CACEE">
      <w:pPr>
        <w:pStyle w:val="Style1"/>
        <w:numPr>
          <w:ilvl w:val="0"/>
          <w:numId w:val="48"/>
        </w:numPr>
      </w:pPr>
      <w:r>
        <w:t>Daily Procedures</w:t>
      </w:r>
    </w:p>
    <w:p w:rsidR="004F42A8" w:rsidRPr="004F42A8" w:rsidP="004F42A8" w14:paraId="207B74FE" w14:textId="77777777"/>
    <w:p w:rsidR="0078435D" w:rsidRPr="0078435D" w:rsidP="0078435D" w14:paraId="7AA9D7D3" w14:textId="259B523D">
      <w:pPr>
        <w:pStyle w:val="ListParagraph"/>
        <w:numPr>
          <w:ilvl w:val="0"/>
          <w:numId w:val="18"/>
        </w:numPr>
      </w:pPr>
      <w:r>
        <w:t xml:space="preserve">Verify the performance of each analyzer in the i-STAT System </w:t>
      </w:r>
      <w:r w:rsidR="00283925">
        <w:t>by internal</w:t>
      </w:r>
      <w:r>
        <w:t xml:space="preserve"> </w:t>
      </w:r>
      <w:r w:rsidR="00283925">
        <w:t>s</w:t>
      </w:r>
      <w:r>
        <w:t>imulator</w:t>
      </w:r>
      <w:r w:rsidR="00283925">
        <w:t>.</w:t>
      </w:r>
      <w:r w:rsidR="00896AE7">
        <w:t xml:space="preserve"> Any device that fails an electronic simulator (internal or external) should be removed from service and turned in for </w:t>
      </w:r>
      <w:r w:rsidR="00005413">
        <w:t>maintenance</w:t>
      </w:r>
      <w:r w:rsidR="00896AE7">
        <w:t>.</w:t>
      </w:r>
    </w:p>
    <w:p w:rsidR="004F42A8" w:rsidP="004F42A8" w14:paraId="207B7500" w14:textId="77777777"/>
    <w:p w:rsidR="004F42A8" w:rsidP="004F42A8" w14:paraId="207B7501" w14:textId="77777777">
      <w:pPr>
        <w:pStyle w:val="ListParagraph"/>
        <w:numPr>
          <w:ilvl w:val="0"/>
          <w:numId w:val="18"/>
        </w:numPr>
      </w:pPr>
      <w:r>
        <w:t>Action</w:t>
      </w:r>
    </w:p>
    <w:p w:rsidR="00BB482B" w:rsidRPr="00BB482B" w:rsidP="00BB482B" w14:paraId="207B7502" w14:textId="77777777"/>
    <w:p w:rsidR="004F42A8" w:rsidP="004F42A8" w14:paraId="207B7503" w14:textId="5AAC0246">
      <w:pPr>
        <w:pStyle w:val="ListParagraph"/>
        <w:numPr>
          <w:ilvl w:val="0"/>
          <w:numId w:val="19"/>
        </w:numPr>
      </w:pPr>
      <w:r>
        <w:t>If PASS is displayed on the analyzer screen:</w:t>
      </w:r>
    </w:p>
    <w:p w:rsidR="007B196E" w:rsidRPr="007B196E" w:rsidP="007B196E" w14:paraId="13E01BD6" w14:textId="77777777"/>
    <w:p w:rsidR="004F42A8" w:rsidP="005D5EFE" w14:paraId="207B7504" w14:textId="4DE00DCB">
      <w:pPr>
        <w:pStyle w:val="ListParagraph"/>
        <w:numPr>
          <w:ilvl w:val="0"/>
          <w:numId w:val="20"/>
        </w:numPr>
        <w:ind w:left="2250" w:hanging="270"/>
      </w:pPr>
      <w:r>
        <w:t>Remove the Electronic Simulator after the LCK message disappears from the display screen.</w:t>
      </w:r>
    </w:p>
    <w:p w:rsidR="007B196E" w:rsidRPr="007B196E" w:rsidP="007B196E" w14:paraId="277E034F" w14:textId="77777777"/>
    <w:p w:rsidR="004F42A8" w:rsidP="005D5EFE" w14:paraId="207B7505" w14:textId="0EA9D61C">
      <w:pPr>
        <w:pStyle w:val="ListParagraph"/>
        <w:numPr>
          <w:ilvl w:val="0"/>
          <w:numId w:val="20"/>
        </w:numPr>
        <w:ind w:left="2250" w:hanging="270"/>
      </w:pPr>
      <w:r>
        <w:t>Transmit the result to the Central Data Station.</w:t>
      </w:r>
    </w:p>
    <w:p w:rsidR="007B196E" w:rsidRPr="007B196E" w:rsidP="007B196E" w14:paraId="2487ACDE" w14:textId="77777777"/>
    <w:p w:rsidR="004F42A8" w:rsidP="005D5EFE" w14:paraId="207B7506" w14:textId="77777777">
      <w:pPr>
        <w:pStyle w:val="ListParagraph"/>
        <w:numPr>
          <w:ilvl w:val="0"/>
          <w:numId w:val="20"/>
        </w:numPr>
        <w:ind w:left="2250" w:hanging="270"/>
      </w:pPr>
      <w:r>
        <w:t>Use the analyzer as required.</w:t>
      </w:r>
    </w:p>
    <w:p w:rsidR="004F42A8" w:rsidP="004F42A8" w14:paraId="207B7507" w14:textId="77777777"/>
    <w:p w:rsidR="004F42A8" w:rsidP="004F42A8" w14:paraId="207B7508" w14:textId="77777777">
      <w:pPr>
        <w:pStyle w:val="ListParagraph"/>
        <w:numPr>
          <w:ilvl w:val="0"/>
          <w:numId w:val="18"/>
        </w:numPr>
      </w:pPr>
      <w:r>
        <w:t>Remedial Action</w:t>
      </w:r>
    </w:p>
    <w:p w:rsidR="00BB482B" w:rsidRPr="00BB482B" w:rsidP="00BB482B" w14:paraId="207B7509" w14:textId="77777777"/>
    <w:p w:rsidR="008520BD" w:rsidP="008520BD" w14:paraId="207B750A" w14:textId="4B404D1D">
      <w:pPr>
        <w:pStyle w:val="ListParagraph"/>
        <w:numPr>
          <w:ilvl w:val="0"/>
          <w:numId w:val="22"/>
        </w:numPr>
      </w:pPr>
      <w:r>
        <w:t xml:space="preserve">If FAIL is </w:t>
      </w:r>
      <w:r>
        <w:t>displayed on the analyzer screen:</w:t>
      </w:r>
    </w:p>
    <w:p w:rsidR="007B196E" w:rsidRPr="007B196E" w:rsidP="007B196E" w14:paraId="7CDB36D6" w14:textId="77777777"/>
    <w:p w:rsidR="008520BD" w:rsidP="005D5EFE" w14:paraId="207B750B" w14:textId="6C421DEA">
      <w:pPr>
        <w:pStyle w:val="ListParagraph"/>
        <w:numPr>
          <w:ilvl w:val="2"/>
          <w:numId w:val="18"/>
        </w:numPr>
        <w:ind w:left="2250" w:hanging="270"/>
      </w:pPr>
      <w:r>
        <w:t>Repeat the procedure with the same Electronic Simulator. If PASS is displayed, use the analyzer as required.</w:t>
      </w:r>
    </w:p>
    <w:p w:rsidR="007B196E" w:rsidRPr="007B196E" w:rsidP="007B196E" w14:paraId="3F827D70" w14:textId="77777777"/>
    <w:p w:rsidR="00BE7CC1" w:rsidP="005D5EFE" w14:paraId="207B750C" w14:textId="77777777">
      <w:pPr>
        <w:pStyle w:val="ListParagraph"/>
        <w:numPr>
          <w:ilvl w:val="2"/>
          <w:numId w:val="18"/>
        </w:numPr>
        <w:ind w:left="2250" w:hanging="270"/>
      </w:pPr>
      <w:r>
        <w:t>If FAIL is displayed repeat the procedure with a different Electronic Simulator.</w:t>
      </w:r>
    </w:p>
    <w:p w:rsidR="00BB482B" w:rsidRPr="00BB482B" w:rsidP="00BB482B" w14:paraId="207B750E" w14:textId="3A5D004F"/>
    <w:p w:rsidR="00BE7CC1" w:rsidP="00BE7CC1" w14:paraId="207B750F" w14:textId="690E68FB">
      <w:pPr>
        <w:pStyle w:val="ListParagraph"/>
        <w:numPr>
          <w:ilvl w:val="1"/>
          <w:numId w:val="18"/>
        </w:numPr>
      </w:pPr>
      <w:r>
        <w:t>If PASS is displayed with the second Electronic Simulator:</w:t>
      </w:r>
    </w:p>
    <w:p w:rsidR="007B196E" w:rsidRPr="007B196E" w:rsidP="007B196E" w14:paraId="68DE6216" w14:textId="77777777"/>
    <w:p w:rsidR="00BB482B" w:rsidP="005D5EFE" w14:paraId="207B7510" w14:textId="063F2E7D">
      <w:pPr>
        <w:pStyle w:val="ListParagraph"/>
        <w:numPr>
          <w:ilvl w:val="2"/>
          <w:numId w:val="18"/>
        </w:numPr>
        <w:ind w:left="2250" w:hanging="270"/>
      </w:pPr>
      <w:r>
        <w:t>Use the analyzer as required.</w:t>
      </w:r>
    </w:p>
    <w:p w:rsidR="007B196E" w:rsidRPr="007B196E" w:rsidP="007B196E" w14:paraId="40E72D34" w14:textId="77777777"/>
    <w:p w:rsidR="00BB482B" w:rsidP="005D5EFE" w14:paraId="207B7511" w14:textId="77777777">
      <w:pPr>
        <w:pStyle w:val="ListParagraph"/>
        <w:numPr>
          <w:ilvl w:val="2"/>
          <w:numId w:val="18"/>
        </w:numPr>
        <w:tabs>
          <w:tab w:val="left" w:pos="1800"/>
        </w:tabs>
        <w:ind w:left="2250" w:hanging="270"/>
      </w:pPr>
      <w:r>
        <w:t xml:space="preserve">Deliver the questionable Electronic Simulator to the POCT Manager. </w:t>
      </w:r>
    </w:p>
    <w:p w:rsidR="00BB482B" w:rsidRPr="00BB482B" w:rsidP="00BB482B" w14:paraId="207B7512" w14:textId="77777777"/>
    <w:p w:rsidR="00BB482B" w:rsidP="00BB482B" w14:paraId="207B7513" w14:textId="54F67FFA">
      <w:pPr>
        <w:pStyle w:val="ListParagraph"/>
        <w:numPr>
          <w:ilvl w:val="1"/>
          <w:numId w:val="18"/>
        </w:numPr>
      </w:pPr>
      <w:r>
        <w:t>If FAIL is displayed with the Second Electronic Simulator:</w:t>
      </w:r>
    </w:p>
    <w:p w:rsidR="007B196E" w:rsidRPr="007B196E" w:rsidP="007B196E" w14:paraId="0F9870BE" w14:textId="77777777"/>
    <w:p w:rsidR="00BB482B" w:rsidP="00896AE7" w14:paraId="207B7515" w14:textId="50C5DE4F">
      <w:pPr>
        <w:pStyle w:val="ListParagraph"/>
        <w:numPr>
          <w:ilvl w:val="2"/>
          <w:numId w:val="18"/>
        </w:numPr>
        <w:ind w:left="2250" w:hanging="270"/>
      </w:pPr>
      <w:r>
        <w:t>DO NOT analyze the patient samples with the analyzer.</w:t>
      </w:r>
    </w:p>
    <w:p w:rsidR="007B196E" w:rsidRPr="007B196E" w:rsidP="007B196E" w14:paraId="12A378B5" w14:textId="77777777"/>
    <w:p w:rsidR="00BB482B" w:rsidP="00896AE7" w14:paraId="207B7517" w14:textId="48476E6E">
      <w:pPr>
        <w:pStyle w:val="ListParagraph"/>
        <w:numPr>
          <w:ilvl w:val="2"/>
          <w:numId w:val="18"/>
        </w:numPr>
        <w:tabs>
          <w:tab w:val="left" w:pos="2340"/>
        </w:tabs>
        <w:ind w:left="2250" w:hanging="270"/>
      </w:pPr>
      <w:r>
        <w:t>Deliver the faulty analyzer to the POCT Manager.</w:t>
      </w:r>
    </w:p>
    <w:p w:rsidR="005D5EFE" w:rsidRPr="005D5EFE" w:rsidP="005D5EFE" w14:paraId="207B7518" w14:textId="77777777"/>
    <w:p w:rsidR="005D5EFE" w:rsidP="005938A9" w14:paraId="207B7519" w14:textId="77777777">
      <w:pPr>
        <w:pStyle w:val="Style1"/>
        <w:numPr>
          <w:ilvl w:val="0"/>
          <w:numId w:val="48"/>
        </w:numPr>
      </w:pPr>
      <w:r>
        <w:t>Verification of Cartridge Storage Conditions</w:t>
      </w:r>
    </w:p>
    <w:p w:rsidR="001F6093" w:rsidRPr="001F6093" w:rsidP="001F6093" w14:paraId="207B751A" w14:textId="77777777"/>
    <w:p w:rsidR="005D5EFE" w:rsidP="005D5EFE" w14:paraId="207B751B" w14:textId="3DE4E972">
      <w:pPr>
        <w:pStyle w:val="ListParagraph"/>
        <w:numPr>
          <w:ilvl w:val="0"/>
          <w:numId w:val="23"/>
        </w:numPr>
      </w:pPr>
      <w:r>
        <w:t>Refrigerated Cartridges</w:t>
      </w:r>
    </w:p>
    <w:p w:rsidR="00C47350" w:rsidRPr="00C47350" w:rsidP="00C47350" w14:paraId="11DC95C1" w14:textId="77777777"/>
    <w:p w:rsidR="00C47350" w:rsidP="00C47350" w14:paraId="366219FD" w14:textId="6B523B4C">
      <w:pPr>
        <w:pStyle w:val="ListParagraph"/>
        <w:numPr>
          <w:ilvl w:val="0"/>
          <w:numId w:val="25"/>
        </w:numPr>
      </w:pPr>
      <w:r>
        <w:t>Verify that the cartridges stored in the refrigerator are all within the expiration date printed on the boxes. Deliver any expired cartridges to the POCT Manager.</w:t>
      </w:r>
    </w:p>
    <w:p w:rsidR="00C47350" w:rsidRPr="00C47350" w:rsidP="00C47350" w14:paraId="4CB9CDB7" w14:textId="77777777"/>
    <w:p w:rsidR="001F6093" w:rsidP="001F6093" w14:paraId="207B751D" w14:textId="66AED848">
      <w:pPr>
        <w:pStyle w:val="ListParagraph"/>
        <w:numPr>
          <w:ilvl w:val="0"/>
          <w:numId w:val="25"/>
        </w:numPr>
      </w:pPr>
      <w:r>
        <w:t>Verify that the refrigerator did not exceed the limits of 2</w:t>
      </w:r>
      <w:r>
        <w:rPr>
          <w:rFonts w:cs="Arial"/>
        </w:rPr>
        <w:t>º</w:t>
      </w:r>
      <w:r>
        <w:t xml:space="preserve"> to 8</w:t>
      </w:r>
      <w:r>
        <w:rPr>
          <w:rFonts w:cs="Arial"/>
        </w:rPr>
        <w:t>º</w:t>
      </w:r>
      <w:r>
        <w:t>C (35</w:t>
      </w:r>
      <w:r>
        <w:rPr>
          <w:rFonts w:cs="Arial"/>
        </w:rPr>
        <w:t>º</w:t>
      </w:r>
      <w:r>
        <w:t xml:space="preserve"> to 46</w:t>
      </w:r>
      <w:r>
        <w:rPr>
          <w:rFonts w:cs="Arial"/>
        </w:rPr>
        <w:t>º</w:t>
      </w:r>
      <w:r>
        <w:t>F).</w:t>
      </w:r>
    </w:p>
    <w:p w:rsidR="00C47350" w:rsidRPr="00C47350" w:rsidP="00C47350" w14:paraId="5CAC292E" w14:textId="77777777"/>
    <w:p w:rsidR="001F6093" w:rsidP="001F6093" w14:paraId="207B751E" w14:textId="041A5FE2">
      <w:pPr>
        <w:pStyle w:val="ListParagraph"/>
        <w:numPr>
          <w:ilvl w:val="0"/>
          <w:numId w:val="25"/>
        </w:numPr>
      </w:pPr>
      <w:r w:rsidRPr="00FD7B29">
        <w:rPr>
          <w:b/>
        </w:rPr>
        <w:t>Action</w:t>
      </w:r>
      <w:r>
        <w:t>: If the temperature of the cartridge storage refrigerator is within the range of 2</w:t>
      </w:r>
      <w:r>
        <w:rPr>
          <w:rFonts w:cs="Arial"/>
        </w:rPr>
        <w:t>º</w:t>
      </w:r>
      <w:r>
        <w:t xml:space="preserve"> to 8</w:t>
      </w:r>
      <w:r>
        <w:rPr>
          <w:rFonts w:cs="Arial"/>
        </w:rPr>
        <w:t>º</w:t>
      </w:r>
      <w:r>
        <w:t>C (35</w:t>
      </w:r>
      <w:r>
        <w:rPr>
          <w:rFonts w:cs="Arial"/>
        </w:rPr>
        <w:t>º</w:t>
      </w:r>
      <w:r>
        <w:t xml:space="preserve"> to 46</w:t>
      </w:r>
      <w:r>
        <w:rPr>
          <w:rFonts w:cs="Arial"/>
        </w:rPr>
        <w:t>º</w:t>
      </w:r>
      <w:r>
        <w:t xml:space="preserve">F) use cartridges as </w:t>
      </w:r>
      <w:r>
        <w:t>required.</w:t>
      </w:r>
    </w:p>
    <w:p w:rsidR="00C47350" w:rsidRPr="00C47350" w:rsidP="00C47350" w14:paraId="02DD25BD" w14:textId="77777777"/>
    <w:p w:rsidR="001F6093" w:rsidP="001F6093" w14:paraId="207B751F" w14:textId="77777777">
      <w:pPr>
        <w:pStyle w:val="ListParagraph"/>
        <w:numPr>
          <w:ilvl w:val="0"/>
          <w:numId w:val="25"/>
        </w:numPr>
      </w:pPr>
      <w:r w:rsidRPr="00FD7B29">
        <w:rPr>
          <w:b/>
        </w:rPr>
        <w:t>Remedial Action</w:t>
      </w:r>
      <w:r>
        <w:t>: If the temperature is outside the range of 2</w:t>
      </w:r>
      <w:r>
        <w:rPr>
          <w:rFonts w:cs="Arial"/>
        </w:rPr>
        <w:t>º</w:t>
      </w:r>
      <w:r>
        <w:t xml:space="preserve"> to 8</w:t>
      </w:r>
      <w:r>
        <w:rPr>
          <w:rFonts w:cs="Arial"/>
        </w:rPr>
        <w:t>º</w:t>
      </w:r>
      <w:r>
        <w:t>C (35</w:t>
      </w:r>
      <w:r>
        <w:rPr>
          <w:rFonts w:cs="Arial"/>
        </w:rPr>
        <w:t>º</w:t>
      </w:r>
      <w:r>
        <w:t xml:space="preserve"> to 46</w:t>
      </w:r>
      <w:r>
        <w:rPr>
          <w:rFonts w:cs="Arial"/>
        </w:rPr>
        <w:t>º</w:t>
      </w:r>
      <w:r>
        <w:t xml:space="preserve">F), quarantine the cartridges in the storage refrigerator. Notify the POCT Manager immediately. DO NOT USE the cartridges from the out-of-control refrigerator. Record the QC </w:t>
      </w:r>
      <w:r w:rsidR="00FD7B29">
        <w:t>failure in the i-STAT QC Log along with the action taken.</w:t>
      </w:r>
    </w:p>
    <w:p w:rsidR="00FD7B29" w:rsidRPr="00FD7B29" w:rsidP="00FD7B29" w14:paraId="207B7520" w14:textId="77777777"/>
    <w:p w:rsidR="00FD7B29" w:rsidP="00FD7B29" w14:paraId="207B7521" w14:textId="143164EA">
      <w:pPr>
        <w:pStyle w:val="ListParagraph"/>
        <w:numPr>
          <w:ilvl w:val="0"/>
          <w:numId w:val="23"/>
        </w:numPr>
      </w:pPr>
      <w:r>
        <w:t>Room Temperature Cartridges</w:t>
      </w:r>
    </w:p>
    <w:p w:rsidR="00C47350" w:rsidRPr="00C47350" w:rsidP="00C47350" w14:paraId="45F92512" w14:textId="77777777"/>
    <w:p w:rsidR="00FD7B29" w:rsidP="00FD7B29" w14:paraId="207B7522" w14:textId="03848A4C">
      <w:pPr>
        <w:pStyle w:val="ListParagraph"/>
        <w:numPr>
          <w:ilvl w:val="1"/>
          <w:numId w:val="23"/>
        </w:numPr>
      </w:pPr>
      <w:r>
        <w:t xml:space="preserve">Verify that all boxes of cartridges at room temperature have been out of the refrigerator less than two months. </w:t>
      </w:r>
    </w:p>
    <w:p w:rsidR="00C47350" w:rsidRPr="00C47350" w:rsidP="00C47350" w14:paraId="0EBA33B2" w14:textId="77777777"/>
    <w:p w:rsidR="00FD7B29" w:rsidP="00FD7B29" w14:paraId="207B7523" w14:textId="460199C0">
      <w:pPr>
        <w:pStyle w:val="ListParagraph"/>
        <w:numPr>
          <w:ilvl w:val="1"/>
          <w:numId w:val="23"/>
        </w:numPr>
      </w:pPr>
      <w:r w:rsidRPr="00FD7B29">
        <w:rPr>
          <w:b/>
        </w:rPr>
        <w:t>Action</w:t>
      </w:r>
      <w:r>
        <w:t>:</w:t>
      </w:r>
      <w:r w:rsidR="00CF589C">
        <w:t xml:space="preserve"> If the measured temperature of the room has been continuously</w:t>
      </w:r>
      <w:r w:rsidR="007A7069">
        <w:t xml:space="preserve"> above 30</w:t>
      </w:r>
      <w:r w:rsidR="007A7069">
        <w:rPr>
          <w:rFonts w:cs="Arial"/>
        </w:rPr>
        <w:t>º</w:t>
      </w:r>
      <w:r w:rsidR="007A7069">
        <w:t>C (86</w:t>
      </w:r>
      <w:r w:rsidR="007A7069">
        <w:rPr>
          <w:rFonts w:cs="Arial"/>
        </w:rPr>
        <w:t>º</w:t>
      </w:r>
      <w:r w:rsidR="007A7069">
        <w:t>F) for any period of time:</w:t>
      </w:r>
    </w:p>
    <w:p w:rsidR="00C47350" w:rsidRPr="00C47350" w:rsidP="00C47350" w14:paraId="4674248E" w14:textId="77777777"/>
    <w:p w:rsidR="007A7069" w:rsidP="007A7069" w14:paraId="207B7524" w14:textId="4A34DD25">
      <w:pPr>
        <w:pStyle w:val="ListParagraph"/>
        <w:numPr>
          <w:ilvl w:val="0"/>
          <w:numId w:val="26"/>
        </w:numPr>
      </w:pPr>
      <w:r>
        <w:t>Quarantine the cartridges.</w:t>
      </w:r>
    </w:p>
    <w:p w:rsidR="00C47350" w:rsidRPr="00C47350" w:rsidP="00C47350" w14:paraId="6914A344" w14:textId="77777777"/>
    <w:p w:rsidR="007A7069" w:rsidP="007A7069" w14:paraId="207B7525" w14:textId="1DDE2520">
      <w:pPr>
        <w:pStyle w:val="ListParagraph"/>
        <w:numPr>
          <w:ilvl w:val="0"/>
          <w:numId w:val="26"/>
        </w:numPr>
      </w:pPr>
      <w:r>
        <w:t>Notify the POCT Manager immediately.</w:t>
      </w:r>
    </w:p>
    <w:p w:rsidR="00C47350" w:rsidRPr="00C47350" w:rsidP="00C47350" w14:paraId="6E42FD23" w14:textId="77777777"/>
    <w:p w:rsidR="007A7069" w:rsidP="007A7069" w14:paraId="207B7526" w14:textId="1CF18DC8">
      <w:pPr>
        <w:pStyle w:val="ListParagraph"/>
        <w:numPr>
          <w:ilvl w:val="0"/>
          <w:numId w:val="26"/>
        </w:numPr>
      </w:pPr>
      <w:r>
        <w:t>DO NOT USE the cartridges.</w:t>
      </w:r>
    </w:p>
    <w:p w:rsidR="00C47350" w:rsidRPr="00C47350" w:rsidP="00C47350" w14:paraId="79D8F025" w14:textId="77777777"/>
    <w:p w:rsidR="0078435D" w:rsidRPr="0078435D" w:rsidP="0078435D" w14:paraId="660C7E00" w14:textId="7221370B">
      <w:pPr>
        <w:pStyle w:val="ListParagraph"/>
        <w:numPr>
          <w:ilvl w:val="0"/>
          <w:numId w:val="26"/>
        </w:numPr>
      </w:pPr>
      <w:r>
        <w:t xml:space="preserve">Record the </w:t>
      </w:r>
      <w:r>
        <w:t>out-of-control</w:t>
      </w:r>
      <w:r>
        <w:t xml:space="preserve"> event in the i-STAT Electronic QC Log and the action taken. </w:t>
      </w:r>
    </w:p>
    <w:p w:rsidR="00716BED" w:rsidRPr="00716BED" w:rsidP="00716BED" w14:paraId="207B7528" w14:textId="77777777"/>
    <w:p w:rsidR="007A7069" w:rsidP="007A7069" w14:paraId="207B7529" w14:textId="77777777">
      <w:pPr>
        <w:pStyle w:val="ListParagraph"/>
        <w:numPr>
          <w:ilvl w:val="0"/>
          <w:numId w:val="14"/>
        </w:numPr>
      </w:pPr>
      <w:r>
        <w:t>Calibration</w:t>
      </w:r>
    </w:p>
    <w:p w:rsidR="00716BED" w:rsidRPr="00716BED" w:rsidP="00716BED" w14:paraId="207B752A" w14:textId="77777777"/>
    <w:p w:rsidR="007A7069" w:rsidP="007A7069" w14:paraId="207B752B" w14:textId="77777777">
      <w:pPr>
        <w:pStyle w:val="ListParagraph"/>
        <w:numPr>
          <w:ilvl w:val="0"/>
          <w:numId w:val="27"/>
        </w:numPr>
      </w:pPr>
      <w:r>
        <w:t>Calibration is automatically performed as part of the test cycle on each cartridge. Operator intervention is not necessary.</w:t>
      </w:r>
    </w:p>
    <w:p w:rsidR="00716BED" w:rsidRPr="00716BED" w:rsidP="00716BED" w14:paraId="207B752C" w14:textId="77777777"/>
    <w:p w:rsidR="007A7069" w:rsidP="007A7069" w14:paraId="207B752D" w14:textId="77777777">
      <w:pPr>
        <w:pStyle w:val="ListParagraph"/>
        <w:numPr>
          <w:ilvl w:val="0"/>
          <w:numId w:val="14"/>
        </w:numPr>
      </w:pPr>
      <w:r>
        <w:t>Maintenance</w:t>
      </w:r>
    </w:p>
    <w:p w:rsidR="00716BED" w:rsidRPr="00716BED" w:rsidP="00716BED" w14:paraId="207B752E" w14:textId="77777777"/>
    <w:p w:rsidR="007A7069" w:rsidP="007A7069" w14:paraId="207B752F" w14:textId="2D9DF2D4">
      <w:pPr>
        <w:pStyle w:val="ListParagraph"/>
        <w:numPr>
          <w:ilvl w:val="0"/>
          <w:numId w:val="28"/>
        </w:numPr>
      </w:pPr>
      <w:r>
        <w:t>Disinfect when visibly soiled and between each patient using an approved disinfectant wipe, making sure to adhere to the contact time indicated</w:t>
      </w:r>
    </w:p>
    <w:p w:rsidR="00C47350" w:rsidRPr="00C47350" w:rsidP="00C47350" w14:paraId="1F796F02" w14:textId="77777777"/>
    <w:p w:rsidR="007A7069" w:rsidRPr="007A7069" w:rsidP="007A7069" w14:paraId="207B7530" w14:textId="09AC9909">
      <w:pPr>
        <w:pStyle w:val="ListParagraph"/>
        <w:numPr>
          <w:ilvl w:val="0"/>
          <w:numId w:val="28"/>
        </w:numPr>
      </w:pPr>
      <w:r>
        <w:t>Do not allow moisture to enter the unit enclosure</w:t>
      </w:r>
      <w:r w:rsidR="00716BED">
        <w:t>.</w:t>
      </w:r>
    </w:p>
    <w:p w:rsidR="00C21AD5" w:rsidP="00FD7B29" w14:paraId="207B7534" w14:textId="6A8E1D3D"/>
    <w:p w:rsidR="00C21AD5" w:rsidRPr="00FD7B29" w:rsidP="00FD7B29" w14:paraId="207B7535" w14:textId="77777777"/>
    <w:p w:rsidR="00B048D9" w:rsidP="00887AE0" w14:paraId="207B7536" w14:textId="77777777">
      <w:pPr>
        <w:pStyle w:val="Heading1"/>
      </w:pPr>
      <w:r>
        <w:t>References</w:t>
      </w:r>
    </w:p>
    <w:p w:rsidR="00AA5261" w:rsidP="00BF5F7B" w14:paraId="29ABBE14" w14:textId="77777777"/>
    <w:p w:rsidR="00BF5F7B" w:rsidRPr="00BF5F7B" w:rsidP="00BF5F7B" w14:paraId="207B7538" w14:textId="0CE0DDDA">
      <w:r>
        <w:t>None</w:t>
      </w:r>
    </w:p>
    <w:p w:rsidR="00BF5F7B" w:rsidRPr="00BF5F7B" w:rsidP="00BF5F7B" w14:paraId="207B7539" w14:textId="77777777"/>
    <w:p w:rsidR="00B048D9" w:rsidP="00887AE0" w14:paraId="207B753A" w14:textId="77777777">
      <w:pPr>
        <w:pStyle w:val="Heading1"/>
      </w:pPr>
      <w:r>
        <w:t>Attachments</w:t>
      </w:r>
    </w:p>
    <w:p w:rsidR="00AA5261" w:rsidP="00BF5F7B" w14:paraId="09F6DC3C" w14:textId="77777777"/>
    <w:p w:rsidR="00BF5F7B" w:rsidP="00BF5F7B" w14:paraId="207B753D" w14:textId="3CA7BC7D">
      <w:r>
        <w:t>Downtime ABG Report</w:t>
      </w:r>
    </w:p>
    <w:p w:rsidR="00836818" w:rsidP="00BF5F7B" w14:paraId="1F0C9775" w14:textId="42077077">
      <w:r>
        <w:t>Cartridge Supply Inventory</w:t>
      </w:r>
    </w:p>
    <w:p w:rsidR="00BF5F7B" w:rsidRPr="00BF5F7B" w:rsidP="00BF5F7B" w14:paraId="207B753E" w14:textId="77777777"/>
    <w:p w:rsidR="00C47350" w:rsidP="00C47350" w14:paraId="471C80D7" w14:textId="3E98FEAE">
      <w:pPr>
        <w:pStyle w:val="Heading1"/>
      </w:pPr>
      <w:r>
        <w:t xml:space="preserve">Revision Dates </w:t>
      </w:r>
    </w:p>
    <w:p w:rsidR="00C47350" w:rsidP="00AA5261" w14:paraId="299AEE81" w14:textId="36DEF08B">
      <w:pPr>
        <w:ind w:left="360" w:hanging="360"/>
      </w:pPr>
      <w:r>
        <w:t>5/21</w:t>
      </w:r>
      <w:r w:rsidR="00AA5261">
        <w:t xml:space="preserve">, </w:t>
      </w:r>
      <w:r>
        <w:t>10/22, 10/23</w:t>
      </w:r>
      <w:r w:rsidR="00FC46AC">
        <w:t>, 9/24</w:t>
      </w:r>
    </w:p>
    <w:p w:rsidR="00AA5261" w14:paraId="288B8173" w14:textId="0AF1F2FF">
      <w:r>
        <w:br w:type="page"/>
      </w:r>
    </w:p>
    <w:p w:rsidR="00AA5261" w:rsidRPr="00C47350" w:rsidP="00AA5261" w14:paraId="7F03C86C" w14:textId="77777777">
      <w:pPr>
        <w:ind w:left="360" w:hanging="360"/>
      </w:pPr>
    </w:p>
    <w:p w:rsidR="00BF5F7B" w:rsidP="00BF5F7B" w14:paraId="207B7540" w14:textId="77777777"/>
    <w:p w:rsidR="00BF5F7B" w:rsidP="00BF5F7B" w14:paraId="207B7541" w14:textId="77777777"/>
    <w:tbl>
      <w:tblPr>
        <w:tblW w:w="9985" w:type="dxa"/>
        <w:tblInd w:w="115" w:type="dxa"/>
        <w:tblLayout w:type="fixed"/>
        <w:tblCellMar>
          <w:left w:w="0" w:type="dxa"/>
          <w:right w:w="0" w:type="dxa"/>
        </w:tblCellMar>
        <w:tblLook w:val="01E0"/>
      </w:tblPr>
      <w:tblGrid>
        <w:gridCol w:w="3347"/>
        <w:gridCol w:w="1104"/>
        <w:gridCol w:w="1715"/>
        <w:gridCol w:w="3819"/>
      </w:tblGrid>
      <w:tr w14:paraId="1A8F101C" w14:textId="77777777" w:rsidTr="000B7E85">
        <w:tblPrEx>
          <w:tblW w:w="9985" w:type="dxa"/>
          <w:tblInd w:w="115" w:type="dxa"/>
          <w:tblLayout w:type="fixed"/>
          <w:tblCellMar>
            <w:left w:w="0" w:type="dxa"/>
            <w:right w:w="0" w:type="dxa"/>
          </w:tblCellMar>
          <w:tblLook w:val="01E0"/>
        </w:tblPrEx>
        <w:trPr>
          <w:trHeight w:val="422"/>
        </w:trPr>
        <w:tc>
          <w:tcPr>
            <w:tcW w:w="9985" w:type="dxa"/>
            <w:gridSpan w:val="4"/>
          </w:tcPr>
          <w:p w:rsidR="008A5841" w:rsidP="000B7E85" w14:paraId="11D7B031" w14:textId="77777777">
            <w:pPr>
              <w:pStyle w:val="TableParagraph"/>
              <w:spacing w:line="402" w:lineRule="exact"/>
              <w:ind w:left="251"/>
              <w:jc w:val="center"/>
              <w:rPr>
                <w:b/>
                <w:sz w:val="37"/>
              </w:rPr>
            </w:pPr>
            <w:r>
              <w:rPr>
                <w:b/>
                <w:sz w:val="29"/>
              </w:rPr>
              <w:t>Downtime ABG Report</w:t>
            </w:r>
          </w:p>
        </w:tc>
      </w:tr>
      <w:tr w14:paraId="5D0B4039" w14:textId="77777777" w:rsidTr="000B7E85">
        <w:tblPrEx>
          <w:tblW w:w="9985" w:type="dxa"/>
          <w:tblInd w:w="115" w:type="dxa"/>
          <w:tblLayout w:type="fixed"/>
          <w:tblCellMar>
            <w:left w:w="0" w:type="dxa"/>
            <w:right w:w="0" w:type="dxa"/>
          </w:tblCellMar>
          <w:tblLook w:val="01E0"/>
        </w:tblPrEx>
        <w:trPr>
          <w:trHeight w:val="347"/>
        </w:trPr>
        <w:tc>
          <w:tcPr>
            <w:tcW w:w="9985" w:type="dxa"/>
            <w:gridSpan w:val="4"/>
          </w:tcPr>
          <w:p w:rsidR="008A5841" w:rsidP="000B7E85" w14:paraId="7D69C082" w14:textId="77777777">
            <w:pPr>
              <w:pStyle w:val="TableParagraph"/>
              <w:spacing w:line="327" w:lineRule="exact"/>
              <w:ind w:left="255"/>
              <w:jc w:val="center"/>
              <w:rPr>
                <w:b/>
                <w:sz w:val="29"/>
              </w:rPr>
            </w:pPr>
            <w:r>
              <w:rPr>
                <w:b/>
                <w:sz w:val="29"/>
              </w:rPr>
              <w:t>High Point Regional Health</w:t>
            </w:r>
          </w:p>
        </w:tc>
      </w:tr>
      <w:tr w14:paraId="335C5339" w14:textId="77777777" w:rsidTr="000B7E85">
        <w:tblPrEx>
          <w:tblW w:w="9985" w:type="dxa"/>
          <w:tblInd w:w="115" w:type="dxa"/>
          <w:tblLayout w:type="fixed"/>
          <w:tblCellMar>
            <w:left w:w="0" w:type="dxa"/>
            <w:right w:w="0" w:type="dxa"/>
          </w:tblCellMar>
          <w:tblLook w:val="01E0"/>
        </w:tblPrEx>
        <w:trPr>
          <w:trHeight w:val="728"/>
        </w:trPr>
        <w:tc>
          <w:tcPr>
            <w:tcW w:w="4451" w:type="dxa"/>
            <w:gridSpan w:val="2"/>
          </w:tcPr>
          <w:p w:rsidR="008A5841" w:rsidP="000B7E85" w14:paraId="13ABB46F" w14:textId="77777777">
            <w:pPr>
              <w:pStyle w:val="TableParagraph"/>
              <w:rPr>
                <w:rFonts w:ascii="Times New Roman"/>
              </w:rPr>
            </w:pPr>
          </w:p>
          <w:p w:rsidR="008A5841" w:rsidP="000B7E85" w14:paraId="3D35C51D" w14:textId="77777777">
            <w:pPr>
              <w:pStyle w:val="TableParagraph"/>
              <w:tabs>
                <w:tab w:val="left" w:pos="3909"/>
              </w:tabs>
              <w:spacing w:before="139"/>
              <w:ind w:left="200"/>
              <w:rPr>
                <w:sz w:val="21"/>
              </w:rPr>
            </w:pPr>
            <w:r>
              <w:rPr>
                <w:sz w:val="21"/>
              </w:rPr>
              <w:t>Patient's</w:t>
            </w:r>
            <w:r>
              <w:rPr>
                <w:spacing w:val="-13"/>
                <w:sz w:val="21"/>
              </w:rPr>
              <w:t xml:space="preserve"> </w:t>
            </w:r>
            <w:r>
              <w:rPr>
                <w:sz w:val="21"/>
              </w:rPr>
              <w:t>Name:</w:t>
            </w:r>
            <w:r>
              <w:rPr>
                <w:sz w:val="21"/>
                <w:u w:val="single"/>
              </w:rPr>
              <w:t xml:space="preserve"> </w:t>
            </w:r>
            <w:r>
              <w:rPr>
                <w:sz w:val="21"/>
                <w:u w:val="single"/>
              </w:rPr>
              <w:tab/>
            </w:r>
          </w:p>
        </w:tc>
        <w:tc>
          <w:tcPr>
            <w:tcW w:w="5534" w:type="dxa"/>
            <w:gridSpan w:val="2"/>
          </w:tcPr>
          <w:p w:rsidR="008A5841" w:rsidP="000B7E85" w14:paraId="52D7CB9E" w14:textId="77777777">
            <w:pPr>
              <w:pStyle w:val="TableParagraph"/>
              <w:rPr>
                <w:rFonts w:ascii="Times New Roman"/>
              </w:rPr>
            </w:pPr>
          </w:p>
          <w:p w:rsidR="008A5841" w:rsidP="000B7E85" w14:paraId="3BAB3D52" w14:textId="77777777">
            <w:pPr>
              <w:pStyle w:val="TableParagraph"/>
              <w:tabs>
                <w:tab w:val="left" w:pos="4100"/>
              </w:tabs>
              <w:spacing w:before="139"/>
              <w:ind w:left="554"/>
              <w:rPr>
                <w:sz w:val="21"/>
              </w:rPr>
            </w:pPr>
            <w:r>
              <w:rPr>
                <w:sz w:val="21"/>
              </w:rPr>
              <w:t>Location:</w:t>
            </w:r>
            <w:r>
              <w:rPr>
                <w:sz w:val="21"/>
                <w:u w:val="single"/>
              </w:rPr>
              <w:t xml:space="preserve"> </w:t>
            </w:r>
            <w:r>
              <w:rPr>
                <w:sz w:val="21"/>
                <w:u w:val="single"/>
              </w:rPr>
              <w:tab/>
            </w:r>
          </w:p>
        </w:tc>
      </w:tr>
      <w:tr w14:paraId="49C714AA" w14:textId="77777777" w:rsidTr="000B7E85">
        <w:tblPrEx>
          <w:tblW w:w="9985" w:type="dxa"/>
          <w:tblInd w:w="115" w:type="dxa"/>
          <w:tblLayout w:type="fixed"/>
          <w:tblCellMar>
            <w:left w:w="0" w:type="dxa"/>
            <w:right w:w="0" w:type="dxa"/>
          </w:tblCellMar>
          <w:tblLook w:val="01E0"/>
        </w:tblPrEx>
        <w:trPr>
          <w:trHeight w:val="437"/>
        </w:trPr>
        <w:tc>
          <w:tcPr>
            <w:tcW w:w="4451" w:type="dxa"/>
            <w:gridSpan w:val="2"/>
          </w:tcPr>
          <w:p w:rsidR="008A5841" w:rsidP="000B7E85" w14:paraId="77F182C7" w14:textId="77777777">
            <w:pPr>
              <w:pStyle w:val="TableParagraph"/>
              <w:tabs>
                <w:tab w:val="left" w:pos="3945"/>
              </w:tabs>
              <w:spacing w:before="86"/>
              <w:ind w:left="200"/>
              <w:rPr>
                <w:sz w:val="21"/>
              </w:rPr>
            </w:pPr>
            <w:r>
              <w:rPr>
                <w:sz w:val="21"/>
              </w:rPr>
              <w:t>Acct.</w:t>
            </w:r>
            <w:r>
              <w:rPr>
                <w:spacing w:val="-7"/>
                <w:sz w:val="21"/>
              </w:rPr>
              <w:t xml:space="preserve"> </w:t>
            </w:r>
            <w:r>
              <w:rPr>
                <w:sz w:val="21"/>
              </w:rPr>
              <w:t>#:</w:t>
            </w:r>
            <w:r>
              <w:rPr>
                <w:sz w:val="21"/>
                <w:u w:val="single"/>
              </w:rPr>
              <w:t xml:space="preserve"> </w:t>
            </w:r>
            <w:r>
              <w:rPr>
                <w:sz w:val="21"/>
                <w:u w:val="single"/>
              </w:rPr>
              <w:tab/>
            </w:r>
          </w:p>
        </w:tc>
        <w:tc>
          <w:tcPr>
            <w:tcW w:w="5534" w:type="dxa"/>
            <w:gridSpan w:val="2"/>
          </w:tcPr>
          <w:p w:rsidR="008A5841" w:rsidP="000B7E85" w14:paraId="0732FAAB" w14:textId="77777777">
            <w:pPr>
              <w:pStyle w:val="TableParagraph"/>
              <w:tabs>
                <w:tab w:val="left" w:pos="4085"/>
              </w:tabs>
              <w:spacing w:before="86"/>
              <w:ind w:left="554"/>
              <w:rPr>
                <w:sz w:val="21"/>
              </w:rPr>
            </w:pPr>
            <w:r>
              <w:rPr>
                <w:sz w:val="21"/>
              </w:rPr>
              <w:t>Physician:</w:t>
            </w:r>
            <w:r>
              <w:rPr>
                <w:w w:val="99"/>
                <w:sz w:val="21"/>
                <w:u w:val="single"/>
              </w:rPr>
              <w:t xml:space="preserve"> </w:t>
            </w:r>
            <w:r>
              <w:rPr>
                <w:sz w:val="21"/>
                <w:u w:val="single"/>
              </w:rPr>
              <w:tab/>
            </w:r>
          </w:p>
        </w:tc>
      </w:tr>
      <w:tr w14:paraId="1C2CB1D7" w14:textId="77777777" w:rsidTr="000B7E85">
        <w:tblPrEx>
          <w:tblW w:w="9985" w:type="dxa"/>
          <w:tblInd w:w="115" w:type="dxa"/>
          <w:tblLayout w:type="fixed"/>
          <w:tblCellMar>
            <w:left w:w="0" w:type="dxa"/>
            <w:right w:w="0" w:type="dxa"/>
          </w:tblCellMar>
          <w:tblLook w:val="01E0"/>
        </w:tblPrEx>
        <w:trPr>
          <w:trHeight w:val="422"/>
        </w:trPr>
        <w:tc>
          <w:tcPr>
            <w:tcW w:w="4451" w:type="dxa"/>
            <w:gridSpan w:val="2"/>
          </w:tcPr>
          <w:p w:rsidR="008A5841" w:rsidP="000B7E85" w14:paraId="75708D7B" w14:textId="77777777">
            <w:pPr>
              <w:pStyle w:val="TableParagraph"/>
              <w:tabs>
                <w:tab w:val="left" w:pos="3917"/>
              </w:tabs>
              <w:spacing w:before="102"/>
              <w:ind w:left="200"/>
              <w:rPr>
                <w:sz w:val="21"/>
              </w:rPr>
            </w:pPr>
            <w:r>
              <w:rPr>
                <w:sz w:val="21"/>
              </w:rPr>
              <w:t>MR</w:t>
            </w:r>
            <w:r>
              <w:rPr>
                <w:spacing w:val="-9"/>
                <w:sz w:val="21"/>
              </w:rPr>
              <w:t xml:space="preserve"> </w:t>
            </w:r>
            <w:r>
              <w:rPr>
                <w:sz w:val="21"/>
              </w:rPr>
              <w:t>#:</w:t>
            </w:r>
            <w:r>
              <w:rPr>
                <w:sz w:val="21"/>
                <w:u w:val="single"/>
              </w:rPr>
              <w:t xml:space="preserve"> </w:t>
            </w:r>
            <w:r>
              <w:rPr>
                <w:sz w:val="21"/>
                <w:u w:val="single"/>
              </w:rPr>
              <w:tab/>
            </w:r>
          </w:p>
        </w:tc>
        <w:tc>
          <w:tcPr>
            <w:tcW w:w="5534" w:type="dxa"/>
            <w:gridSpan w:val="2"/>
          </w:tcPr>
          <w:p w:rsidR="008A5841" w:rsidP="000B7E85" w14:paraId="79F08BB6" w14:textId="77777777">
            <w:pPr>
              <w:pStyle w:val="TableParagraph"/>
              <w:tabs>
                <w:tab w:val="left" w:pos="4070"/>
              </w:tabs>
              <w:spacing w:before="102"/>
              <w:ind w:left="554"/>
              <w:rPr>
                <w:sz w:val="21"/>
              </w:rPr>
            </w:pPr>
            <w:r>
              <w:rPr>
                <w:sz w:val="21"/>
              </w:rPr>
              <w:t>Date and Time</w:t>
            </w:r>
            <w:r>
              <w:rPr>
                <w:spacing w:val="-30"/>
                <w:sz w:val="21"/>
              </w:rPr>
              <w:t xml:space="preserve"> </w:t>
            </w:r>
            <w:r>
              <w:rPr>
                <w:sz w:val="21"/>
              </w:rPr>
              <w:t>Drawn:</w:t>
            </w:r>
            <w:r>
              <w:rPr>
                <w:w w:val="99"/>
                <w:sz w:val="21"/>
                <w:u w:val="single"/>
              </w:rPr>
              <w:t xml:space="preserve"> </w:t>
            </w:r>
            <w:r>
              <w:rPr>
                <w:sz w:val="21"/>
                <w:u w:val="single"/>
              </w:rPr>
              <w:tab/>
            </w:r>
          </w:p>
        </w:tc>
      </w:tr>
      <w:tr w14:paraId="5556588E" w14:textId="77777777" w:rsidTr="000B7E85">
        <w:tblPrEx>
          <w:tblW w:w="9985" w:type="dxa"/>
          <w:tblInd w:w="115" w:type="dxa"/>
          <w:tblLayout w:type="fixed"/>
          <w:tblCellMar>
            <w:left w:w="0" w:type="dxa"/>
            <w:right w:w="0" w:type="dxa"/>
          </w:tblCellMar>
          <w:tblLook w:val="01E0"/>
        </w:tblPrEx>
        <w:trPr>
          <w:trHeight w:val="578"/>
        </w:trPr>
        <w:tc>
          <w:tcPr>
            <w:tcW w:w="9985" w:type="dxa"/>
            <w:gridSpan w:val="4"/>
          </w:tcPr>
          <w:p w:rsidR="008A5841" w:rsidP="000B7E85" w14:paraId="79AF4E28" w14:textId="77777777">
            <w:pPr>
              <w:pStyle w:val="TableParagraph"/>
              <w:tabs>
                <w:tab w:val="left" w:pos="3969"/>
              </w:tabs>
              <w:spacing w:before="71"/>
              <w:ind w:left="200"/>
              <w:rPr>
                <w:sz w:val="21"/>
              </w:rPr>
            </w:pPr>
            <w:r>
              <w:rPr>
                <w:sz w:val="21"/>
              </w:rPr>
              <w:t>Drawn</w:t>
            </w:r>
            <w:r>
              <w:rPr>
                <w:spacing w:val="-11"/>
                <w:sz w:val="21"/>
              </w:rPr>
              <w:t xml:space="preserve"> </w:t>
            </w:r>
            <w:r>
              <w:rPr>
                <w:spacing w:val="-3"/>
                <w:sz w:val="21"/>
              </w:rPr>
              <w:t>By:</w:t>
            </w:r>
            <w:r>
              <w:rPr>
                <w:spacing w:val="-3"/>
                <w:sz w:val="21"/>
                <w:u w:val="single"/>
              </w:rPr>
              <w:t xml:space="preserve"> </w:t>
            </w:r>
            <w:r>
              <w:rPr>
                <w:spacing w:val="-3"/>
                <w:sz w:val="21"/>
                <w:u w:val="single"/>
              </w:rPr>
              <w:tab/>
            </w:r>
          </w:p>
        </w:tc>
      </w:tr>
      <w:tr w14:paraId="0ECEE108" w14:textId="77777777" w:rsidTr="000B7E85">
        <w:tblPrEx>
          <w:tblW w:w="9985" w:type="dxa"/>
          <w:tblInd w:w="115" w:type="dxa"/>
          <w:tblLayout w:type="fixed"/>
          <w:tblCellMar>
            <w:left w:w="0" w:type="dxa"/>
            <w:right w:w="0" w:type="dxa"/>
          </w:tblCellMar>
          <w:tblLook w:val="01E0"/>
        </w:tblPrEx>
        <w:trPr>
          <w:trHeight w:val="996"/>
        </w:trPr>
        <w:tc>
          <w:tcPr>
            <w:tcW w:w="3347" w:type="dxa"/>
          </w:tcPr>
          <w:p w:rsidR="008A5841" w:rsidP="000B7E85" w14:paraId="6C901B85" w14:textId="77777777">
            <w:pPr>
              <w:pStyle w:val="TableParagraph"/>
              <w:spacing w:before="4"/>
              <w:rPr>
                <w:rFonts w:ascii="Times New Roman"/>
              </w:rPr>
            </w:pPr>
          </w:p>
          <w:p w:rsidR="008A5841" w:rsidP="000B7E85" w14:paraId="6F7CB8A5" w14:textId="77777777">
            <w:pPr>
              <w:pStyle w:val="TableParagraph"/>
              <w:spacing w:line="261" w:lineRule="auto"/>
              <w:ind w:left="485" w:right="1383" w:firstLine="312"/>
              <w:rPr>
                <w:b/>
                <w:sz w:val="25"/>
              </w:rPr>
            </w:pPr>
            <w:r>
              <w:rPr>
                <w:b/>
                <w:sz w:val="25"/>
              </w:rPr>
              <w:t>Patient Information:</w:t>
            </w:r>
          </w:p>
        </w:tc>
        <w:tc>
          <w:tcPr>
            <w:tcW w:w="1104" w:type="dxa"/>
          </w:tcPr>
          <w:p w:rsidR="008A5841" w:rsidP="000B7E85" w14:paraId="1EC4918C" w14:textId="77777777">
            <w:pPr>
              <w:pStyle w:val="TableParagraph"/>
              <w:rPr>
                <w:rFonts w:ascii="Times New Roman"/>
                <w:sz w:val="20"/>
              </w:rPr>
            </w:pPr>
          </w:p>
        </w:tc>
        <w:tc>
          <w:tcPr>
            <w:tcW w:w="1715" w:type="dxa"/>
          </w:tcPr>
          <w:p w:rsidR="008A5841" w:rsidP="000B7E85" w14:paraId="76106838" w14:textId="77777777">
            <w:pPr>
              <w:pStyle w:val="TableParagraph"/>
              <w:spacing w:before="8"/>
              <w:rPr>
                <w:rFonts w:ascii="Times New Roman"/>
                <w:sz w:val="35"/>
              </w:rPr>
            </w:pPr>
          </w:p>
          <w:p w:rsidR="008A5841" w:rsidP="000B7E85" w14:paraId="6E7B2DAB" w14:textId="77777777">
            <w:pPr>
              <w:pStyle w:val="TableParagraph"/>
              <w:ind w:left="127"/>
              <w:rPr>
                <w:b/>
                <w:sz w:val="25"/>
              </w:rPr>
            </w:pPr>
            <w:r>
              <w:rPr>
                <w:b/>
                <w:sz w:val="25"/>
              </w:rPr>
              <w:t>Results:</w:t>
            </w:r>
          </w:p>
        </w:tc>
        <w:tc>
          <w:tcPr>
            <w:tcW w:w="3819" w:type="dxa"/>
          </w:tcPr>
          <w:p w:rsidR="008A5841" w:rsidP="000B7E85" w14:paraId="0693E6BF" w14:textId="77777777">
            <w:pPr>
              <w:pStyle w:val="TableParagraph"/>
              <w:spacing w:before="8"/>
              <w:rPr>
                <w:rFonts w:ascii="Times New Roman"/>
                <w:sz w:val="35"/>
              </w:rPr>
            </w:pPr>
          </w:p>
          <w:p w:rsidR="008A5841" w:rsidP="000B7E85" w14:paraId="7307D6F8" w14:textId="77777777">
            <w:pPr>
              <w:pStyle w:val="TableParagraph"/>
              <w:ind w:left="1934"/>
              <w:rPr>
                <w:b/>
                <w:sz w:val="25"/>
              </w:rPr>
            </w:pPr>
            <w:r>
              <w:rPr>
                <w:b/>
                <w:sz w:val="25"/>
              </w:rPr>
              <w:t>Results:</w:t>
            </w:r>
          </w:p>
        </w:tc>
      </w:tr>
      <w:tr w14:paraId="49DD8E5B" w14:textId="77777777" w:rsidTr="000B7E85">
        <w:tblPrEx>
          <w:tblW w:w="9985" w:type="dxa"/>
          <w:tblInd w:w="115" w:type="dxa"/>
          <w:tblLayout w:type="fixed"/>
          <w:tblCellMar>
            <w:left w:w="0" w:type="dxa"/>
            <w:right w:w="0" w:type="dxa"/>
          </w:tblCellMar>
          <w:tblLook w:val="01E0"/>
        </w:tblPrEx>
        <w:trPr>
          <w:trHeight w:val="449"/>
        </w:trPr>
        <w:tc>
          <w:tcPr>
            <w:tcW w:w="3347" w:type="dxa"/>
          </w:tcPr>
          <w:p w:rsidR="008A5841" w:rsidP="000B7E85" w14:paraId="319BA9FA" w14:textId="77777777">
            <w:pPr>
              <w:pStyle w:val="TableParagraph"/>
              <w:tabs>
                <w:tab w:val="left" w:pos="2282"/>
              </w:tabs>
              <w:spacing w:before="129"/>
              <w:ind w:left="200"/>
              <w:rPr>
                <w:sz w:val="21"/>
              </w:rPr>
            </w:pPr>
            <w:r>
              <w:rPr>
                <w:sz w:val="21"/>
              </w:rPr>
              <w:t>Site:</w:t>
            </w:r>
            <w:r>
              <w:rPr>
                <w:sz w:val="21"/>
                <w:u w:val="single"/>
              </w:rPr>
              <w:t xml:space="preserve"> </w:t>
            </w:r>
            <w:r>
              <w:rPr>
                <w:sz w:val="21"/>
                <w:u w:val="single"/>
              </w:rPr>
              <w:tab/>
            </w:r>
          </w:p>
        </w:tc>
        <w:tc>
          <w:tcPr>
            <w:tcW w:w="2819" w:type="dxa"/>
            <w:gridSpan w:val="2"/>
          </w:tcPr>
          <w:p w:rsidR="008A5841" w:rsidP="000B7E85" w14:paraId="3BD4ACE5" w14:textId="77777777">
            <w:pPr>
              <w:pStyle w:val="TableParagraph"/>
              <w:tabs>
                <w:tab w:val="left" w:pos="2735"/>
              </w:tabs>
              <w:spacing w:before="129"/>
              <w:ind w:left="629"/>
              <w:rPr>
                <w:sz w:val="21"/>
              </w:rPr>
            </w:pPr>
            <w:r>
              <w:rPr>
                <w:sz w:val="21"/>
              </w:rPr>
              <w:t>pH:</w:t>
            </w:r>
            <w:r>
              <w:rPr>
                <w:w w:val="99"/>
                <w:sz w:val="21"/>
                <w:u w:val="single"/>
              </w:rPr>
              <w:t xml:space="preserve"> </w:t>
            </w:r>
            <w:r>
              <w:rPr>
                <w:sz w:val="21"/>
                <w:u w:val="single"/>
              </w:rPr>
              <w:tab/>
            </w:r>
          </w:p>
        </w:tc>
        <w:tc>
          <w:tcPr>
            <w:tcW w:w="3819" w:type="dxa"/>
          </w:tcPr>
          <w:p w:rsidR="008A5841" w:rsidP="000B7E85" w14:paraId="68F99532" w14:textId="77777777">
            <w:pPr>
              <w:pStyle w:val="TableParagraph"/>
              <w:tabs>
                <w:tab w:val="left" w:pos="2689"/>
              </w:tabs>
              <w:spacing w:before="129"/>
              <w:ind w:right="148"/>
              <w:jc w:val="right"/>
              <w:rPr>
                <w:sz w:val="21"/>
              </w:rPr>
            </w:pPr>
            <w:r>
              <w:rPr>
                <w:sz w:val="21"/>
              </w:rPr>
              <w:t>Ca+:</w:t>
            </w:r>
            <w:r>
              <w:rPr>
                <w:w w:val="99"/>
                <w:sz w:val="21"/>
                <w:u w:val="single"/>
              </w:rPr>
              <w:t xml:space="preserve"> </w:t>
            </w:r>
            <w:r>
              <w:rPr>
                <w:sz w:val="21"/>
                <w:u w:val="single"/>
              </w:rPr>
              <w:tab/>
            </w:r>
          </w:p>
        </w:tc>
      </w:tr>
      <w:tr w14:paraId="238343AE" w14:textId="77777777" w:rsidTr="000B7E85">
        <w:tblPrEx>
          <w:tblW w:w="9985" w:type="dxa"/>
          <w:tblInd w:w="115" w:type="dxa"/>
          <w:tblLayout w:type="fixed"/>
          <w:tblCellMar>
            <w:left w:w="0" w:type="dxa"/>
            <w:right w:w="0" w:type="dxa"/>
          </w:tblCellMar>
          <w:tblLook w:val="01E0"/>
        </w:tblPrEx>
        <w:trPr>
          <w:trHeight w:val="391"/>
        </w:trPr>
        <w:tc>
          <w:tcPr>
            <w:tcW w:w="3347" w:type="dxa"/>
          </w:tcPr>
          <w:p w:rsidR="008A5841" w:rsidP="000B7E85" w14:paraId="53AB282D" w14:textId="77777777">
            <w:pPr>
              <w:pStyle w:val="TableParagraph"/>
              <w:tabs>
                <w:tab w:val="left" w:pos="2305"/>
              </w:tabs>
              <w:spacing w:before="71"/>
              <w:ind w:left="200"/>
              <w:rPr>
                <w:sz w:val="21"/>
              </w:rPr>
            </w:pPr>
            <w:r>
              <w:rPr>
                <w:sz w:val="21"/>
              </w:rPr>
              <w:t>Allen's</w:t>
            </w:r>
            <w:r>
              <w:rPr>
                <w:spacing w:val="-11"/>
                <w:sz w:val="21"/>
              </w:rPr>
              <w:t xml:space="preserve"> </w:t>
            </w:r>
            <w:r>
              <w:rPr>
                <w:sz w:val="21"/>
              </w:rPr>
              <w:t>Test:</w:t>
            </w:r>
            <w:r>
              <w:rPr>
                <w:sz w:val="21"/>
                <w:u w:val="single"/>
              </w:rPr>
              <w:t xml:space="preserve"> </w:t>
            </w:r>
            <w:r>
              <w:rPr>
                <w:sz w:val="21"/>
                <w:u w:val="single"/>
              </w:rPr>
              <w:tab/>
            </w:r>
          </w:p>
        </w:tc>
        <w:tc>
          <w:tcPr>
            <w:tcW w:w="2819" w:type="dxa"/>
            <w:gridSpan w:val="2"/>
          </w:tcPr>
          <w:p w:rsidR="008A5841" w:rsidP="000B7E85" w14:paraId="68312E7F" w14:textId="77777777">
            <w:pPr>
              <w:pStyle w:val="TableParagraph"/>
              <w:tabs>
                <w:tab w:val="left" w:pos="2806"/>
              </w:tabs>
              <w:spacing w:before="71"/>
              <w:ind w:left="629"/>
              <w:rPr>
                <w:sz w:val="21"/>
              </w:rPr>
            </w:pPr>
            <w:r>
              <w:rPr>
                <w:sz w:val="21"/>
              </w:rPr>
              <w:t>PCO2:</w:t>
            </w:r>
            <w:r>
              <w:rPr>
                <w:sz w:val="21"/>
                <w:u w:val="single"/>
              </w:rPr>
              <w:t xml:space="preserve"> </w:t>
            </w:r>
            <w:r>
              <w:rPr>
                <w:sz w:val="21"/>
                <w:u w:val="single"/>
              </w:rPr>
              <w:tab/>
            </w:r>
          </w:p>
        </w:tc>
        <w:tc>
          <w:tcPr>
            <w:tcW w:w="3819" w:type="dxa"/>
          </w:tcPr>
          <w:p w:rsidR="008A5841" w:rsidP="000B7E85" w14:paraId="41D1AA69" w14:textId="77777777">
            <w:pPr>
              <w:pStyle w:val="TableParagraph"/>
              <w:tabs>
                <w:tab w:val="left" w:pos="2682"/>
              </w:tabs>
              <w:spacing w:before="71"/>
              <w:ind w:right="155"/>
              <w:jc w:val="right"/>
              <w:rPr>
                <w:sz w:val="21"/>
              </w:rPr>
            </w:pPr>
            <w:r>
              <w:rPr>
                <w:sz w:val="21"/>
              </w:rPr>
              <w:t>Na:</w:t>
            </w:r>
            <w:r>
              <w:rPr>
                <w:w w:val="99"/>
                <w:sz w:val="21"/>
                <w:u w:val="single"/>
              </w:rPr>
              <w:t xml:space="preserve"> </w:t>
            </w:r>
            <w:r>
              <w:rPr>
                <w:sz w:val="21"/>
                <w:u w:val="single"/>
              </w:rPr>
              <w:tab/>
            </w:r>
          </w:p>
        </w:tc>
      </w:tr>
      <w:tr w14:paraId="10374A2E" w14:textId="77777777" w:rsidTr="000B7E85">
        <w:tblPrEx>
          <w:tblW w:w="9985" w:type="dxa"/>
          <w:tblInd w:w="115" w:type="dxa"/>
          <w:tblLayout w:type="fixed"/>
          <w:tblCellMar>
            <w:left w:w="0" w:type="dxa"/>
            <w:right w:w="0" w:type="dxa"/>
          </w:tblCellMar>
          <w:tblLook w:val="01E0"/>
        </w:tblPrEx>
        <w:trPr>
          <w:trHeight w:val="391"/>
        </w:trPr>
        <w:tc>
          <w:tcPr>
            <w:tcW w:w="3347" w:type="dxa"/>
          </w:tcPr>
          <w:p w:rsidR="008A5841" w:rsidP="000B7E85" w14:paraId="7DC83343" w14:textId="77777777">
            <w:pPr>
              <w:pStyle w:val="TableParagraph"/>
              <w:tabs>
                <w:tab w:val="left" w:pos="2329"/>
              </w:tabs>
              <w:spacing w:before="71"/>
              <w:ind w:left="200"/>
              <w:rPr>
                <w:sz w:val="21"/>
              </w:rPr>
            </w:pPr>
            <w:r>
              <w:rPr>
                <w:sz w:val="21"/>
              </w:rPr>
              <w:t>O2</w:t>
            </w:r>
            <w:r>
              <w:rPr>
                <w:spacing w:val="-13"/>
                <w:sz w:val="21"/>
              </w:rPr>
              <w:t xml:space="preserve"> </w:t>
            </w:r>
            <w:r>
              <w:rPr>
                <w:sz w:val="21"/>
              </w:rPr>
              <w:t>Equip:</w:t>
            </w:r>
            <w:r>
              <w:rPr>
                <w:sz w:val="21"/>
                <w:u w:val="single"/>
              </w:rPr>
              <w:t xml:space="preserve"> </w:t>
            </w:r>
            <w:r>
              <w:rPr>
                <w:sz w:val="21"/>
                <w:u w:val="single"/>
              </w:rPr>
              <w:tab/>
            </w:r>
          </w:p>
        </w:tc>
        <w:tc>
          <w:tcPr>
            <w:tcW w:w="2819" w:type="dxa"/>
            <w:gridSpan w:val="2"/>
          </w:tcPr>
          <w:p w:rsidR="008A5841" w:rsidP="000B7E85" w14:paraId="0463955E" w14:textId="77777777">
            <w:pPr>
              <w:pStyle w:val="TableParagraph"/>
              <w:tabs>
                <w:tab w:val="left" w:pos="2771"/>
              </w:tabs>
              <w:spacing w:before="71"/>
              <w:ind w:left="629"/>
              <w:rPr>
                <w:sz w:val="21"/>
              </w:rPr>
            </w:pPr>
            <w:r>
              <w:rPr>
                <w:sz w:val="21"/>
              </w:rPr>
              <w:t>PO2:</w:t>
            </w:r>
            <w:r>
              <w:rPr>
                <w:sz w:val="21"/>
                <w:u w:val="single"/>
              </w:rPr>
              <w:t xml:space="preserve"> </w:t>
            </w:r>
            <w:r>
              <w:rPr>
                <w:sz w:val="21"/>
                <w:u w:val="single"/>
              </w:rPr>
              <w:tab/>
            </w:r>
          </w:p>
        </w:tc>
        <w:tc>
          <w:tcPr>
            <w:tcW w:w="3819" w:type="dxa"/>
          </w:tcPr>
          <w:p w:rsidR="008A5841" w:rsidP="000B7E85" w14:paraId="7B65ECB8" w14:textId="77777777">
            <w:pPr>
              <w:pStyle w:val="TableParagraph"/>
              <w:tabs>
                <w:tab w:val="left" w:pos="2614"/>
              </w:tabs>
              <w:spacing w:before="71"/>
              <w:ind w:right="223"/>
              <w:jc w:val="right"/>
              <w:rPr>
                <w:sz w:val="21"/>
              </w:rPr>
            </w:pPr>
            <w:r>
              <w:rPr>
                <w:sz w:val="21"/>
              </w:rPr>
              <w:t>Hct:</w:t>
            </w:r>
            <w:r>
              <w:rPr>
                <w:sz w:val="21"/>
                <w:u w:val="single"/>
              </w:rPr>
              <w:t xml:space="preserve"> </w:t>
            </w:r>
            <w:r>
              <w:rPr>
                <w:sz w:val="21"/>
                <w:u w:val="single"/>
              </w:rPr>
              <w:tab/>
            </w:r>
          </w:p>
        </w:tc>
      </w:tr>
      <w:tr w14:paraId="7D8B9CE9" w14:textId="77777777" w:rsidTr="000B7E85">
        <w:tblPrEx>
          <w:tblW w:w="9985" w:type="dxa"/>
          <w:tblInd w:w="115" w:type="dxa"/>
          <w:tblLayout w:type="fixed"/>
          <w:tblCellMar>
            <w:left w:w="0" w:type="dxa"/>
            <w:right w:w="0" w:type="dxa"/>
          </w:tblCellMar>
          <w:tblLook w:val="01E0"/>
        </w:tblPrEx>
        <w:trPr>
          <w:trHeight w:val="413"/>
        </w:trPr>
        <w:tc>
          <w:tcPr>
            <w:tcW w:w="3347" w:type="dxa"/>
          </w:tcPr>
          <w:p w:rsidR="008A5841" w:rsidP="000B7E85" w14:paraId="34257997" w14:textId="77777777">
            <w:pPr>
              <w:pStyle w:val="TableParagraph"/>
              <w:tabs>
                <w:tab w:val="left" w:pos="2276"/>
              </w:tabs>
              <w:spacing w:before="71"/>
              <w:ind w:left="200"/>
              <w:rPr>
                <w:sz w:val="21"/>
              </w:rPr>
            </w:pPr>
            <w:r>
              <w:rPr>
                <w:sz w:val="21"/>
              </w:rPr>
              <w:t>O2</w:t>
            </w:r>
            <w:r>
              <w:rPr>
                <w:spacing w:val="-7"/>
                <w:sz w:val="21"/>
              </w:rPr>
              <w:t xml:space="preserve"> </w:t>
            </w:r>
            <w:r>
              <w:rPr>
                <w:sz w:val="21"/>
              </w:rPr>
              <w:t>(lpm):</w:t>
            </w:r>
            <w:r>
              <w:rPr>
                <w:w w:val="99"/>
                <w:sz w:val="21"/>
                <w:u w:val="single"/>
              </w:rPr>
              <w:t xml:space="preserve"> </w:t>
            </w:r>
            <w:r>
              <w:rPr>
                <w:sz w:val="21"/>
                <w:u w:val="single"/>
              </w:rPr>
              <w:tab/>
            </w:r>
          </w:p>
        </w:tc>
        <w:tc>
          <w:tcPr>
            <w:tcW w:w="2819" w:type="dxa"/>
            <w:gridSpan w:val="2"/>
          </w:tcPr>
          <w:p w:rsidR="008A5841" w:rsidP="000B7E85" w14:paraId="1CB65625" w14:textId="77777777">
            <w:pPr>
              <w:pStyle w:val="TableParagraph"/>
              <w:tabs>
                <w:tab w:val="left" w:pos="2818"/>
              </w:tabs>
              <w:spacing w:before="71"/>
              <w:ind w:left="629"/>
              <w:rPr>
                <w:sz w:val="21"/>
              </w:rPr>
            </w:pPr>
            <w:r>
              <w:rPr>
                <w:sz w:val="21"/>
              </w:rPr>
              <w:t>HCO3:</w:t>
            </w:r>
            <w:r>
              <w:rPr>
                <w:sz w:val="21"/>
                <w:u w:val="single"/>
              </w:rPr>
              <w:t xml:space="preserve"> </w:t>
            </w:r>
            <w:r>
              <w:rPr>
                <w:sz w:val="21"/>
                <w:u w:val="single"/>
              </w:rPr>
              <w:tab/>
            </w:r>
          </w:p>
        </w:tc>
        <w:tc>
          <w:tcPr>
            <w:tcW w:w="3819" w:type="dxa"/>
          </w:tcPr>
          <w:p w:rsidR="008A5841" w:rsidP="000B7E85" w14:paraId="1A139D70" w14:textId="77777777">
            <w:pPr>
              <w:pStyle w:val="TableParagraph"/>
              <w:rPr>
                <w:rFonts w:ascii="Times New Roman"/>
                <w:sz w:val="20"/>
              </w:rPr>
            </w:pPr>
          </w:p>
        </w:tc>
      </w:tr>
      <w:tr w14:paraId="0F83E5B9" w14:textId="77777777" w:rsidTr="000B7E85">
        <w:tblPrEx>
          <w:tblW w:w="9985" w:type="dxa"/>
          <w:tblInd w:w="115" w:type="dxa"/>
          <w:tblLayout w:type="fixed"/>
          <w:tblCellMar>
            <w:left w:w="0" w:type="dxa"/>
            <w:right w:w="0" w:type="dxa"/>
          </w:tblCellMar>
          <w:tblLook w:val="01E0"/>
        </w:tblPrEx>
        <w:trPr>
          <w:trHeight w:val="399"/>
        </w:trPr>
        <w:tc>
          <w:tcPr>
            <w:tcW w:w="3347" w:type="dxa"/>
          </w:tcPr>
          <w:p w:rsidR="008A5841" w:rsidP="000B7E85" w14:paraId="700FA4EE" w14:textId="77777777">
            <w:pPr>
              <w:pStyle w:val="TableParagraph"/>
              <w:tabs>
                <w:tab w:val="left" w:pos="2260"/>
              </w:tabs>
              <w:spacing w:before="94"/>
              <w:ind w:left="200"/>
              <w:rPr>
                <w:sz w:val="21"/>
              </w:rPr>
            </w:pPr>
            <w:r>
              <w:rPr>
                <w:sz w:val="21"/>
              </w:rPr>
              <w:t>FiO2:</w:t>
            </w:r>
            <w:r>
              <w:rPr>
                <w:sz w:val="21"/>
                <w:u w:val="single"/>
              </w:rPr>
              <w:t xml:space="preserve"> </w:t>
            </w:r>
            <w:r>
              <w:rPr>
                <w:sz w:val="21"/>
                <w:u w:val="single"/>
              </w:rPr>
              <w:tab/>
            </w:r>
          </w:p>
        </w:tc>
        <w:tc>
          <w:tcPr>
            <w:tcW w:w="2819" w:type="dxa"/>
            <w:gridSpan w:val="2"/>
          </w:tcPr>
          <w:p w:rsidR="008A5841" w:rsidP="000B7E85" w14:paraId="23373C45" w14:textId="77777777">
            <w:pPr>
              <w:pStyle w:val="TableParagraph"/>
              <w:tabs>
                <w:tab w:val="left" w:pos="2713"/>
              </w:tabs>
              <w:spacing w:before="94"/>
              <w:ind w:left="629"/>
              <w:rPr>
                <w:sz w:val="21"/>
              </w:rPr>
            </w:pPr>
            <w:r>
              <w:rPr>
                <w:sz w:val="21"/>
              </w:rPr>
              <w:t>Base:</w:t>
            </w:r>
            <w:r>
              <w:rPr>
                <w:sz w:val="21"/>
                <w:u w:val="single"/>
              </w:rPr>
              <w:t xml:space="preserve"> </w:t>
            </w:r>
            <w:r>
              <w:rPr>
                <w:sz w:val="21"/>
                <w:u w:val="single"/>
              </w:rPr>
              <w:tab/>
            </w:r>
          </w:p>
        </w:tc>
        <w:tc>
          <w:tcPr>
            <w:tcW w:w="3819" w:type="dxa"/>
          </w:tcPr>
          <w:p w:rsidR="008A5841" w:rsidP="000B7E85" w14:paraId="190FD5A5" w14:textId="77777777">
            <w:pPr>
              <w:pStyle w:val="TableParagraph"/>
              <w:rPr>
                <w:rFonts w:ascii="Times New Roman"/>
                <w:sz w:val="20"/>
              </w:rPr>
            </w:pPr>
          </w:p>
        </w:tc>
      </w:tr>
      <w:tr w14:paraId="6B4284CF" w14:textId="77777777" w:rsidTr="000B7E85">
        <w:tblPrEx>
          <w:tblW w:w="9985" w:type="dxa"/>
          <w:tblInd w:w="115" w:type="dxa"/>
          <w:tblLayout w:type="fixed"/>
          <w:tblCellMar>
            <w:left w:w="0" w:type="dxa"/>
            <w:right w:w="0" w:type="dxa"/>
          </w:tblCellMar>
          <w:tblLook w:val="01E0"/>
        </w:tblPrEx>
        <w:trPr>
          <w:trHeight w:val="384"/>
        </w:trPr>
        <w:tc>
          <w:tcPr>
            <w:tcW w:w="3347" w:type="dxa"/>
          </w:tcPr>
          <w:p w:rsidR="008A5841" w:rsidP="000B7E85" w14:paraId="5210A852" w14:textId="77777777">
            <w:pPr>
              <w:pStyle w:val="TableParagraph"/>
              <w:tabs>
                <w:tab w:val="left" w:pos="2308"/>
              </w:tabs>
              <w:spacing w:before="57"/>
              <w:ind w:left="200"/>
              <w:rPr>
                <w:sz w:val="21"/>
              </w:rPr>
            </w:pPr>
            <w:r>
              <w:rPr>
                <w:sz w:val="21"/>
              </w:rPr>
              <w:t>VT:</w:t>
            </w:r>
            <w:r>
              <w:rPr>
                <w:sz w:val="21"/>
                <w:u w:val="single"/>
              </w:rPr>
              <w:t xml:space="preserve"> </w:t>
            </w:r>
            <w:r>
              <w:rPr>
                <w:sz w:val="21"/>
                <w:u w:val="single"/>
              </w:rPr>
              <w:tab/>
            </w:r>
          </w:p>
        </w:tc>
        <w:tc>
          <w:tcPr>
            <w:tcW w:w="2819" w:type="dxa"/>
            <w:gridSpan w:val="2"/>
          </w:tcPr>
          <w:p w:rsidR="008A5841" w:rsidP="000B7E85" w14:paraId="641641E1" w14:textId="77777777">
            <w:pPr>
              <w:pStyle w:val="TableParagraph"/>
              <w:tabs>
                <w:tab w:val="left" w:pos="2792"/>
              </w:tabs>
              <w:spacing w:before="57"/>
              <w:ind w:left="629"/>
              <w:rPr>
                <w:sz w:val="21"/>
              </w:rPr>
            </w:pPr>
            <w:r>
              <w:rPr>
                <w:sz w:val="21"/>
              </w:rPr>
              <w:t>tHb</w:t>
            </w:r>
            <w:r>
              <w:rPr>
                <w:sz w:val="21"/>
              </w:rPr>
              <w:t>:</w:t>
            </w:r>
            <w:r>
              <w:rPr>
                <w:sz w:val="21"/>
                <w:u w:val="single"/>
              </w:rPr>
              <w:t xml:space="preserve"> </w:t>
            </w:r>
            <w:r>
              <w:rPr>
                <w:sz w:val="21"/>
                <w:u w:val="single"/>
              </w:rPr>
              <w:tab/>
            </w:r>
          </w:p>
        </w:tc>
        <w:tc>
          <w:tcPr>
            <w:tcW w:w="3819" w:type="dxa"/>
          </w:tcPr>
          <w:p w:rsidR="008A5841" w:rsidP="000B7E85" w14:paraId="44EA4AC0" w14:textId="77777777">
            <w:pPr>
              <w:pStyle w:val="TableParagraph"/>
              <w:rPr>
                <w:rFonts w:ascii="Times New Roman"/>
                <w:sz w:val="20"/>
              </w:rPr>
            </w:pPr>
          </w:p>
        </w:tc>
      </w:tr>
      <w:tr w14:paraId="2571529B" w14:textId="77777777" w:rsidTr="000B7E85">
        <w:tblPrEx>
          <w:tblW w:w="9985" w:type="dxa"/>
          <w:tblInd w:w="115" w:type="dxa"/>
          <w:tblLayout w:type="fixed"/>
          <w:tblCellMar>
            <w:left w:w="0" w:type="dxa"/>
            <w:right w:w="0" w:type="dxa"/>
          </w:tblCellMar>
          <w:tblLook w:val="01E0"/>
        </w:tblPrEx>
        <w:trPr>
          <w:trHeight w:val="398"/>
        </w:trPr>
        <w:tc>
          <w:tcPr>
            <w:tcW w:w="3347" w:type="dxa"/>
          </w:tcPr>
          <w:p w:rsidR="008A5841" w:rsidP="000B7E85" w14:paraId="71EDE9F7" w14:textId="77777777">
            <w:pPr>
              <w:pStyle w:val="TableParagraph"/>
              <w:tabs>
                <w:tab w:val="left" w:pos="2363"/>
              </w:tabs>
              <w:spacing w:before="78"/>
              <w:ind w:left="200"/>
              <w:rPr>
                <w:sz w:val="21"/>
              </w:rPr>
            </w:pPr>
            <w:r>
              <w:rPr>
                <w:sz w:val="21"/>
              </w:rPr>
              <w:t>Rate:</w:t>
            </w:r>
            <w:r>
              <w:rPr>
                <w:sz w:val="21"/>
                <w:u w:val="single"/>
              </w:rPr>
              <w:t xml:space="preserve"> </w:t>
            </w:r>
            <w:r>
              <w:rPr>
                <w:sz w:val="21"/>
                <w:u w:val="single"/>
              </w:rPr>
              <w:tab/>
            </w:r>
          </w:p>
        </w:tc>
        <w:tc>
          <w:tcPr>
            <w:tcW w:w="2819" w:type="dxa"/>
            <w:gridSpan w:val="2"/>
          </w:tcPr>
          <w:p w:rsidR="008A5841" w:rsidP="000B7E85" w14:paraId="4F3590CE" w14:textId="77777777">
            <w:pPr>
              <w:pStyle w:val="TableParagraph"/>
              <w:tabs>
                <w:tab w:val="left" w:pos="2737"/>
              </w:tabs>
              <w:spacing w:before="78"/>
              <w:ind w:left="629"/>
              <w:rPr>
                <w:sz w:val="21"/>
              </w:rPr>
            </w:pPr>
            <w:r>
              <w:rPr>
                <w:sz w:val="21"/>
              </w:rPr>
              <w:t>sO2:</w:t>
            </w:r>
            <w:r>
              <w:rPr>
                <w:sz w:val="21"/>
                <w:u w:val="single"/>
              </w:rPr>
              <w:t xml:space="preserve"> </w:t>
            </w:r>
            <w:r>
              <w:rPr>
                <w:sz w:val="21"/>
                <w:u w:val="single"/>
              </w:rPr>
              <w:tab/>
            </w:r>
          </w:p>
        </w:tc>
        <w:tc>
          <w:tcPr>
            <w:tcW w:w="3819" w:type="dxa"/>
          </w:tcPr>
          <w:p w:rsidR="008A5841" w:rsidP="000B7E85" w14:paraId="55011437" w14:textId="77777777">
            <w:pPr>
              <w:pStyle w:val="TableParagraph"/>
              <w:rPr>
                <w:rFonts w:ascii="Times New Roman"/>
                <w:sz w:val="20"/>
              </w:rPr>
            </w:pPr>
          </w:p>
        </w:tc>
      </w:tr>
      <w:tr w14:paraId="31CA48C2" w14:textId="77777777" w:rsidTr="000B7E85">
        <w:tblPrEx>
          <w:tblW w:w="9985" w:type="dxa"/>
          <w:tblInd w:w="115" w:type="dxa"/>
          <w:tblLayout w:type="fixed"/>
          <w:tblCellMar>
            <w:left w:w="0" w:type="dxa"/>
            <w:right w:w="0" w:type="dxa"/>
          </w:tblCellMar>
          <w:tblLook w:val="01E0"/>
        </w:tblPrEx>
        <w:trPr>
          <w:trHeight w:val="384"/>
        </w:trPr>
        <w:tc>
          <w:tcPr>
            <w:tcW w:w="3347" w:type="dxa"/>
          </w:tcPr>
          <w:p w:rsidR="008A5841" w:rsidP="000B7E85" w14:paraId="077AC8DF" w14:textId="77777777">
            <w:pPr>
              <w:pStyle w:val="TableParagraph"/>
              <w:tabs>
                <w:tab w:val="left" w:pos="2300"/>
              </w:tabs>
              <w:spacing w:before="71"/>
              <w:ind w:left="200"/>
              <w:rPr>
                <w:sz w:val="21"/>
              </w:rPr>
            </w:pPr>
            <w:r>
              <w:rPr>
                <w:sz w:val="21"/>
              </w:rPr>
              <w:t>CPAP/PEEP:</w:t>
            </w:r>
            <w:r>
              <w:rPr>
                <w:w w:val="99"/>
                <w:sz w:val="21"/>
                <w:u w:val="single"/>
              </w:rPr>
              <w:t xml:space="preserve"> </w:t>
            </w:r>
            <w:r>
              <w:rPr>
                <w:sz w:val="21"/>
                <w:u w:val="single"/>
              </w:rPr>
              <w:tab/>
            </w:r>
          </w:p>
        </w:tc>
        <w:tc>
          <w:tcPr>
            <w:tcW w:w="2819" w:type="dxa"/>
            <w:gridSpan w:val="2"/>
          </w:tcPr>
          <w:p w:rsidR="008A5841" w:rsidP="000B7E85" w14:paraId="0C78CE35" w14:textId="77777777">
            <w:pPr>
              <w:pStyle w:val="TableParagraph"/>
              <w:tabs>
                <w:tab w:val="left" w:pos="2783"/>
              </w:tabs>
              <w:spacing w:before="71"/>
              <w:ind w:left="629"/>
              <w:rPr>
                <w:sz w:val="21"/>
              </w:rPr>
            </w:pPr>
            <w:r>
              <w:rPr>
                <w:sz w:val="21"/>
              </w:rPr>
              <w:t>O2Hb:</w:t>
            </w:r>
            <w:r>
              <w:rPr>
                <w:w w:val="99"/>
                <w:sz w:val="21"/>
                <w:u w:val="single"/>
              </w:rPr>
              <w:t xml:space="preserve"> </w:t>
            </w:r>
            <w:r>
              <w:rPr>
                <w:sz w:val="21"/>
                <w:u w:val="single"/>
              </w:rPr>
              <w:tab/>
            </w:r>
          </w:p>
        </w:tc>
        <w:tc>
          <w:tcPr>
            <w:tcW w:w="3819" w:type="dxa"/>
          </w:tcPr>
          <w:p w:rsidR="008A5841" w:rsidP="000B7E85" w14:paraId="118B8DC4" w14:textId="77777777">
            <w:pPr>
              <w:pStyle w:val="TableParagraph"/>
              <w:rPr>
                <w:rFonts w:ascii="Times New Roman"/>
                <w:sz w:val="20"/>
              </w:rPr>
            </w:pPr>
          </w:p>
        </w:tc>
      </w:tr>
      <w:tr w14:paraId="452E4A5D" w14:textId="77777777" w:rsidTr="000B7E85">
        <w:tblPrEx>
          <w:tblW w:w="9985" w:type="dxa"/>
          <w:tblInd w:w="115" w:type="dxa"/>
          <w:tblLayout w:type="fixed"/>
          <w:tblCellMar>
            <w:left w:w="0" w:type="dxa"/>
            <w:right w:w="0" w:type="dxa"/>
          </w:tblCellMar>
          <w:tblLook w:val="01E0"/>
        </w:tblPrEx>
        <w:trPr>
          <w:trHeight w:val="383"/>
        </w:trPr>
        <w:tc>
          <w:tcPr>
            <w:tcW w:w="3347" w:type="dxa"/>
          </w:tcPr>
          <w:p w:rsidR="008A5841" w:rsidP="000B7E85" w14:paraId="385608ED" w14:textId="77777777">
            <w:pPr>
              <w:pStyle w:val="TableParagraph"/>
              <w:tabs>
                <w:tab w:val="left" w:pos="2318"/>
              </w:tabs>
              <w:spacing w:before="64"/>
              <w:ind w:left="200"/>
              <w:rPr>
                <w:sz w:val="21"/>
              </w:rPr>
            </w:pPr>
            <w:r>
              <w:rPr>
                <w:sz w:val="21"/>
              </w:rPr>
              <w:t>PS:</w:t>
            </w:r>
            <w:r>
              <w:rPr>
                <w:w w:val="99"/>
                <w:sz w:val="21"/>
                <w:u w:val="single"/>
              </w:rPr>
              <w:t xml:space="preserve"> </w:t>
            </w:r>
            <w:r>
              <w:rPr>
                <w:sz w:val="21"/>
                <w:u w:val="single"/>
              </w:rPr>
              <w:tab/>
            </w:r>
          </w:p>
        </w:tc>
        <w:tc>
          <w:tcPr>
            <w:tcW w:w="2819" w:type="dxa"/>
            <w:gridSpan w:val="2"/>
          </w:tcPr>
          <w:p w:rsidR="008A5841" w:rsidP="000B7E85" w14:paraId="57A14CC1" w14:textId="77777777">
            <w:pPr>
              <w:pStyle w:val="TableParagraph"/>
              <w:tabs>
                <w:tab w:val="left" w:pos="2819"/>
              </w:tabs>
              <w:spacing w:before="64"/>
              <w:ind w:left="629" w:right="-15"/>
              <w:rPr>
                <w:sz w:val="21"/>
              </w:rPr>
            </w:pPr>
            <w:r>
              <w:rPr>
                <w:sz w:val="21"/>
              </w:rPr>
              <w:t>COHb</w:t>
            </w:r>
            <w:r>
              <w:rPr>
                <w:sz w:val="21"/>
              </w:rPr>
              <w:t>:</w:t>
            </w:r>
            <w:r>
              <w:rPr>
                <w:w w:val="99"/>
                <w:sz w:val="21"/>
                <w:u w:val="single"/>
              </w:rPr>
              <w:t xml:space="preserve"> </w:t>
            </w:r>
            <w:r>
              <w:rPr>
                <w:sz w:val="21"/>
                <w:u w:val="single"/>
              </w:rPr>
              <w:tab/>
            </w:r>
          </w:p>
        </w:tc>
        <w:tc>
          <w:tcPr>
            <w:tcW w:w="3819" w:type="dxa"/>
          </w:tcPr>
          <w:p w:rsidR="008A5841" w:rsidP="000B7E85" w14:paraId="620A6E17" w14:textId="77777777">
            <w:pPr>
              <w:pStyle w:val="TableParagraph"/>
              <w:rPr>
                <w:rFonts w:ascii="Times New Roman"/>
                <w:sz w:val="20"/>
              </w:rPr>
            </w:pPr>
          </w:p>
        </w:tc>
      </w:tr>
      <w:tr w14:paraId="19762ABE" w14:textId="77777777" w:rsidTr="000B7E85">
        <w:tblPrEx>
          <w:tblW w:w="9985" w:type="dxa"/>
          <w:tblInd w:w="115" w:type="dxa"/>
          <w:tblLayout w:type="fixed"/>
          <w:tblCellMar>
            <w:left w:w="0" w:type="dxa"/>
            <w:right w:w="0" w:type="dxa"/>
          </w:tblCellMar>
          <w:tblLook w:val="01E0"/>
        </w:tblPrEx>
        <w:trPr>
          <w:trHeight w:val="391"/>
        </w:trPr>
        <w:tc>
          <w:tcPr>
            <w:tcW w:w="3347" w:type="dxa"/>
          </w:tcPr>
          <w:p w:rsidR="008A5841" w:rsidP="000B7E85" w14:paraId="1BE79BBE" w14:textId="77777777">
            <w:pPr>
              <w:pStyle w:val="TableParagraph"/>
              <w:tabs>
                <w:tab w:val="left" w:pos="2255"/>
              </w:tabs>
              <w:spacing w:before="71"/>
              <w:ind w:left="200"/>
              <w:rPr>
                <w:sz w:val="21"/>
              </w:rPr>
            </w:pPr>
            <w:r>
              <w:rPr>
                <w:sz w:val="21"/>
              </w:rPr>
              <w:t>Pt</w:t>
            </w:r>
            <w:r>
              <w:rPr>
                <w:spacing w:val="-5"/>
                <w:sz w:val="21"/>
              </w:rPr>
              <w:t xml:space="preserve"> </w:t>
            </w:r>
            <w:r>
              <w:rPr>
                <w:sz w:val="21"/>
              </w:rPr>
              <w:t>Temp:</w:t>
            </w:r>
            <w:r>
              <w:rPr>
                <w:sz w:val="21"/>
                <w:u w:val="single"/>
              </w:rPr>
              <w:t xml:space="preserve"> </w:t>
            </w:r>
            <w:r>
              <w:rPr>
                <w:sz w:val="21"/>
                <w:u w:val="single"/>
              </w:rPr>
              <w:tab/>
            </w:r>
          </w:p>
        </w:tc>
        <w:tc>
          <w:tcPr>
            <w:tcW w:w="2819" w:type="dxa"/>
            <w:gridSpan w:val="2"/>
          </w:tcPr>
          <w:p w:rsidR="008A5841" w:rsidP="000B7E85" w14:paraId="1F4E8637" w14:textId="77777777">
            <w:pPr>
              <w:pStyle w:val="TableParagraph"/>
              <w:tabs>
                <w:tab w:val="left" w:pos="2804"/>
              </w:tabs>
              <w:spacing w:before="71"/>
              <w:ind w:left="629"/>
              <w:rPr>
                <w:sz w:val="21"/>
              </w:rPr>
            </w:pPr>
            <w:r>
              <w:rPr>
                <w:sz w:val="21"/>
              </w:rPr>
              <w:t>tCO2:</w:t>
            </w:r>
            <w:r>
              <w:rPr>
                <w:w w:val="99"/>
                <w:sz w:val="21"/>
                <w:u w:val="single"/>
              </w:rPr>
              <w:t xml:space="preserve"> </w:t>
            </w:r>
            <w:r>
              <w:rPr>
                <w:sz w:val="21"/>
                <w:u w:val="single"/>
              </w:rPr>
              <w:tab/>
            </w:r>
          </w:p>
        </w:tc>
        <w:tc>
          <w:tcPr>
            <w:tcW w:w="3819" w:type="dxa"/>
          </w:tcPr>
          <w:p w:rsidR="008A5841" w:rsidP="000B7E85" w14:paraId="227FBCAE" w14:textId="77777777">
            <w:pPr>
              <w:pStyle w:val="TableParagraph"/>
              <w:rPr>
                <w:rFonts w:ascii="Times New Roman"/>
                <w:sz w:val="20"/>
              </w:rPr>
            </w:pPr>
          </w:p>
        </w:tc>
      </w:tr>
      <w:tr w14:paraId="26EFEFF7" w14:textId="77777777" w:rsidTr="000B7E85">
        <w:tblPrEx>
          <w:tblW w:w="9985" w:type="dxa"/>
          <w:tblInd w:w="115" w:type="dxa"/>
          <w:tblLayout w:type="fixed"/>
          <w:tblCellMar>
            <w:left w:w="0" w:type="dxa"/>
            <w:right w:w="0" w:type="dxa"/>
          </w:tblCellMar>
          <w:tblLook w:val="01E0"/>
        </w:tblPrEx>
        <w:trPr>
          <w:trHeight w:val="391"/>
        </w:trPr>
        <w:tc>
          <w:tcPr>
            <w:tcW w:w="9985" w:type="dxa"/>
            <w:gridSpan w:val="4"/>
          </w:tcPr>
          <w:p w:rsidR="008A5841" w:rsidP="000B7E85" w14:paraId="65527218" w14:textId="77777777">
            <w:pPr>
              <w:pStyle w:val="TableParagraph"/>
              <w:tabs>
                <w:tab w:val="left" w:pos="2169"/>
              </w:tabs>
              <w:spacing w:before="71"/>
              <w:ind w:left="68"/>
              <w:jc w:val="center"/>
              <w:rPr>
                <w:sz w:val="21"/>
              </w:rPr>
            </w:pPr>
            <w:r>
              <w:rPr>
                <w:sz w:val="21"/>
              </w:rPr>
              <w:t>K+:</w:t>
            </w:r>
            <w:r>
              <w:rPr>
                <w:w w:val="99"/>
                <w:sz w:val="21"/>
                <w:u w:val="single"/>
              </w:rPr>
              <w:t xml:space="preserve"> </w:t>
            </w:r>
            <w:r>
              <w:rPr>
                <w:sz w:val="21"/>
                <w:u w:val="single"/>
              </w:rPr>
              <w:tab/>
            </w:r>
          </w:p>
        </w:tc>
      </w:tr>
      <w:tr w14:paraId="68EC6DD5" w14:textId="77777777" w:rsidTr="000B7E85">
        <w:tblPrEx>
          <w:tblW w:w="9985" w:type="dxa"/>
          <w:tblInd w:w="115" w:type="dxa"/>
          <w:tblLayout w:type="fixed"/>
          <w:tblCellMar>
            <w:left w:w="0" w:type="dxa"/>
            <w:right w:w="0" w:type="dxa"/>
          </w:tblCellMar>
          <w:tblLook w:val="01E0"/>
        </w:tblPrEx>
        <w:trPr>
          <w:trHeight w:val="587"/>
        </w:trPr>
        <w:tc>
          <w:tcPr>
            <w:tcW w:w="9985" w:type="dxa"/>
            <w:gridSpan w:val="4"/>
          </w:tcPr>
          <w:p w:rsidR="008A5841" w:rsidP="000B7E85" w14:paraId="5DD5AA20" w14:textId="77777777">
            <w:pPr>
              <w:pStyle w:val="TableParagraph"/>
              <w:tabs>
                <w:tab w:val="left" w:pos="2318"/>
              </w:tabs>
              <w:spacing w:before="71"/>
              <w:ind w:left="143"/>
              <w:jc w:val="center"/>
              <w:rPr>
                <w:sz w:val="21"/>
              </w:rPr>
            </w:pPr>
            <w:r>
              <w:rPr>
                <w:sz w:val="21"/>
              </w:rPr>
              <w:t>Lac:</w:t>
            </w:r>
            <w:r>
              <w:rPr>
                <w:sz w:val="21"/>
                <w:u w:val="single"/>
              </w:rPr>
              <w:t xml:space="preserve"> </w:t>
            </w:r>
            <w:r>
              <w:rPr>
                <w:sz w:val="21"/>
                <w:u w:val="single"/>
              </w:rPr>
              <w:tab/>
            </w:r>
          </w:p>
        </w:tc>
      </w:tr>
      <w:tr w14:paraId="1FF9AD81" w14:textId="77777777" w:rsidTr="000B7E85">
        <w:tblPrEx>
          <w:tblW w:w="9985" w:type="dxa"/>
          <w:tblInd w:w="115" w:type="dxa"/>
          <w:tblLayout w:type="fixed"/>
          <w:tblCellMar>
            <w:left w:w="0" w:type="dxa"/>
            <w:right w:w="0" w:type="dxa"/>
          </w:tblCellMar>
          <w:tblLook w:val="01E0"/>
        </w:tblPrEx>
        <w:trPr>
          <w:trHeight w:val="648"/>
        </w:trPr>
        <w:tc>
          <w:tcPr>
            <w:tcW w:w="3347" w:type="dxa"/>
          </w:tcPr>
          <w:p w:rsidR="008A5841" w:rsidP="000B7E85" w14:paraId="513E66E9" w14:textId="77777777">
            <w:pPr>
              <w:pStyle w:val="TableParagraph"/>
              <w:spacing w:before="2"/>
              <w:rPr>
                <w:rFonts w:ascii="Times New Roman"/>
                <w:sz w:val="23"/>
              </w:rPr>
            </w:pPr>
          </w:p>
          <w:p w:rsidR="008A5841" w:rsidP="000B7E85" w14:paraId="61FECD03" w14:textId="77777777">
            <w:pPr>
              <w:pStyle w:val="TableParagraph"/>
              <w:tabs>
                <w:tab w:val="left" w:pos="3337"/>
              </w:tabs>
              <w:ind w:left="200"/>
              <w:rPr>
                <w:sz w:val="21"/>
              </w:rPr>
            </w:pPr>
            <w:r>
              <w:rPr>
                <w:sz w:val="21"/>
              </w:rPr>
              <w:t>Ran</w:t>
            </w:r>
            <w:r>
              <w:rPr>
                <w:spacing w:val="-4"/>
                <w:sz w:val="21"/>
              </w:rPr>
              <w:t xml:space="preserve"> </w:t>
            </w:r>
            <w:r>
              <w:rPr>
                <w:spacing w:val="-3"/>
                <w:sz w:val="21"/>
              </w:rPr>
              <w:t>By:</w:t>
            </w:r>
            <w:r>
              <w:rPr>
                <w:spacing w:val="-3"/>
                <w:sz w:val="21"/>
                <w:u w:val="single"/>
              </w:rPr>
              <w:t xml:space="preserve"> </w:t>
            </w:r>
            <w:r>
              <w:rPr>
                <w:spacing w:val="-3"/>
                <w:sz w:val="21"/>
                <w:u w:val="single"/>
              </w:rPr>
              <w:tab/>
            </w:r>
          </w:p>
        </w:tc>
        <w:tc>
          <w:tcPr>
            <w:tcW w:w="2819" w:type="dxa"/>
            <w:gridSpan w:val="2"/>
          </w:tcPr>
          <w:p w:rsidR="008A5841" w:rsidP="000B7E85" w14:paraId="070BDA2A" w14:textId="77777777">
            <w:pPr>
              <w:pStyle w:val="TableParagraph"/>
              <w:spacing w:before="2"/>
              <w:rPr>
                <w:rFonts w:ascii="Times New Roman"/>
                <w:sz w:val="23"/>
              </w:rPr>
            </w:pPr>
          </w:p>
          <w:p w:rsidR="008A5841" w:rsidP="000B7E85" w14:paraId="6CBD2A36" w14:textId="77777777">
            <w:pPr>
              <w:pStyle w:val="TableParagraph"/>
              <w:tabs>
                <w:tab w:val="left" w:pos="2758"/>
              </w:tabs>
              <w:ind w:left="-10"/>
              <w:rPr>
                <w:sz w:val="21"/>
              </w:rPr>
            </w:pPr>
            <w:r>
              <w:rPr>
                <w:sz w:val="21"/>
              </w:rPr>
              <w:t>Time:</w:t>
            </w:r>
            <w:r>
              <w:rPr>
                <w:sz w:val="21"/>
                <w:u w:val="single"/>
              </w:rPr>
              <w:t xml:space="preserve"> </w:t>
            </w:r>
            <w:r>
              <w:rPr>
                <w:sz w:val="21"/>
                <w:u w:val="single"/>
              </w:rPr>
              <w:tab/>
            </w:r>
          </w:p>
        </w:tc>
        <w:tc>
          <w:tcPr>
            <w:tcW w:w="3819" w:type="dxa"/>
          </w:tcPr>
          <w:p w:rsidR="008A5841" w:rsidP="000B7E85" w14:paraId="30095939" w14:textId="77777777">
            <w:pPr>
              <w:pStyle w:val="TableParagraph"/>
              <w:spacing w:before="2"/>
              <w:rPr>
                <w:rFonts w:ascii="Times New Roman"/>
                <w:sz w:val="23"/>
              </w:rPr>
            </w:pPr>
          </w:p>
          <w:p w:rsidR="008A5841" w:rsidP="000B7E85" w14:paraId="71B0A011" w14:textId="77777777">
            <w:pPr>
              <w:pStyle w:val="TableParagraph"/>
              <w:tabs>
                <w:tab w:val="left" w:pos="2799"/>
              </w:tabs>
              <w:ind w:left="59"/>
              <w:rPr>
                <w:sz w:val="21"/>
              </w:rPr>
            </w:pPr>
            <w:r>
              <w:rPr>
                <w:sz w:val="21"/>
              </w:rPr>
              <w:t>Date:</w:t>
            </w:r>
            <w:r>
              <w:rPr>
                <w:sz w:val="21"/>
                <w:u w:val="single"/>
              </w:rPr>
              <w:t xml:space="preserve"> </w:t>
            </w:r>
            <w:r>
              <w:rPr>
                <w:sz w:val="21"/>
                <w:u w:val="single"/>
              </w:rPr>
              <w:tab/>
            </w:r>
          </w:p>
        </w:tc>
      </w:tr>
      <w:tr w14:paraId="6E2A4FD4" w14:textId="77777777" w:rsidTr="000B7E85">
        <w:tblPrEx>
          <w:tblW w:w="9985" w:type="dxa"/>
          <w:tblInd w:w="115" w:type="dxa"/>
          <w:tblLayout w:type="fixed"/>
          <w:tblCellMar>
            <w:left w:w="0" w:type="dxa"/>
            <w:right w:w="0" w:type="dxa"/>
          </w:tblCellMar>
          <w:tblLook w:val="01E0"/>
        </w:tblPrEx>
        <w:trPr>
          <w:trHeight w:val="513"/>
        </w:trPr>
        <w:tc>
          <w:tcPr>
            <w:tcW w:w="3347" w:type="dxa"/>
          </w:tcPr>
          <w:p w:rsidR="008A5841" w:rsidP="000B7E85" w14:paraId="4881F51F" w14:textId="77777777">
            <w:pPr>
              <w:pStyle w:val="TableParagraph"/>
              <w:tabs>
                <w:tab w:val="left" w:pos="3337"/>
              </w:tabs>
              <w:spacing w:before="132"/>
              <w:ind w:left="200"/>
              <w:rPr>
                <w:sz w:val="21"/>
              </w:rPr>
            </w:pPr>
            <w:r>
              <w:rPr>
                <w:sz w:val="21"/>
              </w:rPr>
              <w:t>RBV</w:t>
            </w:r>
            <w:r>
              <w:rPr>
                <w:spacing w:val="-6"/>
                <w:sz w:val="21"/>
              </w:rPr>
              <w:t xml:space="preserve"> </w:t>
            </w:r>
            <w:r>
              <w:rPr>
                <w:sz w:val="21"/>
              </w:rPr>
              <w:t>To:</w:t>
            </w:r>
            <w:r>
              <w:rPr>
                <w:spacing w:val="-2"/>
                <w:sz w:val="21"/>
              </w:rPr>
              <w:t xml:space="preserve"> </w:t>
            </w:r>
            <w:r>
              <w:rPr>
                <w:w w:val="99"/>
                <w:sz w:val="21"/>
                <w:u w:val="single"/>
              </w:rPr>
              <w:t xml:space="preserve"> </w:t>
            </w:r>
            <w:r>
              <w:rPr>
                <w:sz w:val="21"/>
                <w:u w:val="single"/>
              </w:rPr>
              <w:tab/>
            </w:r>
          </w:p>
        </w:tc>
        <w:tc>
          <w:tcPr>
            <w:tcW w:w="2819" w:type="dxa"/>
            <w:gridSpan w:val="2"/>
          </w:tcPr>
          <w:p w:rsidR="008A5841" w:rsidP="000B7E85" w14:paraId="3CA57623" w14:textId="77777777">
            <w:pPr>
              <w:pStyle w:val="TableParagraph"/>
              <w:tabs>
                <w:tab w:val="left" w:pos="2758"/>
              </w:tabs>
              <w:spacing w:before="132"/>
              <w:ind w:left="-10"/>
              <w:rPr>
                <w:sz w:val="21"/>
              </w:rPr>
            </w:pPr>
            <w:r>
              <w:rPr>
                <w:sz w:val="21"/>
              </w:rPr>
              <w:t>Time:</w:t>
            </w:r>
            <w:r>
              <w:rPr>
                <w:sz w:val="21"/>
                <w:u w:val="single"/>
              </w:rPr>
              <w:t xml:space="preserve"> </w:t>
            </w:r>
            <w:r>
              <w:rPr>
                <w:sz w:val="21"/>
                <w:u w:val="single"/>
              </w:rPr>
              <w:tab/>
            </w:r>
          </w:p>
        </w:tc>
        <w:tc>
          <w:tcPr>
            <w:tcW w:w="3819" w:type="dxa"/>
          </w:tcPr>
          <w:p w:rsidR="008A5841" w:rsidP="000B7E85" w14:paraId="32B1E852" w14:textId="77777777">
            <w:pPr>
              <w:pStyle w:val="TableParagraph"/>
              <w:tabs>
                <w:tab w:val="left" w:pos="2799"/>
              </w:tabs>
              <w:spacing w:before="132"/>
              <w:ind w:left="59"/>
              <w:rPr>
                <w:sz w:val="21"/>
              </w:rPr>
            </w:pPr>
            <w:r>
              <w:rPr>
                <w:sz w:val="21"/>
              </w:rPr>
              <w:t>Date:</w:t>
            </w:r>
            <w:r>
              <w:rPr>
                <w:sz w:val="21"/>
                <w:u w:val="single"/>
              </w:rPr>
              <w:t xml:space="preserve"> </w:t>
            </w:r>
            <w:r>
              <w:rPr>
                <w:sz w:val="21"/>
                <w:u w:val="single"/>
              </w:rPr>
              <w:tab/>
            </w:r>
          </w:p>
        </w:tc>
      </w:tr>
      <w:tr w14:paraId="48AC75EC" w14:textId="77777777" w:rsidTr="000B7E85">
        <w:tblPrEx>
          <w:tblW w:w="9985" w:type="dxa"/>
          <w:tblInd w:w="115" w:type="dxa"/>
          <w:tblLayout w:type="fixed"/>
          <w:tblCellMar>
            <w:left w:w="0" w:type="dxa"/>
            <w:right w:w="0" w:type="dxa"/>
          </w:tblCellMar>
          <w:tblLook w:val="01E0"/>
        </w:tblPrEx>
        <w:trPr>
          <w:trHeight w:val="513"/>
        </w:trPr>
        <w:tc>
          <w:tcPr>
            <w:tcW w:w="9985" w:type="dxa"/>
            <w:gridSpan w:val="4"/>
          </w:tcPr>
          <w:p w:rsidR="008A5841" w:rsidP="000B7E85" w14:paraId="68456123" w14:textId="77777777">
            <w:pPr>
              <w:pStyle w:val="TableParagraph"/>
              <w:tabs>
                <w:tab w:val="left" w:pos="2455"/>
              </w:tabs>
              <w:spacing w:before="132"/>
              <w:ind w:left="148"/>
              <w:jc w:val="center"/>
              <w:rPr>
                <w:sz w:val="21"/>
              </w:rPr>
            </w:pPr>
            <w:r>
              <w:rPr>
                <w:spacing w:val="-3"/>
                <w:sz w:val="21"/>
              </w:rPr>
              <w:t>By:</w:t>
            </w:r>
            <w:r>
              <w:rPr>
                <w:sz w:val="21"/>
                <w:u w:val="single"/>
              </w:rPr>
              <w:t xml:space="preserve"> </w:t>
            </w:r>
            <w:r>
              <w:rPr>
                <w:sz w:val="21"/>
                <w:u w:val="single"/>
              </w:rPr>
              <w:tab/>
            </w:r>
          </w:p>
        </w:tc>
      </w:tr>
      <w:tr w14:paraId="52124022" w14:textId="77777777" w:rsidTr="000B7E85">
        <w:tblPrEx>
          <w:tblW w:w="9985" w:type="dxa"/>
          <w:tblInd w:w="115" w:type="dxa"/>
          <w:tblLayout w:type="fixed"/>
          <w:tblCellMar>
            <w:left w:w="0" w:type="dxa"/>
            <w:right w:w="0" w:type="dxa"/>
          </w:tblCellMar>
          <w:tblLook w:val="01E0"/>
        </w:tblPrEx>
        <w:trPr>
          <w:trHeight w:val="899"/>
        </w:trPr>
        <w:tc>
          <w:tcPr>
            <w:tcW w:w="9985" w:type="dxa"/>
            <w:gridSpan w:val="4"/>
          </w:tcPr>
          <w:p w:rsidR="008A5841" w:rsidP="000B7E85" w14:paraId="1B34C264" w14:textId="77777777">
            <w:pPr>
              <w:pStyle w:val="TableParagraph"/>
              <w:spacing w:before="132"/>
              <w:ind w:left="2301" w:right="2519"/>
              <w:jc w:val="center"/>
              <w:rPr>
                <w:sz w:val="21"/>
              </w:rPr>
            </w:pPr>
            <w:r>
              <w:rPr>
                <w:sz w:val="21"/>
              </w:rPr>
              <w:t>Please refer to Respiratory Care for Reference Ranges Form Updated: 11/22</w:t>
            </w:r>
          </w:p>
        </w:tc>
      </w:tr>
    </w:tbl>
    <w:p w:rsidR="00743CE8" w:rsidP="00BF5F7B" w14:paraId="207B7542" w14:textId="60DF84D4"/>
    <w:p w:rsidR="00743CE8" w14:paraId="79F79446" w14:textId="77777777">
      <w:r>
        <w:br w:type="page"/>
      </w:r>
    </w:p>
    <w:p w:rsidR="00743CE8" w:rsidRPr="00D27ACC" w:rsidP="00743CE8" w14:paraId="7407FE48" w14:textId="19657217">
      <w:pPr>
        <w:pStyle w:val="Header"/>
        <w:jc w:val="center"/>
        <w:rPr>
          <w:rFonts w:ascii="Calibri" w:hAnsi="Calibri"/>
          <w:b/>
          <w:sz w:val="20"/>
        </w:rPr>
      </w:pPr>
      <w:r w:rsidRPr="00CE285A">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-161925</wp:posOffset>
            </wp:positionV>
            <wp:extent cx="2457450" cy="638175"/>
            <wp:effectExtent l="0" t="0" r="0" b="9525"/>
            <wp:wrapNone/>
            <wp:docPr id="1" name="Picture 1" descr="C:\Users\vjordan\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jordan\Pictures\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57450" cy="638175"/>
                    </a:xfrm>
                    <a:prstGeom prst="rect">
                      <a:avLst/>
                    </a:prstGeom>
                    <a:noFill/>
                    <a:ln>
                      <a:noFill/>
                    </a:ln>
                  </pic:spPr>
                </pic:pic>
              </a:graphicData>
            </a:graphic>
          </wp:anchor>
        </w:drawing>
      </w:r>
      <w:r>
        <w:rPr>
          <w:rFonts w:ascii="Calibri" w:hAnsi="Calibri"/>
          <w:b/>
          <w:sz w:val="20"/>
        </w:rPr>
        <w:t xml:space="preserve">                                                                                      </w:t>
      </w:r>
      <w:r w:rsidRPr="00743CE8">
        <w:rPr>
          <w:rFonts w:ascii="Calibri" w:hAnsi="Calibri"/>
          <w:b/>
          <w:sz w:val="20"/>
        </w:rPr>
        <w:t xml:space="preserve"> </w:t>
      </w:r>
      <w:r w:rsidRPr="00D27ACC">
        <w:rPr>
          <w:rFonts w:ascii="Calibri" w:hAnsi="Calibri"/>
          <w:b/>
          <w:sz w:val="20"/>
        </w:rPr>
        <w:t>Point of Care Testing</w:t>
      </w:r>
    </w:p>
    <w:p w:rsidR="00743CE8" w:rsidRPr="00D27ACC" w:rsidP="00743CE8" w14:paraId="71B311B4" w14:textId="77777777">
      <w:pPr>
        <w:pStyle w:val="Header"/>
        <w:jc w:val="center"/>
        <w:rPr>
          <w:rFonts w:ascii="Calibri" w:hAnsi="Calibri"/>
          <w:b/>
          <w:sz w:val="20"/>
        </w:rPr>
      </w:pPr>
      <w:r>
        <w:rPr>
          <w:rFonts w:ascii="Calibri" w:hAnsi="Calibri"/>
          <w:b/>
          <w:sz w:val="20"/>
        </w:rPr>
        <w:tab/>
        <w:t xml:space="preserve">                                    </w:t>
      </w:r>
      <w:r w:rsidRPr="00D27ACC">
        <w:rPr>
          <w:rFonts w:ascii="Calibri" w:hAnsi="Calibri"/>
          <w:b/>
          <w:sz w:val="20"/>
        </w:rPr>
        <w:t>i-STAT Supply Inventory</w:t>
      </w:r>
    </w:p>
    <w:p w:rsidR="00743CE8" w:rsidP="00743CE8" w14:paraId="231CC1F4" w14:textId="7DBB28D6">
      <w:pPr>
        <w:rPr>
          <w:rFonts w:ascii="Calibri" w:hAnsi="Calibri"/>
          <w:sz w:val="20"/>
        </w:rPr>
      </w:pPr>
    </w:p>
    <w:p w:rsidR="00743CE8" w:rsidP="00743CE8" w14:paraId="3423682B" w14:textId="77777777">
      <w:pPr>
        <w:rPr>
          <w:rFonts w:ascii="Calibri" w:hAnsi="Calibri"/>
          <w:sz w:val="20"/>
        </w:rPr>
      </w:pPr>
    </w:p>
    <w:p w:rsidR="00743CE8" w:rsidP="00743CE8" w14:paraId="0F77470B" w14:textId="65E242A4">
      <w:pPr>
        <w:rPr>
          <w:rFonts w:ascii="Calibri" w:hAnsi="Calibri"/>
          <w:sz w:val="20"/>
        </w:rPr>
      </w:pPr>
      <w:r>
        <w:rPr>
          <w:rFonts w:ascii="Calibri" w:hAnsi="Calibri"/>
          <w:sz w:val="20"/>
        </w:rPr>
        <w:t>Anesthesia:</w:t>
      </w:r>
    </w:p>
    <w:p w:rsidR="00743CE8" w:rsidRPr="00FC2E74" w:rsidP="00743CE8" w14:paraId="6DED1C61" w14:textId="77777777">
      <w:pPr>
        <w:rPr>
          <w:rFonts w:ascii="Calibri" w:hAnsi="Calibri"/>
          <w:sz w:val="20"/>
        </w:rPr>
      </w:pPr>
      <w:r>
        <w:rPr>
          <w:rFonts w:ascii="Calibri" w:hAnsi="Calibri"/>
          <w:sz w:val="20"/>
        </w:rPr>
        <w:t>P</w:t>
      </w:r>
      <w:r w:rsidRPr="00D27ACC">
        <w:rPr>
          <w:rFonts w:ascii="Calibri" w:hAnsi="Calibri"/>
          <w:sz w:val="20"/>
        </w:rPr>
        <w:t>lease complete this inventory record for all i-</w:t>
      </w:r>
      <w:smartTag w:uri="urn:schemas-microsoft-com:office:smarttags" w:element="stockticker">
        <w:r w:rsidRPr="00D27ACC">
          <w:rPr>
            <w:rFonts w:ascii="Calibri" w:hAnsi="Calibri"/>
            <w:sz w:val="20"/>
          </w:rPr>
          <w:t>STAT</w:t>
        </w:r>
      </w:smartTag>
      <w:r w:rsidRPr="00D27ACC">
        <w:rPr>
          <w:rFonts w:ascii="Calibri" w:hAnsi="Calibri"/>
          <w:sz w:val="20"/>
        </w:rPr>
        <w:t xml:space="preserve"> cartridges currently stored in your locati</w:t>
      </w:r>
      <w:r>
        <w:rPr>
          <w:rFonts w:ascii="Calibri" w:hAnsi="Calibri"/>
          <w:sz w:val="20"/>
        </w:rPr>
        <w:t>on.  Check all expiration dates</w:t>
      </w:r>
      <w:r w:rsidRPr="00D27ACC">
        <w:rPr>
          <w:rFonts w:ascii="Calibri" w:hAnsi="Calibri"/>
          <w:sz w:val="20"/>
        </w:rPr>
        <w:t xml:space="preserve"> on cartridges.</w:t>
      </w:r>
    </w:p>
    <w:p w:rsidR="00743CE8" w:rsidRPr="001F7CBC" w:rsidP="00743CE8" w14:paraId="3C669599" w14:textId="77777777">
      <w:pPr>
        <w:rPr>
          <w:rFonts w:ascii="Calibri" w:hAnsi="Calibri"/>
          <w:b/>
          <w:sz w:val="20"/>
        </w:rPr>
      </w:pPr>
      <w:r w:rsidRPr="001F7CBC">
        <w:rPr>
          <w:rFonts w:ascii="Calibri" w:hAnsi="Calibri"/>
          <w:b/>
          <w:sz w:val="20"/>
        </w:rPr>
        <w:t>Date: ____________________</w:t>
      </w:r>
      <w:r w:rsidRPr="001F7CBC">
        <w:rPr>
          <w:rFonts w:ascii="Calibri" w:hAnsi="Calibri"/>
          <w:b/>
          <w:sz w:val="20"/>
        </w:rPr>
        <w:tab/>
        <w:t>Location: ___________________</w:t>
      </w:r>
    </w:p>
    <w:p w:rsidR="00743CE8" w:rsidP="00743CE8" w14:paraId="4685D8D6" w14:textId="77777777">
      <w:pPr>
        <w:rPr>
          <w:rFonts w:ascii="Calibri" w:hAnsi="Calibri"/>
          <w:b/>
          <w:sz w:val="20"/>
        </w:rPr>
      </w:pPr>
    </w:p>
    <w:p w:rsidR="00743CE8" w:rsidRPr="001F7CBC" w:rsidP="00743CE8" w14:paraId="17DC63CF" w14:textId="77777777">
      <w:pPr>
        <w:numPr>
          <w:ilvl w:val="0"/>
          <w:numId w:val="41"/>
        </w:numPr>
        <w:rPr>
          <w:rFonts w:ascii="Calibri" w:hAnsi="Calibri"/>
          <w:b/>
          <w:sz w:val="20"/>
        </w:rPr>
      </w:pPr>
      <w:r w:rsidRPr="001F7CBC">
        <w:rPr>
          <w:rFonts w:ascii="Calibri" w:hAnsi="Calibri"/>
          <w:b/>
          <w:sz w:val="20"/>
        </w:rPr>
        <w:t>Inventory Completed by: ________________________________________</w:t>
      </w:r>
    </w:p>
    <w:p w:rsidR="00743CE8" w:rsidP="00743CE8" w14:paraId="7CEDBC69" w14:textId="77777777">
      <w:pPr>
        <w:rPr>
          <w:rFonts w:ascii="Calibri" w:hAnsi="Calibri"/>
          <w:b/>
          <w:sz w:val="20"/>
        </w:rPr>
      </w:pPr>
    </w:p>
    <w:p w:rsidR="00743CE8" w:rsidRPr="00CF7875" w:rsidP="00743CE8" w14:paraId="4761FB89" w14:textId="77777777">
      <w:pPr>
        <w:numPr>
          <w:ilvl w:val="0"/>
          <w:numId w:val="41"/>
        </w:numPr>
        <w:rPr>
          <w:rFonts w:ascii="Calibri" w:hAnsi="Calibri"/>
          <w:b/>
          <w:sz w:val="20"/>
        </w:rPr>
      </w:pPr>
      <w:r>
        <w:rPr>
          <w:rFonts w:ascii="Calibri" w:hAnsi="Calibri"/>
          <w:b/>
          <w:sz w:val="20"/>
        </w:rPr>
        <w:t>Document the c</w:t>
      </w:r>
      <w:r w:rsidRPr="001F7CBC">
        <w:rPr>
          <w:rFonts w:ascii="Calibri" w:hAnsi="Calibri"/>
          <w:b/>
          <w:sz w:val="20"/>
        </w:rPr>
        <w:t>olor of temperature</w:t>
      </w:r>
      <w:r>
        <w:rPr>
          <w:rFonts w:ascii="Calibri" w:hAnsi="Calibri"/>
          <w:b/>
          <w:sz w:val="20"/>
        </w:rPr>
        <w:t xml:space="preserve"> indicator upon delivery </w:t>
      </w:r>
      <w:r>
        <w:rPr>
          <w:rFonts w:ascii="Calibri" w:hAnsi="Calibri"/>
          <w:b/>
          <w:sz w:val="20"/>
        </w:rPr>
        <w:t xml:space="preserve">of </w:t>
      </w:r>
      <w:r w:rsidRPr="001F7CBC">
        <w:rPr>
          <w:rFonts w:ascii="Calibri" w:hAnsi="Calibri"/>
          <w:b/>
          <w:sz w:val="20"/>
        </w:rPr>
        <w:t xml:space="preserve"> cartridges</w:t>
      </w:r>
      <w:r w:rsidRPr="001F7CBC">
        <w:rPr>
          <w:rFonts w:ascii="Calibri" w:hAnsi="Calibri"/>
          <w:b/>
          <w:sz w:val="20"/>
        </w:rPr>
        <w:t>: ___</w:t>
      </w:r>
      <w:r>
        <w:rPr>
          <w:rFonts w:ascii="Calibri" w:hAnsi="Calibri"/>
          <w:b/>
          <w:sz w:val="20"/>
        </w:rPr>
        <w:t>____</w:t>
      </w:r>
      <w:r w:rsidRPr="001F7CBC">
        <w:rPr>
          <w:rFonts w:ascii="Calibri" w:hAnsi="Calibri"/>
          <w:b/>
          <w:sz w:val="20"/>
        </w:rPr>
        <w:t>___</w:t>
      </w:r>
    </w:p>
    <w:p w:rsidR="00743CE8" w:rsidP="00743CE8" w14:paraId="14FB861F" w14:textId="77777777">
      <w:pPr>
        <w:numPr>
          <w:ilvl w:val="1"/>
          <w:numId w:val="41"/>
        </w:numPr>
        <w:rPr>
          <w:rFonts w:ascii="Calibri" w:hAnsi="Calibri"/>
          <w:sz w:val="20"/>
        </w:rPr>
      </w:pPr>
      <w:r>
        <w:rPr>
          <w:rFonts w:ascii="Calibri" w:hAnsi="Calibri"/>
          <w:sz w:val="20"/>
        </w:rPr>
        <w:t xml:space="preserve">If the indicator </w:t>
      </w:r>
      <w:r>
        <w:rPr>
          <w:rFonts w:ascii="Calibri" w:hAnsi="Calibri"/>
          <w:sz w:val="20"/>
        </w:rPr>
        <w:t>show</w:t>
      </w:r>
      <w:r>
        <w:rPr>
          <w:rFonts w:ascii="Calibri" w:hAnsi="Calibri"/>
          <w:sz w:val="20"/>
        </w:rPr>
        <w:t xml:space="preserve"> any signs of pink/red or blue color in the first two windows, the cartridges are acceptable. </w:t>
      </w:r>
    </w:p>
    <w:p w:rsidR="00743CE8" w:rsidP="00743CE8" w14:paraId="10551474" w14:textId="77777777">
      <w:pPr>
        <w:numPr>
          <w:ilvl w:val="1"/>
          <w:numId w:val="41"/>
        </w:numPr>
        <w:rPr>
          <w:rFonts w:ascii="Calibri" w:hAnsi="Calibri"/>
          <w:sz w:val="20"/>
        </w:rPr>
      </w:pPr>
      <w:r>
        <w:rPr>
          <w:rFonts w:ascii="Calibri" w:hAnsi="Calibri"/>
          <w:sz w:val="20"/>
        </w:rPr>
        <w:t xml:space="preserve">If any color other than white is in the last two windows the cartridges should be taken out of service, </w:t>
      </w:r>
      <w:r w:rsidRPr="001F7C70">
        <w:rPr>
          <w:rFonts w:ascii="Calibri" w:hAnsi="Calibri"/>
          <w:sz w:val="20"/>
          <w:u w:val="single"/>
        </w:rPr>
        <w:t>place in the refrigerator and labeled DO NOT USE</w:t>
      </w:r>
      <w:r>
        <w:rPr>
          <w:rFonts w:ascii="Calibri" w:hAnsi="Calibri"/>
          <w:sz w:val="20"/>
        </w:rPr>
        <w:t>.</w:t>
      </w:r>
    </w:p>
    <w:p w:rsidR="00743CE8" w:rsidP="00743CE8" w14:paraId="2AFE5AAB" w14:textId="77777777">
      <w:pPr>
        <w:numPr>
          <w:ilvl w:val="1"/>
          <w:numId w:val="41"/>
        </w:numPr>
        <w:rPr>
          <w:rFonts w:ascii="Calibri" w:hAnsi="Calibri"/>
          <w:sz w:val="20"/>
        </w:rPr>
      </w:pPr>
      <w:r w:rsidRPr="001F7C70">
        <w:rPr>
          <w:rFonts w:ascii="Calibri" w:hAnsi="Calibri"/>
          <w:b/>
          <w:sz w:val="20"/>
          <w:u w:val="single"/>
        </w:rPr>
        <w:t>Call</w:t>
      </w:r>
      <w:r>
        <w:rPr>
          <w:rFonts w:ascii="Calibri" w:hAnsi="Calibri"/>
          <w:sz w:val="20"/>
        </w:rPr>
        <w:t xml:space="preserve"> Abbott tech support 1-800-366-8020 –They will ask for information from the packing slip.</w:t>
      </w:r>
    </w:p>
    <w:p w:rsidR="00743CE8" w:rsidP="00743CE8" w14:paraId="7AE91242" w14:textId="77777777">
      <w:pPr>
        <w:numPr>
          <w:ilvl w:val="1"/>
          <w:numId w:val="41"/>
        </w:numPr>
        <w:rPr>
          <w:rFonts w:ascii="Calibri" w:hAnsi="Calibri"/>
          <w:sz w:val="20"/>
        </w:rPr>
      </w:pPr>
      <w:r>
        <w:rPr>
          <w:rFonts w:ascii="Calibri" w:hAnsi="Calibri"/>
          <w:sz w:val="20"/>
        </w:rPr>
        <w:t xml:space="preserve">Notify the </w:t>
      </w:r>
      <w:r w:rsidRPr="001F7CBC">
        <w:rPr>
          <w:rFonts w:ascii="Calibri" w:hAnsi="Calibri"/>
          <w:sz w:val="20"/>
        </w:rPr>
        <w:t>Clinica</w:t>
      </w:r>
      <w:r>
        <w:rPr>
          <w:rFonts w:ascii="Calibri" w:hAnsi="Calibri"/>
          <w:sz w:val="20"/>
        </w:rPr>
        <w:t xml:space="preserve">l Laboratory </w:t>
      </w:r>
      <w:r w:rsidRPr="001F7CBC">
        <w:rPr>
          <w:rFonts w:ascii="Calibri" w:hAnsi="Calibri"/>
          <w:sz w:val="20"/>
        </w:rPr>
        <w:t xml:space="preserve">Point-of-Care Testing office.  </w:t>
      </w:r>
    </w:p>
    <w:p w:rsidR="00743CE8" w:rsidRPr="00D27ACC" w:rsidP="00743CE8" w14:paraId="5A6E5A66" w14:textId="77777777">
      <w:pPr>
        <w:ind w:left="1440"/>
        <w:rPr>
          <w:rFonts w:ascii="Calibri" w:hAnsi="Calibri"/>
          <w:sz w:val="20"/>
        </w:rPr>
      </w:pPr>
      <w:r>
        <w:rPr>
          <w:rFonts w:ascii="Calibri" w:hAnsi="Calibri"/>
          <w:sz w:val="20"/>
        </w:rPr>
        <w:t>Office phone: 336-781-2421; email: vjordan@wakehealth.edu</w:t>
      </w:r>
    </w:p>
    <w:p w:rsidR="00743CE8" w:rsidP="00743CE8" w14:paraId="568ECE99" w14:textId="77777777">
      <w:pPr>
        <w:rPr>
          <w:rFonts w:ascii="Calibri" w:hAnsi="Calibri"/>
          <w:b/>
          <w:sz w:val="20"/>
        </w:rPr>
      </w:pPr>
      <w:r w:rsidRPr="00D27ACC">
        <w:rPr>
          <w:rFonts w:ascii="Calibri" w:hAnsi="Calibri"/>
          <w:b/>
          <w:sz w:val="20"/>
        </w:rPr>
        <w:t xml:space="preserve">If there are expired cartridges, Do NOT use for patient testing. </w:t>
      </w:r>
    </w:p>
    <w:p w:rsidR="00743CE8" w:rsidRPr="00D27ACC" w:rsidP="00743CE8" w14:paraId="3F98B1BA" w14:textId="77777777">
      <w:pPr>
        <w:rPr>
          <w:rFonts w:ascii="Calibri" w:hAnsi="Calibri"/>
          <w:b/>
          <w:sz w:val="20"/>
        </w:rPr>
      </w:pPr>
      <w:r w:rsidRPr="00D27ACC">
        <w:rPr>
          <w:rFonts w:ascii="Calibri" w:hAnsi="Calibri"/>
          <w:b/>
          <w:sz w:val="20"/>
        </w:rPr>
        <w:t xml:space="preserve">Immediately remove </w:t>
      </w:r>
      <w:r>
        <w:rPr>
          <w:rFonts w:ascii="Calibri" w:hAnsi="Calibri"/>
          <w:b/>
          <w:sz w:val="20"/>
        </w:rPr>
        <w:t xml:space="preserve">expired cartridges </w:t>
      </w:r>
      <w:r w:rsidRPr="00D27ACC">
        <w:rPr>
          <w:rFonts w:ascii="Calibri" w:hAnsi="Calibri"/>
          <w:b/>
          <w:sz w:val="20"/>
        </w:rPr>
        <w:t>from use and mark as</w:t>
      </w:r>
      <w:r>
        <w:rPr>
          <w:rFonts w:ascii="Calibri" w:hAnsi="Calibri"/>
          <w:b/>
          <w:sz w:val="20"/>
        </w:rPr>
        <w:t>,</w:t>
      </w:r>
      <w:r w:rsidRPr="00D27ACC">
        <w:rPr>
          <w:rFonts w:ascii="Calibri" w:hAnsi="Calibri"/>
          <w:b/>
          <w:sz w:val="20"/>
        </w:rPr>
        <w:t xml:space="preserve"> </w:t>
      </w:r>
      <w:r>
        <w:rPr>
          <w:rFonts w:ascii="Calibri" w:hAnsi="Calibri"/>
          <w:b/>
          <w:sz w:val="20"/>
        </w:rPr>
        <w:t>“</w:t>
      </w:r>
      <w:r w:rsidRPr="00D27ACC">
        <w:rPr>
          <w:rFonts w:ascii="Calibri" w:hAnsi="Calibri"/>
          <w:b/>
          <w:sz w:val="20"/>
        </w:rPr>
        <w:t>DO NOT USE</w:t>
      </w:r>
      <w:r>
        <w:rPr>
          <w:rFonts w:ascii="Calibri" w:hAnsi="Calibri"/>
          <w:b/>
          <w:sz w:val="20"/>
        </w:rPr>
        <w:t>”</w:t>
      </w:r>
      <w:r w:rsidRPr="00D27ACC">
        <w:rPr>
          <w:rFonts w:ascii="Calibri" w:hAnsi="Calibri"/>
          <w:b/>
          <w:sz w:val="20"/>
        </w:rPr>
        <w:t>.</w:t>
      </w:r>
    </w:p>
    <w:p w:rsidR="00743CE8" w:rsidRPr="00D27ACC" w:rsidP="00743CE8" w14:paraId="5FE706DB" w14:textId="77777777">
      <w:pPr>
        <w:rPr>
          <w:rFonts w:ascii="Calibri" w:hAnsi="Calibri"/>
          <w:b/>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397"/>
        <w:gridCol w:w="2145"/>
        <w:gridCol w:w="1771"/>
        <w:gridCol w:w="2204"/>
      </w:tblGrid>
      <w:tr w14:paraId="01C5702C" w14:textId="77777777" w:rsidTr="00CD2869">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71" w:type="dxa"/>
            <w:shd w:val="clear" w:color="auto" w:fill="auto"/>
          </w:tcPr>
          <w:p w:rsidR="00743CE8" w:rsidRPr="00114539" w:rsidP="00CD2869" w14:paraId="3CFEFB0A" w14:textId="77777777">
            <w:pPr>
              <w:rPr>
                <w:rFonts w:ascii="Calibri" w:hAnsi="Calibri"/>
                <w:b/>
                <w:sz w:val="20"/>
              </w:rPr>
            </w:pPr>
            <w:r w:rsidRPr="00114539">
              <w:rPr>
                <w:rFonts w:ascii="Calibri" w:hAnsi="Calibri"/>
                <w:b/>
                <w:sz w:val="20"/>
              </w:rPr>
              <w:t>Cartridge Type or</w:t>
            </w:r>
          </w:p>
          <w:p w:rsidR="00743CE8" w:rsidRPr="00114539" w:rsidP="00CD2869" w14:paraId="1CF195A9" w14:textId="77777777">
            <w:pPr>
              <w:rPr>
                <w:rFonts w:ascii="Calibri" w:hAnsi="Calibri"/>
                <w:b/>
                <w:sz w:val="20"/>
              </w:rPr>
            </w:pPr>
            <w:r w:rsidRPr="00114539">
              <w:rPr>
                <w:rFonts w:ascii="Calibri" w:hAnsi="Calibri"/>
                <w:b/>
                <w:sz w:val="20"/>
              </w:rPr>
              <w:t>QC</w:t>
            </w:r>
          </w:p>
        </w:tc>
        <w:tc>
          <w:tcPr>
            <w:tcW w:w="1397" w:type="dxa"/>
            <w:shd w:val="clear" w:color="auto" w:fill="auto"/>
          </w:tcPr>
          <w:p w:rsidR="00743CE8" w:rsidRPr="00114539" w:rsidP="00CD2869" w14:paraId="7B0744DD" w14:textId="77777777">
            <w:pPr>
              <w:rPr>
                <w:rFonts w:ascii="Calibri" w:hAnsi="Calibri"/>
                <w:b/>
                <w:sz w:val="20"/>
              </w:rPr>
            </w:pPr>
            <w:r w:rsidRPr="00114539">
              <w:rPr>
                <w:rFonts w:ascii="Calibri" w:hAnsi="Calibri"/>
                <w:b/>
                <w:sz w:val="20"/>
              </w:rPr>
              <w:t>Quantity in Supply</w:t>
            </w:r>
          </w:p>
        </w:tc>
        <w:tc>
          <w:tcPr>
            <w:tcW w:w="2145" w:type="dxa"/>
            <w:shd w:val="clear" w:color="auto" w:fill="auto"/>
          </w:tcPr>
          <w:p w:rsidR="00743CE8" w:rsidRPr="00114539" w:rsidP="00CD2869" w14:paraId="60E9D5A2" w14:textId="77777777">
            <w:pPr>
              <w:rPr>
                <w:rFonts w:ascii="Calibri" w:hAnsi="Calibri"/>
                <w:b/>
                <w:sz w:val="20"/>
              </w:rPr>
            </w:pPr>
            <w:r w:rsidRPr="00114539">
              <w:rPr>
                <w:rFonts w:ascii="Calibri" w:hAnsi="Calibri"/>
                <w:b/>
                <w:sz w:val="20"/>
              </w:rPr>
              <w:t>Storage Conditions</w:t>
            </w:r>
          </w:p>
          <w:p w:rsidR="00743CE8" w:rsidRPr="00114539" w:rsidP="00CD2869" w14:paraId="05B591BB" w14:textId="77777777">
            <w:pPr>
              <w:rPr>
                <w:rFonts w:ascii="Calibri" w:hAnsi="Calibri"/>
                <w:b/>
                <w:sz w:val="20"/>
              </w:rPr>
            </w:pPr>
            <w:r w:rsidRPr="00114539">
              <w:rPr>
                <w:rFonts w:ascii="Calibri" w:hAnsi="Calibri"/>
                <w:b/>
                <w:sz w:val="20"/>
              </w:rPr>
              <w:t>Refrigerated or Room Temperature</w:t>
            </w:r>
          </w:p>
        </w:tc>
        <w:tc>
          <w:tcPr>
            <w:tcW w:w="1771" w:type="dxa"/>
            <w:shd w:val="clear" w:color="auto" w:fill="auto"/>
          </w:tcPr>
          <w:p w:rsidR="00743CE8" w:rsidRPr="00114539" w:rsidP="00CD2869" w14:paraId="21A4594D" w14:textId="77777777">
            <w:pPr>
              <w:rPr>
                <w:rFonts w:ascii="Calibri" w:hAnsi="Calibri"/>
                <w:b/>
                <w:sz w:val="20"/>
              </w:rPr>
            </w:pPr>
            <w:r w:rsidRPr="00114539">
              <w:rPr>
                <w:rFonts w:ascii="Calibri" w:hAnsi="Calibri"/>
                <w:b/>
                <w:sz w:val="20"/>
              </w:rPr>
              <w:t>Expiration Date</w:t>
            </w:r>
          </w:p>
        </w:tc>
        <w:tc>
          <w:tcPr>
            <w:tcW w:w="2204" w:type="dxa"/>
            <w:shd w:val="clear" w:color="auto" w:fill="auto"/>
          </w:tcPr>
          <w:p w:rsidR="00743CE8" w:rsidRPr="00114539" w:rsidP="00CD2869" w14:paraId="39029273" w14:textId="77777777">
            <w:pPr>
              <w:rPr>
                <w:rFonts w:ascii="Calibri" w:hAnsi="Calibri"/>
                <w:b/>
                <w:sz w:val="20"/>
              </w:rPr>
            </w:pPr>
            <w:r w:rsidRPr="00114539">
              <w:rPr>
                <w:rFonts w:ascii="Calibri" w:hAnsi="Calibri"/>
                <w:b/>
                <w:sz w:val="20"/>
              </w:rPr>
              <w:t>Are there any expired cartridges or liquid QC?</w:t>
            </w:r>
          </w:p>
          <w:p w:rsidR="00743CE8" w:rsidRPr="00114539" w:rsidP="00CD2869" w14:paraId="32B91773" w14:textId="77777777">
            <w:pPr>
              <w:rPr>
                <w:rFonts w:ascii="Calibri" w:hAnsi="Calibri"/>
                <w:b/>
                <w:sz w:val="20"/>
              </w:rPr>
            </w:pPr>
            <w:r w:rsidRPr="00114539">
              <w:rPr>
                <w:rFonts w:ascii="Calibri" w:hAnsi="Calibri"/>
                <w:b/>
                <w:sz w:val="20"/>
              </w:rPr>
              <w:t>If so, indicate quantity and remove from use</w:t>
            </w:r>
          </w:p>
        </w:tc>
      </w:tr>
      <w:tr w14:paraId="3A67651C" w14:textId="77777777" w:rsidTr="00CD2869">
        <w:tblPrEx>
          <w:tblW w:w="9288" w:type="dxa"/>
          <w:tblLook w:val="04A0"/>
        </w:tblPrEx>
        <w:trPr>
          <w:trHeight w:val="440"/>
        </w:trPr>
        <w:tc>
          <w:tcPr>
            <w:tcW w:w="1771" w:type="dxa"/>
            <w:shd w:val="clear" w:color="auto" w:fill="auto"/>
          </w:tcPr>
          <w:p w:rsidR="00743CE8" w:rsidRPr="00114539" w:rsidP="00CD2869" w14:paraId="0E6CEFD9" w14:textId="77777777">
            <w:pPr>
              <w:rPr>
                <w:rFonts w:ascii="Calibri" w:hAnsi="Calibri"/>
                <w:sz w:val="20"/>
              </w:rPr>
            </w:pPr>
            <w:r>
              <w:rPr>
                <w:rFonts w:ascii="Calibri" w:hAnsi="Calibri"/>
                <w:sz w:val="20"/>
              </w:rPr>
              <w:t>EG7 cartridge</w:t>
            </w:r>
          </w:p>
          <w:p w:rsidR="00743CE8" w:rsidRPr="00114539" w:rsidP="00CD2869" w14:paraId="043A2397" w14:textId="77777777">
            <w:pPr>
              <w:rPr>
                <w:rFonts w:ascii="Calibri" w:hAnsi="Calibri"/>
                <w:sz w:val="20"/>
              </w:rPr>
            </w:pPr>
          </w:p>
        </w:tc>
        <w:tc>
          <w:tcPr>
            <w:tcW w:w="1397" w:type="dxa"/>
            <w:shd w:val="clear" w:color="auto" w:fill="auto"/>
          </w:tcPr>
          <w:p w:rsidR="00743CE8" w:rsidRPr="00114539" w:rsidP="00CD2869" w14:paraId="45741479" w14:textId="77777777">
            <w:pPr>
              <w:rPr>
                <w:rFonts w:ascii="Calibri" w:hAnsi="Calibri"/>
                <w:sz w:val="20"/>
              </w:rPr>
            </w:pPr>
          </w:p>
        </w:tc>
        <w:tc>
          <w:tcPr>
            <w:tcW w:w="2145" w:type="dxa"/>
            <w:shd w:val="clear" w:color="auto" w:fill="auto"/>
          </w:tcPr>
          <w:p w:rsidR="00743CE8" w:rsidRPr="00114539" w:rsidP="00CD2869" w14:paraId="11423DC7" w14:textId="77777777">
            <w:pPr>
              <w:rPr>
                <w:rFonts w:ascii="Calibri" w:hAnsi="Calibri"/>
                <w:sz w:val="20"/>
              </w:rPr>
            </w:pPr>
          </w:p>
        </w:tc>
        <w:tc>
          <w:tcPr>
            <w:tcW w:w="1771" w:type="dxa"/>
            <w:shd w:val="clear" w:color="auto" w:fill="auto"/>
          </w:tcPr>
          <w:p w:rsidR="00743CE8" w:rsidRPr="00114539" w:rsidP="00CD2869" w14:paraId="3548AA46" w14:textId="77777777">
            <w:pPr>
              <w:rPr>
                <w:rFonts w:ascii="Calibri" w:hAnsi="Calibri"/>
                <w:sz w:val="20"/>
              </w:rPr>
            </w:pPr>
          </w:p>
        </w:tc>
        <w:tc>
          <w:tcPr>
            <w:tcW w:w="2204" w:type="dxa"/>
            <w:shd w:val="clear" w:color="auto" w:fill="auto"/>
          </w:tcPr>
          <w:p w:rsidR="00743CE8" w:rsidRPr="00114539" w:rsidP="00CD2869" w14:paraId="3FB91500" w14:textId="77777777">
            <w:pPr>
              <w:rPr>
                <w:rFonts w:ascii="Calibri" w:hAnsi="Calibri"/>
                <w:sz w:val="20"/>
              </w:rPr>
            </w:pPr>
          </w:p>
        </w:tc>
      </w:tr>
      <w:tr w14:paraId="6613B66A" w14:textId="77777777" w:rsidTr="00CD2869">
        <w:tblPrEx>
          <w:tblW w:w="9288" w:type="dxa"/>
          <w:tblLook w:val="04A0"/>
        </w:tblPrEx>
        <w:trPr>
          <w:trHeight w:val="485"/>
        </w:trPr>
        <w:tc>
          <w:tcPr>
            <w:tcW w:w="1771" w:type="dxa"/>
            <w:shd w:val="clear" w:color="auto" w:fill="auto"/>
          </w:tcPr>
          <w:p w:rsidR="00743CE8" w:rsidRPr="00114539" w:rsidP="00CD2869" w14:paraId="2B9EC149" w14:textId="77777777">
            <w:pPr>
              <w:rPr>
                <w:rFonts w:ascii="Calibri" w:hAnsi="Calibri"/>
                <w:sz w:val="20"/>
              </w:rPr>
            </w:pPr>
            <w:r w:rsidRPr="00114539">
              <w:rPr>
                <w:rFonts w:ascii="Calibri" w:hAnsi="Calibri"/>
                <w:sz w:val="20"/>
              </w:rPr>
              <w:t>Liquid Quality Controls</w:t>
            </w:r>
            <w:r>
              <w:rPr>
                <w:rFonts w:ascii="Calibri" w:hAnsi="Calibri"/>
                <w:sz w:val="20"/>
              </w:rPr>
              <w:t>- Level 1</w:t>
            </w:r>
          </w:p>
          <w:p w:rsidR="00743CE8" w:rsidRPr="00114539" w:rsidP="00CD2869" w14:paraId="0469C665" w14:textId="77777777">
            <w:pPr>
              <w:rPr>
                <w:rFonts w:ascii="Calibri" w:hAnsi="Calibri"/>
                <w:sz w:val="20"/>
              </w:rPr>
            </w:pPr>
          </w:p>
        </w:tc>
        <w:tc>
          <w:tcPr>
            <w:tcW w:w="1397" w:type="dxa"/>
            <w:shd w:val="clear" w:color="auto" w:fill="auto"/>
          </w:tcPr>
          <w:p w:rsidR="00743CE8" w:rsidRPr="00114539" w:rsidP="00CD2869" w14:paraId="68ECBEFF" w14:textId="77777777">
            <w:pPr>
              <w:rPr>
                <w:rFonts w:ascii="Calibri" w:hAnsi="Calibri"/>
                <w:sz w:val="20"/>
              </w:rPr>
            </w:pPr>
          </w:p>
        </w:tc>
        <w:tc>
          <w:tcPr>
            <w:tcW w:w="2145" w:type="dxa"/>
            <w:shd w:val="clear" w:color="auto" w:fill="auto"/>
          </w:tcPr>
          <w:p w:rsidR="00743CE8" w:rsidRPr="00114539" w:rsidP="00CD2869" w14:paraId="5D682037" w14:textId="77777777">
            <w:pPr>
              <w:rPr>
                <w:rFonts w:ascii="Calibri" w:hAnsi="Calibri"/>
                <w:sz w:val="20"/>
              </w:rPr>
            </w:pPr>
          </w:p>
        </w:tc>
        <w:tc>
          <w:tcPr>
            <w:tcW w:w="1771" w:type="dxa"/>
            <w:shd w:val="clear" w:color="auto" w:fill="auto"/>
          </w:tcPr>
          <w:p w:rsidR="00743CE8" w:rsidRPr="00114539" w:rsidP="00CD2869" w14:paraId="7EA8C72D" w14:textId="77777777">
            <w:pPr>
              <w:rPr>
                <w:rFonts w:ascii="Calibri" w:hAnsi="Calibri"/>
                <w:sz w:val="20"/>
              </w:rPr>
            </w:pPr>
          </w:p>
        </w:tc>
        <w:tc>
          <w:tcPr>
            <w:tcW w:w="2204" w:type="dxa"/>
            <w:shd w:val="clear" w:color="auto" w:fill="auto"/>
          </w:tcPr>
          <w:p w:rsidR="00743CE8" w:rsidRPr="00114539" w:rsidP="00CD2869" w14:paraId="2BEE0A73" w14:textId="77777777">
            <w:pPr>
              <w:rPr>
                <w:rFonts w:ascii="Calibri" w:hAnsi="Calibri"/>
                <w:sz w:val="20"/>
              </w:rPr>
            </w:pPr>
          </w:p>
        </w:tc>
      </w:tr>
      <w:tr w14:paraId="3B3D3099" w14:textId="77777777" w:rsidTr="00CD2869">
        <w:tblPrEx>
          <w:tblW w:w="9288" w:type="dxa"/>
          <w:tblLook w:val="04A0"/>
        </w:tblPrEx>
        <w:trPr>
          <w:trHeight w:val="467"/>
        </w:trPr>
        <w:tc>
          <w:tcPr>
            <w:tcW w:w="1771" w:type="dxa"/>
            <w:shd w:val="clear" w:color="auto" w:fill="auto"/>
          </w:tcPr>
          <w:p w:rsidR="00743CE8" w:rsidP="00CD2869" w14:paraId="1D49FC24" w14:textId="77777777">
            <w:pPr>
              <w:rPr>
                <w:rFonts w:ascii="Calibri" w:hAnsi="Calibri"/>
                <w:sz w:val="20"/>
              </w:rPr>
            </w:pPr>
            <w:r w:rsidRPr="00114539">
              <w:rPr>
                <w:rFonts w:ascii="Calibri" w:hAnsi="Calibri"/>
                <w:sz w:val="20"/>
              </w:rPr>
              <w:t>Liquid Quality Controls</w:t>
            </w:r>
            <w:r>
              <w:rPr>
                <w:rFonts w:ascii="Calibri" w:hAnsi="Calibri"/>
                <w:sz w:val="20"/>
              </w:rPr>
              <w:t>- Level 2</w:t>
            </w:r>
          </w:p>
          <w:p w:rsidR="00743CE8" w:rsidRPr="00114539" w:rsidP="00CD2869" w14:paraId="3A5ABFAE" w14:textId="77777777">
            <w:pPr>
              <w:rPr>
                <w:rFonts w:ascii="Calibri" w:hAnsi="Calibri"/>
                <w:sz w:val="20"/>
              </w:rPr>
            </w:pPr>
          </w:p>
        </w:tc>
        <w:tc>
          <w:tcPr>
            <w:tcW w:w="1397" w:type="dxa"/>
            <w:shd w:val="clear" w:color="auto" w:fill="auto"/>
          </w:tcPr>
          <w:p w:rsidR="00743CE8" w:rsidRPr="00114539" w:rsidP="00CD2869" w14:paraId="46783E71" w14:textId="77777777">
            <w:pPr>
              <w:rPr>
                <w:rFonts w:ascii="Calibri" w:hAnsi="Calibri"/>
                <w:sz w:val="20"/>
              </w:rPr>
            </w:pPr>
          </w:p>
        </w:tc>
        <w:tc>
          <w:tcPr>
            <w:tcW w:w="2145" w:type="dxa"/>
            <w:shd w:val="clear" w:color="auto" w:fill="auto"/>
          </w:tcPr>
          <w:p w:rsidR="00743CE8" w:rsidRPr="00114539" w:rsidP="00CD2869" w14:paraId="0E0052CA" w14:textId="77777777">
            <w:pPr>
              <w:rPr>
                <w:rFonts w:ascii="Calibri" w:hAnsi="Calibri"/>
                <w:sz w:val="20"/>
              </w:rPr>
            </w:pPr>
          </w:p>
        </w:tc>
        <w:tc>
          <w:tcPr>
            <w:tcW w:w="1771" w:type="dxa"/>
            <w:shd w:val="clear" w:color="auto" w:fill="auto"/>
          </w:tcPr>
          <w:p w:rsidR="00743CE8" w:rsidRPr="00114539" w:rsidP="00CD2869" w14:paraId="3D74CBC7" w14:textId="77777777">
            <w:pPr>
              <w:rPr>
                <w:rFonts w:ascii="Calibri" w:hAnsi="Calibri"/>
                <w:sz w:val="20"/>
              </w:rPr>
            </w:pPr>
          </w:p>
        </w:tc>
        <w:tc>
          <w:tcPr>
            <w:tcW w:w="2204" w:type="dxa"/>
            <w:shd w:val="clear" w:color="auto" w:fill="auto"/>
          </w:tcPr>
          <w:p w:rsidR="00743CE8" w:rsidRPr="00114539" w:rsidP="00CD2869" w14:paraId="44BA5434" w14:textId="77777777">
            <w:pPr>
              <w:rPr>
                <w:rFonts w:ascii="Calibri" w:hAnsi="Calibri"/>
                <w:sz w:val="20"/>
              </w:rPr>
            </w:pPr>
          </w:p>
        </w:tc>
      </w:tr>
      <w:tr w14:paraId="2F7426D3" w14:textId="77777777" w:rsidTr="00CD2869">
        <w:tblPrEx>
          <w:tblW w:w="9288" w:type="dxa"/>
          <w:tblLook w:val="04A0"/>
        </w:tblPrEx>
        <w:tc>
          <w:tcPr>
            <w:tcW w:w="1771" w:type="dxa"/>
            <w:shd w:val="clear" w:color="auto" w:fill="auto"/>
          </w:tcPr>
          <w:p w:rsidR="00743CE8" w:rsidP="00CD2869" w14:paraId="357E3207" w14:textId="77777777">
            <w:pPr>
              <w:rPr>
                <w:rFonts w:ascii="Calibri" w:hAnsi="Calibri"/>
                <w:sz w:val="20"/>
              </w:rPr>
            </w:pPr>
            <w:r w:rsidRPr="00114539">
              <w:rPr>
                <w:rFonts w:ascii="Calibri" w:hAnsi="Calibri"/>
                <w:sz w:val="20"/>
              </w:rPr>
              <w:t>Liquid Quality Controls</w:t>
            </w:r>
            <w:r>
              <w:rPr>
                <w:rFonts w:ascii="Calibri" w:hAnsi="Calibri"/>
                <w:sz w:val="20"/>
              </w:rPr>
              <w:t>- Level 3</w:t>
            </w:r>
          </w:p>
          <w:p w:rsidR="00743CE8" w:rsidRPr="00114539" w:rsidP="00CD2869" w14:paraId="45520538" w14:textId="77777777">
            <w:pPr>
              <w:rPr>
                <w:rFonts w:ascii="Calibri" w:hAnsi="Calibri"/>
                <w:sz w:val="20"/>
              </w:rPr>
            </w:pPr>
          </w:p>
        </w:tc>
        <w:tc>
          <w:tcPr>
            <w:tcW w:w="1397" w:type="dxa"/>
            <w:shd w:val="clear" w:color="auto" w:fill="auto"/>
          </w:tcPr>
          <w:p w:rsidR="00743CE8" w:rsidRPr="00114539" w:rsidP="00CD2869" w14:paraId="769F048A" w14:textId="77777777">
            <w:pPr>
              <w:rPr>
                <w:rFonts w:ascii="Calibri" w:hAnsi="Calibri"/>
                <w:sz w:val="20"/>
              </w:rPr>
            </w:pPr>
          </w:p>
        </w:tc>
        <w:tc>
          <w:tcPr>
            <w:tcW w:w="2145" w:type="dxa"/>
            <w:shd w:val="clear" w:color="auto" w:fill="auto"/>
          </w:tcPr>
          <w:p w:rsidR="00743CE8" w:rsidRPr="00114539" w:rsidP="00CD2869" w14:paraId="4D7E221C" w14:textId="77777777">
            <w:pPr>
              <w:rPr>
                <w:rFonts w:ascii="Calibri" w:hAnsi="Calibri"/>
                <w:sz w:val="20"/>
              </w:rPr>
            </w:pPr>
          </w:p>
        </w:tc>
        <w:tc>
          <w:tcPr>
            <w:tcW w:w="1771" w:type="dxa"/>
            <w:shd w:val="clear" w:color="auto" w:fill="auto"/>
          </w:tcPr>
          <w:p w:rsidR="00743CE8" w:rsidRPr="00114539" w:rsidP="00CD2869" w14:paraId="7AEF6F4C" w14:textId="77777777">
            <w:pPr>
              <w:rPr>
                <w:rFonts w:ascii="Calibri" w:hAnsi="Calibri"/>
                <w:sz w:val="20"/>
              </w:rPr>
            </w:pPr>
          </w:p>
        </w:tc>
        <w:tc>
          <w:tcPr>
            <w:tcW w:w="2204" w:type="dxa"/>
            <w:shd w:val="clear" w:color="auto" w:fill="auto"/>
          </w:tcPr>
          <w:p w:rsidR="00743CE8" w:rsidRPr="00114539" w:rsidP="00CD2869" w14:paraId="4E8DC2BA" w14:textId="77777777">
            <w:pPr>
              <w:rPr>
                <w:rFonts w:ascii="Calibri" w:hAnsi="Calibri"/>
                <w:sz w:val="20"/>
              </w:rPr>
            </w:pPr>
          </w:p>
        </w:tc>
      </w:tr>
      <w:tr w14:paraId="5D8C50F0" w14:textId="77777777" w:rsidTr="00CD2869">
        <w:tblPrEx>
          <w:tblW w:w="9288" w:type="dxa"/>
          <w:tblLook w:val="04A0"/>
        </w:tblPrEx>
        <w:tc>
          <w:tcPr>
            <w:tcW w:w="1771" w:type="dxa"/>
            <w:shd w:val="clear" w:color="auto" w:fill="auto"/>
          </w:tcPr>
          <w:p w:rsidR="00743CE8" w:rsidRPr="00114539" w:rsidP="00CD2869" w14:paraId="16022A8C" w14:textId="77777777">
            <w:pPr>
              <w:rPr>
                <w:rFonts w:ascii="Calibri" w:hAnsi="Calibri"/>
                <w:sz w:val="20"/>
              </w:rPr>
            </w:pPr>
            <w:r>
              <w:rPr>
                <w:rFonts w:ascii="Calibri" w:hAnsi="Calibri"/>
                <w:sz w:val="20"/>
              </w:rPr>
              <w:t>ACT-Celite cartridges</w:t>
            </w:r>
          </w:p>
          <w:p w:rsidR="00743CE8" w:rsidRPr="00114539" w:rsidP="00CD2869" w14:paraId="6C26F1AE" w14:textId="77777777">
            <w:pPr>
              <w:rPr>
                <w:rFonts w:ascii="Calibri" w:hAnsi="Calibri"/>
                <w:sz w:val="20"/>
              </w:rPr>
            </w:pPr>
          </w:p>
        </w:tc>
        <w:tc>
          <w:tcPr>
            <w:tcW w:w="1397" w:type="dxa"/>
            <w:shd w:val="clear" w:color="auto" w:fill="auto"/>
          </w:tcPr>
          <w:p w:rsidR="00743CE8" w:rsidRPr="00114539" w:rsidP="00CD2869" w14:paraId="2D12A296" w14:textId="77777777">
            <w:pPr>
              <w:rPr>
                <w:rFonts w:ascii="Calibri" w:hAnsi="Calibri"/>
                <w:sz w:val="20"/>
              </w:rPr>
            </w:pPr>
          </w:p>
        </w:tc>
        <w:tc>
          <w:tcPr>
            <w:tcW w:w="2145" w:type="dxa"/>
            <w:shd w:val="clear" w:color="auto" w:fill="auto"/>
          </w:tcPr>
          <w:p w:rsidR="00743CE8" w:rsidRPr="00114539" w:rsidP="00CD2869" w14:paraId="3EF4306E" w14:textId="77777777">
            <w:pPr>
              <w:rPr>
                <w:rFonts w:ascii="Calibri" w:hAnsi="Calibri"/>
                <w:sz w:val="20"/>
              </w:rPr>
            </w:pPr>
          </w:p>
        </w:tc>
        <w:tc>
          <w:tcPr>
            <w:tcW w:w="1771" w:type="dxa"/>
            <w:shd w:val="clear" w:color="auto" w:fill="auto"/>
          </w:tcPr>
          <w:p w:rsidR="00743CE8" w:rsidRPr="00114539" w:rsidP="00CD2869" w14:paraId="38F2C0EE" w14:textId="77777777">
            <w:pPr>
              <w:rPr>
                <w:rFonts w:ascii="Calibri" w:hAnsi="Calibri"/>
                <w:sz w:val="20"/>
              </w:rPr>
            </w:pPr>
          </w:p>
        </w:tc>
        <w:tc>
          <w:tcPr>
            <w:tcW w:w="2204" w:type="dxa"/>
            <w:shd w:val="clear" w:color="auto" w:fill="auto"/>
          </w:tcPr>
          <w:p w:rsidR="00743CE8" w:rsidRPr="00114539" w:rsidP="00CD2869" w14:paraId="53E0438D" w14:textId="77777777">
            <w:pPr>
              <w:rPr>
                <w:rFonts w:ascii="Calibri" w:hAnsi="Calibri"/>
                <w:sz w:val="20"/>
              </w:rPr>
            </w:pPr>
          </w:p>
        </w:tc>
      </w:tr>
      <w:tr w14:paraId="04AF1FDB" w14:textId="77777777" w:rsidTr="00CD2869">
        <w:tblPrEx>
          <w:tblW w:w="9288" w:type="dxa"/>
          <w:tblLook w:val="04A0"/>
        </w:tblPrEx>
        <w:tc>
          <w:tcPr>
            <w:tcW w:w="1771" w:type="dxa"/>
            <w:shd w:val="clear" w:color="auto" w:fill="auto"/>
          </w:tcPr>
          <w:p w:rsidR="00743CE8" w:rsidRPr="00114539" w:rsidP="00CD2869" w14:paraId="6B09E36C" w14:textId="77777777">
            <w:pPr>
              <w:rPr>
                <w:rFonts w:ascii="Calibri" w:hAnsi="Calibri"/>
                <w:sz w:val="20"/>
              </w:rPr>
            </w:pPr>
            <w:r w:rsidRPr="00114539">
              <w:rPr>
                <w:rFonts w:ascii="Calibri" w:hAnsi="Calibri"/>
                <w:sz w:val="20"/>
              </w:rPr>
              <w:t>ACT-Celite</w:t>
            </w:r>
            <w:r>
              <w:rPr>
                <w:rFonts w:ascii="Calibri" w:hAnsi="Calibri"/>
                <w:sz w:val="20"/>
              </w:rPr>
              <w:t xml:space="preserve"> -Liquid Quality Control Level 1</w:t>
            </w:r>
          </w:p>
          <w:p w:rsidR="00743CE8" w:rsidRPr="00114539" w:rsidP="00CD2869" w14:paraId="75669713" w14:textId="77777777">
            <w:pPr>
              <w:rPr>
                <w:rFonts w:ascii="Calibri" w:hAnsi="Calibri"/>
                <w:sz w:val="20"/>
              </w:rPr>
            </w:pPr>
          </w:p>
        </w:tc>
        <w:tc>
          <w:tcPr>
            <w:tcW w:w="1397" w:type="dxa"/>
            <w:shd w:val="clear" w:color="auto" w:fill="auto"/>
          </w:tcPr>
          <w:p w:rsidR="00743CE8" w:rsidRPr="00114539" w:rsidP="00CD2869" w14:paraId="7BBEA305" w14:textId="77777777">
            <w:pPr>
              <w:rPr>
                <w:rFonts w:ascii="Calibri" w:hAnsi="Calibri"/>
                <w:sz w:val="20"/>
              </w:rPr>
            </w:pPr>
          </w:p>
        </w:tc>
        <w:tc>
          <w:tcPr>
            <w:tcW w:w="2145" w:type="dxa"/>
            <w:shd w:val="clear" w:color="auto" w:fill="auto"/>
          </w:tcPr>
          <w:p w:rsidR="00743CE8" w:rsidRPr="00114539" w:rsidP="00CD2869" w14:paraId="5B80DF0A" w14:textId="77777777">
            <w:pPr>
              <w:rPr>
                <w:rFonts w:ascii="Calibri" w:hAnsi="Calibri"/>
                <w:sz w:val="20"/>
              </w:rPr>
            </w:pPr>
          </w:p>
        </w:tc>
        <w:tc>
          <w:tcPr>
            <w:tcW w:w="1771" w:type="dxa"/>
            <w:shd w:val="clear" w:color="auto" w:fill="auto"/>
          </w:tcPr>
          <w:p w:rsidR="00743CE8" w:rsidRPr="00114539" w:rsidP="00CD2869" w14:paraId="79F975F2" w14:textId="77777777">
            <w:pPr>
              <w:rPr>
                <w:rFonts w:ascii="Calibri" w:hAnsi="Calibri"/>
                <w:sz w:val="20"/>
              </w:rPr>
            </w:pPr>
          </w:p>
        </w:tc>
        <w:tc>
          <w:tcPr>
            <w:tcW w:w="2204" w:type="dxa"/>
            <w:shd w:val="clear" w:color="auto" w:fill="auto"/>
          </w:tcPr>
          <w:p w:rsidR="00743CE8" w:rsidRPr="00114539" w:rsidP="00CD2869" w14:paraId="722EB3A8" w14:textId="77777777">
            <w:pPr>
              <w:rPr>
                <w:rFonts w:ascii="Calibri" w:hAnsi="Calibri"/>
                <w:sz w:val="20"/>
              </w:rPr>
            </w:pPr>
          </w:p>
        </w:tc>
      </w:tr>
      <w:tr w14:paraId="41DAFF66" w14:textId="77777777" w:rsidTr="00CD2869">
        <w:tblPrEx>
          <w:tblW w:w="9288" w:type="dxa"/>
          <w:tblLook w:val="04A0"/>
        </w:tblPrEx>
        <w:trPr>
          <w:trHeight w:val="800"/>
        </w:trPr>
        <w:tc>
          <w:tcPr>
            <w:tcW w:w="1771" w:type="dxa"/>
            <w:shd w:val="clear" w:color="auto" w:fill="auto"/>
          </w:tcPr>
          <w:p w:rsidR="00743CE8" w:rsidRPr="00114539" w:rsidP="00CD2869" w14:paraId="4D65D6B8" w14:textId="77777777">
            <w:pPr>
              <w:rPr>
                <w:rFonts w:ascii="Calibri" w:hAnsi="Calibri"/>
                <w:sz w:val="20"/>
              </w:rPr>
            </w:pPr>
            <w:r>
              <w:rPr>
                <w:rFonts w:ascii="Calibri" w:hAnsi="Calibri"/>
                <w:sz w:val="20"/>
              </w:rPr>
              <w:t>ACT-Celite-Liquid Quality Control Level 2</w:t>
            </w:r>
          </w:p>
          <w:p w:rsidR="00743CE8" w:rsidRPr="00114539" w:rsidP="00CD2869" w14:paraId="56EB3998" w14:textId="77777777">
            <w:pPr>
              <w:rPr>
                <w:rFonts w:ascii="Calibri" w:hAnsi="Calibri"/>
                <w:sz w:val="20"/>
              </w:rPr>
            </w:pPr>
          </w:p>
        </w:tc>
        <w:tc>
          <w:tcPr>
            <w:tcW w:w="1397" w:type="dxa"/>
            <w:shd w:val="clear" w:color="auto" w:fill="auto"/>
          </w:tcPr>
          <w:p w:rsidR="00743CE8" w:rsidRPr="00114539" w:rsidP="00CD2869" w14:paraId="190D5383" w14:textId="77777777">
            <w:pPr>
              <w:rPr>
                <w:rFonts w:ascii="Calibri" w:hAnsi="Calibri"/>
                <w:sz w:val="20"/>
              </w:rPr>
            </w:pPr>
          </w:p>
        </w:tc>
        <w:tc>
          <w:tcPr>
            <w:tcW w:w="2145" w:type="dxa"/>
            <w:shd w:val="clear" w:color="auto" w:fill="auto"/>
          </w:tcPr>
          <w:p w:rsidR="00743CE8" w:rsidRPr="00114539" w:rsidP="00CD2869" w14:paraId="2F499385" w14:textId="77777777">
            <w:pPr>
              <w:rPr>
                <w:rFonts w:ascii="Calibri" w:hAnsi="Calibri"/>
                <w:sz w:val="20"/>
              </w:rPr>
            </w:pPr>
          </w:p>
        </w:tc>
        <w:tc>
          <w:tcPr>
            <w:tcW w:w="1771" w:type="dxa"/>
            <w:shd w:val="clear" w:color="auto" w:fill="auto"/>
          </w:tcPr>
          <w:p w:rsidR="00743CE8" w:rsidRPr="00114539" w:rsidP="00CD2869" w14:paraId="34AD215F" w14:textId="77777777">
            <w:pPr>
              <w:rPr>
                <w:rFonts w:ascii="Calibri" w:hAnsi="Calibri"/>
                <w:sz w:val="20"/>
              </w:rPr>
            </w:pPr>
          </w:p>
        </w:tc>
        <w:tc>
          <w:tcPr>
            <w:tcW w:w="2204" w:type="dxa"/>
            <w:shd w:val="clear" w:color="auto" w:fill="auto"/>
          </w:tcPr>
          <w:p w:rsidR="00743CE8" w:rsidRPr="00114539" w:rsidP="00CD2869" w14:paraId="70E5FAFF" w14:textId="77777777">
            <w:pPr>
              <w:rPr>
                <w:rFonts w:ascii="Calibri" w:hAnsi="Calibri"/>
                <w:sz w:val="20"/>
              </w:rPr>
            </w:pPr>
          </w:p>
        </w:tc>
      </w:tr>
      <w:tr w14:paraId="314844C3" w14:textId="77777777" w:rsidTr="00CD2869">
        <w:tblPrEx>
          <w:tblW w:w="9288" w:type="dxa"/>
          <w:tblLook w:val="04A0"/>
        </w:tblPrEx>
        <w:tc>
          <w:tcPr>
            <w:tcW w:w="1771" w:type="dxa"/>
            <w:shd w:val="clear" w:color="auto" w:fill="auto"/>
          </w:tcPr>
          <w:p w:rsidR="00743CE8" w:rsidP="00CD2869" w14:paraId="0984C227" w14:textId="77777777">
            <w:pPr>
              <w:rPr>
                <w:rFonts w:ascii="Calibri" w:hAnsi="Calibri"/>
                <w:sz w:val="20"/>
              </w:rPr>
            </w:pPr>
            <w:r>
              <w:rPr>
                <w:rFonts w:ascii="Calibri" w:hAnsi="Calibri"/>
                <w:sz w:val="20"/>
              </w:rPr>
              <w:t>Calibration Verification</w:t>
            </w:r>
          </w:p>
        </w:tc>
        <w:tc>
          <w:tcPr>
            <w:tcW w:w="1397" w:type="dxa"/>
            <w:shd w:val="clear" w:color="auto" w:fill="auto"/>
          </w:tcPr>
          <w:p w:rsidR="00743CE8" w:rsidRPr="00114539" w:rsidP="00CD2869" w14:paraId="4518FA54" w14:textId="77777777">
            <w:pPr>
              <w:rPr>
                <w:rFonts w:ascii="Calibri" w:hAnsi="Calibri"/>
                <w:sz w:val="20"/>
              </w:rPr>
            </w:pPr>
          </w:p>
        </w:tc>
        <w:tc>
          <w:tcPr>
            <w:tcW w:w="2145" w:type="dxa"/>
            <w:shd w:val="clear" w:color="auto" w:fill="auto"/>
          </w:tcPr>
          <w:p w:rsidR="00743CE8" w:rsidRPr="00114539" w:rsidP="00CD2869" w14:paraId="6A485024" w14:textId="77777777">
            <w:pPr>
              <w:rPr>
                <w:rFonts w:ascii="Calibri" w:hAnsi="Calibri"/>
                <w:sz w:val="20"/>
              </w:rPr>
            </w:pPr>
          </w:p>
        </w:tc>
        <w:tc>
          <w:tcPr>
            <w:tcW w:w="1771" w:type="dxa"/>
            <w:shd w:val="clear" w:color="auto" w:fill="auto"/>
          </w:tcPr>
          <w:p w:rsidR="00743CE8" w:rsidRPr="00114539" w:rsidP="00CD2869" w14:paraId="733756EF" w14:textId="77777777">
            <w:pPr>
              <w:rPr>
                <w:rFonts w:ascii="Calibri" w:hAnsi="Calibri"/>
                <w:sz w:val="20"/>
              </w:rPr>
            </w:pPr>
          </w:p>
        </w:tc>
        <w:tc>
          <w:tcPr>
            <w:tcW w:w="2204" w:type="dxa"/>
            <w:shd w:val="clear" w:color="auto" w:fill="auto"/>
          </w:tcPr>
          <w:p w:rsidR="00743CE8" w:rsidRPr="00114539" w:rsidP="00CD2869" w14:paraId="2D0EF135" w14:textId="77777777">
            <w:pPr>
              <w:rPr>
                <w:rFonts w:ascii="Calibri" w:hAnsi="Calibri"/>
                <w:sz w:val="20"/>
              </w:rPr>
            </w:pPr>
          </w:p>
        </w:tc>
      </w:tr>
    </w:tbl>
    <w:p w:rsidR="00743CE8" w:rsidRPr="00C40EB7" w:rsidP="00743CE8" w14:paraId="3C82C3C2" w14:textId="77777777">
      <w:pPr>
        <w:rPr>
          <w:rFonts w:ascii="Calibri" w:hAnsi="Calibri"/>
          <w:sz w:val="20"/>
        </w:rPr>
      </w:pPr>
    </w:p>
    <w:p w:rsidR="00BF5F7B" w:rsidRPr="00BF5F7B" w:rsidP="00743CE8" w14:paraId="148F849F" w14:textId="7F9CB7EC">
      <w:r w:rsidRPr="00C40EB7">
        <w:rPr>
          <w:rFonts w:ascii="Calibri" w:hAnsi="Calibri"/>
          <w:sz w:val="20"/>
        </w:rPr>
        <w:t>Reviewed By:</w:t>
      </w:r>
      <w:r>
        <w:rPr>
          <w:rFonts w:ascii="Calibri" w:hAnsi="Calibri"/>
          <w:sz w:val="20"/>
        </w:rPr>
        <w:t xml:space="preserve"> </w:t>
      </w:r>
      <w:r w:rsidRPr="00C40EB7">
        <w:rPr>
          <w:rFonts w:ascii="Calibri" w:hAnsi="Calibri"/>
          <w:sz w:val="20"/>
        </w:rPr>
        <w:t>__________</w:t>
      </w:r>
      <w:r>
        <w:rPr>
          <w:rFonts w:ascii="Calibri" w:hAnsi="Calibri"/>
          <w:sz w:val="20"/>
        </w:rPr>
        <w:t>_______________________________</w:t>
      </w:r>
      <w:r w:rsidRPr="00C40EB7">
        <w:rPr>
          <w:rFonts w:ascii="Calibri" w:hAnsi="Calibri"/>
          <w:sz w:val="20"/>
        </w:rPr>
        <w:t xml:space="preserve"> Date:</w:t>
      </w:r>
      <w:r>
        <w:rPr>
          <w:rFonts w:ascii="Calibri" w:hAnsi="Calibri"/>
          <w:sz w:val="20"/>
        </w:rPr>
        <w:t xml:space="preserve"> </w:t>
      </w:r>
      <w:r w:rsidRPr="00C40EB7">
        <w:rPr>
          <w:rFonts w:ascii="Calibri" w:hAnsi="Calibri"/>
          <w:sz w:val="20"/>
        </w:rPr>
        <w:t>_______________________</w:t>
      </w:r>
    </w:p>
    <w:sectPr w:rsidSect="00A153FF">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40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TC Franklin Gothic Std Boo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5CF" w14:paraId="18FC10DC" w14:textId="77777777">
    <w:pPr>
      <w:tabs>
        <w:tab w:val="center" w:pos="4320"/>
        <w:tab w:val="right" w:pos="8640"/>
      </w:tabs>
      <w:rPr>
        <w:rFonts w:ascii="Times New Roman" w:hAnsi="Times New Roman"/>
        <w:sz w:val="20"/>
        <w:lang w:val="x-none"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Arial"/>
        <w:sz w:val="16"/>
        <w:szCs w:val="16"/>
      </w:rPr>
      <w:id w:val="125861464"/>
      <w:docPartObj>
        <w:docPartGallery w:val="Page Numbers (Bottom of Page)"/>
        <w:docPartUnique/>
      </w:docPartObj>
    </w:sdtPr>
    <w:sdtContent>
      <w:sdt>
        <w:sdtPr>
          <w:rPr>
            <w:rFonts w:cs="Arial"/>
            <w:sz w:val="16"/>
            <w:szCs w:val="16"/>
          </w:rPr>
          <w:id w:val="381119502"/>
          <w:docPartObj>
            <w:docPartGallery w:val="Page Numbers (Top of Page)"/>
            <w:docPartUnique/>
          </w:docPartObj>
        </w:sdtPr>
        <w:sdtContent>
          <w:p w:rsidR="00B067CD" w:rsidRPr="00A17714" w14:paraId="5FCC328D" w14:textId="77777777">
            <w:pPr>
              <w:tabs>
                <w:tab w:val="center" w:pos="4320"/>
                <w:tab w:val="right" w:pos="8640"/>
              </w:tabs>
              <w:jc w:val="right"/>
              <w:rPr>
                <w:rFonts w:cs="Arial"/>
                <w:sz w:val="16"/>
                <w:szCs w:val="16"/>
                <w:lang w:val="x-none" w:eastAsia="x-none"/>
              </w:rPr>
            </w:pPr>
            <w:r w:rsidRPr="00A17714">
              <w:rPr>
                <w:rFonts w:cs="Arial"/>
                <w:sz w:val="16"/>
                <w:szCs w:val="16"/>
                <w:lang w:val="x-none" w:eastAsia="x-none"/>
              </w:rPr>
              <w:t xml:space="preserve">Page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PAGE </w:instrText>
            </w:r>
            <w:r w:rsidRPr="00A17714">
              <w:rPr>
                <w:rFonts w:cs="Arial"/>
                <w:b/>
                <w:bCs/>
                <w:sz w:val="16"/>
                <w:szCs w:val="16"/>
                <w:lang w:val="x-none" w:eastAsia="x-none"/>
              </w:rPr>
              <w:fldChar w:fldCharType="separate"/>
            </w:r>
            <w:r w:rsidRPr="00A17714">
              <w:rPr>
                <w:rFonts w:cs="Arial"/>
                <w:b/>
                <w:bCs/>
                <w:sz w:val="16"/>
                <w:szCs w:val="16"/>
                <w:lang w:val="x-none" w:eastAsia="x-none"/>
              </w:rPr>
              <w:t>12</w:t>
            </w:r>
            <w:r w:rsidRPr="00A17714">
              <w:rPr>
                <w:rFonts w:cs="Arial"/>
                <w:b/>
                <w:bCs/>
                <w:sz w:val="16"/>
                <w:szCs w:val="16"/>
                <w:lang w:val="x-none" w:eastAsia="x-none"/>
              </w:rPr>
              <w:fldChar w:fldCharType="end"/>
            </w:r>
            <w:r w:rsidRPr="00A17714">
              <w:rPr>
                <w:rFonts w:cs="Arial"/>
                <w:sz w:val="16"/>
                <w:szCs w:val="16"/>
                <w:lang w:val="x-none" w:eastAsia="x-none"/>
              </w:rPr>
              <w:t xml:space="preserve"> of </w:t>
            </w:r>
            <w:r w:rsidRPr="00A17714">
              <w:rPr>
                <w:rFonts w:cs="Arial"/>
                <w:b/>
                <w:bCs/>
                <w:sz w:val="16"/>
                <w:szCs w:val="16"/>
                <w:lang w:val="x-none" w:eastAsia="x-none"/>
              </w:rPr>
              <w:fldChar w:fldCharType="begin"/>
            </w:r>
            <w:r w:rsidRPr="00A17714">
              <w:rPr>
                <w:rFonts w:cs="Arial"/>
                <w:b/>
                <w:bCs/>
                <w:sz w:val="16"/>
                <w:szCs w:val="16"/>
                <w:lang w:val="x-none" w:eastAsia="x-none"/>
              </w:rPr>
              <w:instrText xml:space="preserve"> NUMPAGES  </w:instrText>
            </w:r>
            <w:r w:rsidRPr="00A17714">
              <w:rPr>
                <w:rFonts w:cs="Arial"/>
                <w:b/>
                <w:bCs/>
                <w:sz w:val="16"/>
                <w:szCs w:val="16"/>
                <w:lang w:val="x-none" w:eastAsia="x-none"/>
              </w:rPr>
              <w:fldChar w:fldCharType="separate"/>
            </w:r>
            <w:r w:rsidRPr="00A17714">
              <w:rPr>
                <w:rFonts w:cs="Arial"/>
                <w:b/>
                <w:bCs/>
                <w:sz w:val="16"/>
                <w:szCs w:val="16"/>
                <w:lang w:val="x-none" w:eastAsia="x-none"/>
              </w:rPr>
              <w:t>12</w:t>
            </w:r>
            <w:r w:rsidRPr="00A17714">
              <w:rPr>
                <w:rFonts w:cs="Arial"/>
                <w:b/>
                <w:bCs/>
                <w:sz w:val="16"/>
                <w:szCs w:val="16"/>
                <w:lang w:val="x-none" w:eastAsia="x-none"/>
              </w:rPr>
              <w:fldChar w:fldCharType="end"/>
            </w:r>
          </w:p>
        </w:sdtContent>
      </w:sdt>
    </w:sdtContent>
  </w:sdt>
  <w:p w:rsidR="00280E3C" w:rsidP="00321E18" w14:paraId="37BC2A9B" w14:textId="77777777">
    <w:pPr>
      <w:tabs>
        <w:tab w:val="center" w:pos="4320"/>
        <w:tab w:val="right" w:pos="8640"/>
      </w:tabs>
      <w:jc w:val="right"/>
      <w:rPr>
        <w:rFonts w:cs="Arial"/>
        <w:sz w:val="16"/>
        <w:szCs w:val="16"/>
        <w:lang w:eastAsia="x-none"/>
      </w:rPr>
    </w:pPr>
    <w:r w:rsidRPr="00B067CD">
      <w:rPr>
        <w:rFonts w:cs="Arial"/>
        <w:sz w:val="16"/>
        <w:szCs w:val="16"/>
        <w:lang w:eastAsia="x-none"/>
      </w:rPr>
      <w:t xml:space="preserve">Template Date: </w:t>
    </w:r>
    <w:r w:rsidR="008F68E1">
      <w:rPr>
        <w:rFonts w:cs="Arial"/>
        <w:sz w:val="16"/>
        <w:szCs w:val="16"/>
        <w:lang w:eastAsia="x-none"/>
      </w:rPr>
      <w:t>4</w:t>
    </w:r>
    <w:r w:rsidR="00DC775C">
      <w:rPr>
        <w:rFonts w:cs="Arial"/>
        <w:sz w:val="16"/>
        <w:szCs w:val="16"/>
        <w:lang w:eastAsia="x-none"/>
      </w:rPr>
      <w:t>.</w:t>
    </w:r>
    <w:r w:rsidR="008F68E1">
      <w:rPr>
        <w:rFonts w:cs="Arial"/>
        <w:sz w:val="16"/>
        <w:szCs w:val="16"/>
        <w:lang w:eastAsia="x-none"/>
      </w:rPr>
      <w:t>12</w:t>
    </w:r>
    <w:r w:rsidR="00DC775C">
      <w:rPr>
        <w:rFonts w:cs="Arial"/>
        <w:sz w:val="16"/>
        <w:szCs w:val="16"/>
        <w:lang w:eastAsia="x-none"/>
      </w:rPr>
      <w:t>.2</w:t>
    </w:r>
    <w:r w:rsidR="008F68E1">
      <w:rPr>
        <w:rFonts w:cs="Arial"/>
        <w:sz w:val="16"/>
        <w:szCs w:val="16"/>
        <w:lang w:eastAsia="x-none"/>
      </w:rPr>
      <w:t>3</w:t>
    </w:r>
  </w:p>
  <w:p w:rsidR="00321E18" w:rsidRPr="00B067CD" w:rsidP="00321E18" w14:paraId="48BB5EEA" w14:textId="77777777">
    <w:pPr>
      <w:jc w:val="center"/>
      <w:textAlignment w:val="baseline"/>
      <w:rPr>
        <w:rFonts w:cs="Arial"/>
        <w:sz w:val="16"/>
        <w:szCs w:val="16"/>
      </w:rPr>
    </w:pPr>
    <w:r>
      <w:rPr>
        <w:rFonts w:cs="Arial"/>
        <w:color w:val="FF0000"/>
        <w:sz w:val="18"/>
        <w:szCs w:val="18"/>
      </w:rPr>
      <w:t xml:space="preserve">DOCUMENT UNCONTROLLED WHEN PRINTED. GO TO </w:t>
    </w:r>
    <w:r w:rsidR="00EB7422">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7CD" w:rsidRPr="00B067CD" w14:paraId="17E95646" w14:textId="77777777">
    <w:pPr>
      <w:tabs>
        <w:tab w:val="center" w:pos="4320"/>
        <w:tab w:val="right" w:pos="8640"/>
      </w:tabs>
      <w:jc w:val="right"/>
      <w:rPr>
        <w:rFonts w:cs="Arial"/>
        <w:sz w:val="16"/>
        <w:szCs w:val="16"/>
        <w:lang w:val="x-none" w:eastAsia="x-none"/>
      </w:rPr>
    </w:pPr>
    <w:r w:rsidRPr="00B067CD">
      <w:rPr>
        <w:rFonts w:cs="Arial"/>
        <w:sz w:val="16"/>
        <w:szCs w:val="16"/>
        <w:lang w:val="x-none" w:eastAsia="x-none"/>
      </w:rPr>
      <w:t xml:space="preserve">Page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PAGE </w:instrText>
    </w:r>
    <w:r w:rsidRPr="00B067CD">
      <w:rPr>
        <w:rFonts w:cs="Arial"/>
        <w:b/>
        <w:bCs/>
        <w:sz w:val="16"/>
        <w:szCs w:val="16"/>
        <w:lang w:val="x-none" w:eastAsia="x-none"/>
      </w:rPr>
      <w:fldChar w:fldCharType="separate"/>
    </w:r>
    <w:r w:rsidRPr="00B067CD">
      <w:rPr>
        <w:rFonts w:cs="Arial"/>
        <w:b/>
        <w:bCs/>
        <w:sz w:val="16"/>
        <w:szCs w:val="16"/>
        <w:lang w:val="x-none" w:eastAsia="x-none"/>
      </w:rPr>
      <w:t>1</w:t>
    </w:r>
    <w:r w:rsidRPr="00B067CD">
      <w:rPr>
        <w:rFonts w:cs="Arial"/>
        <w:b/>
        <w:bCs/>
        <w:sz w:val="16"/>
        <w:szCs w:val="16"/>
        <w:lang w:val="x-none" w:eastAsia="x-none"/>
      </w:rPr>
      <w:fldChar w:fldCharType="end"/>
    </w:r>
    <w:r w:rsidRPr="00B067CD">
      <w:rPr>
        <w:rFonts w:cs="Arial"/>
        <w:sz w:val="16"/>
        <w:szCs w:val="16"/>
        <w:lang w:val="x-none" w:eastAsia="x-none"/>
      </w:rPr>
      <w:t xml:space="preserve"> of </w:t>
    </w:r>
    <w:r w:rsidRPr="00B067CD">
      <w:rPr>
        <w:rFonts w:cs="Arial"/>
        <w:b/>
        <w:bCs/>
        <w:sz w:val="16"/>
        <w:szCs w:val="16"/>
        <w:lang w:val="x-none" w:eastAsia="x-none"/>
      </w:rPr>
      <w:fldChar w:fldCharType="begin"/>
    </w:r>
    <w:r w:rsidRPr="00B067CD">
      <w:rPr>
        <w:rFonts w:cs="Arial"/>
        <w:b/>
        <w:bCs/>
        <w:sz w:val="16"/>
        <w:szCs w:val="16"/>
        <w:lang w:val="x-none" w:eastAsia="x-none"/>
      </w:rPr>
      <w:instrText xml:space="preserve"> NUMPAGES  </w:instrText>
    </w:r>
    <w:r w:rsidRPr="00B067CD">
      <w:rPr>
        <w:rFonts w:cs="Arial"/>
        <w:b/>
        <w:bCs/>
        <w:sz w:val="16"/>
        <w:szCs w:val="16"/>
        <w:lang w:val="x-none" w:eastAsia="x-none"/>
      </w:rPr>
      <w:fldChar w:fldCharType="separate"/>
    </w:r>
    <w:r w:rsidRPr="00B067CD">
      <w:rPr>
        <w:rFonts w:cs="Arial"/>
        <w:b/>
        <w:bCs/>
        <w:sz w:val="16"/>
        <w:szCs w:val="16"/>
        <w:lang w:val="x-none" w:eastAsia="x-none"/>
      </w:rPr>
      <w:t>12</w:t>
    </w:r>
    <w:r w:rsidRPr="00B067CD">
      <w:rPr>
        <w:rFonts w:cs="Arial"/>
        <w:b/>
        <w:bCs/>
        <w:sz w:val="16"/>
        <w:szCs w:val="16"/>
        <w:lang w:val="x-none" w:eastAsia="x-none"/>
      </w:rPr>
      <w:fldChar w:fldCharType="end"/>
    </w:r>
  </w:p>
  <w:p w:rsidR="00B067CD" w:rsidP="00321E18" w14:paraId="6D9F719A" w14:textId="77777777">
    <w:pPr>
      <w:tabs>
        <w:tab w:val="center" w:pos="4320"/>
        <w:tab w:val="right" w:pos="8640"/>
      </w:tabs>
      <w:ind w:left="1440"/>
      <w:jc w:val="right"/>
      <w:rPr>
        <w:rFonts w:cs="Arial"/>
        <w:sz w:val="16"/>
        <w:szCs w:val="16"/>
        <w:lang w:eastAsia="x-none"/>
      </w:rPr>
    </w:pPr>
    <w:r w:rsidRPr="00B067CD">
      <w:rPr>
        <w:rFonts w:cs="Arial"/>
        <w:sz w:val="16"/>
        <w:szCs w:val="16"/>
        <w:lang w:eastAsia="x-none"/>
      </w:rPr>
      <w:t xml:space="preserve">Template Date: </w:t>
    </w:r>
    <w:r w:rsidR="0056123A">
      <w:rPr>
        <w:rFonts w:cs="Arial"/>
        <w:sz w:val="16"/>
        <w:szCs w:val="16"/>
        <w:lang w:eastAsia="x-none"/>
      </w:rPr>
      <w:t>4</w:t>
    </w:r>
    <w:r w:rsidRPr="00B067CD">
      <w:rPr>
        <w:rFonts w:cs="Arial"/>
        <w:sz w:val="16"/>
        <w:szCs w:val="16"/>
        <w:lang w:eastAsia="x-none"/>
      </w:rPr>
      <w:t>-</w:t>
    </w:r>
    <w:r w:rsidR="0056123A">
      <w:rPr>
        <w:rFonts w:cs="Arial"/>
        <w:sz w:val="16"/>
        <w:szCs w:val="16"/>
        <w:lang w:eastAsia="x-none"/>
      </w:rPr>
      <w:t>12</w:t>
    </w:r>
    <w:r w:rsidRPr="00B067CD">
      <w:rPr>
        <w:rFonts w:cs="Arial"/>
        <w:sz w:val="16"/>
        <w:szCs w:val="16"/>
        <w:lang w:eastAsia="x-none"/>
      </w:rPr>
      <w:t>-20</w:t>
    </w:r>
    <w:r w:rsidR="002F75BD">
      <w:rPr>
        <w:rFonts w:cs="Arial"/>
        <w:sz w:val="16"/>
        <w:szCs w:val="16"/>
        <w:lang w:eastAsia="x-none"/>
      </w:rPr>
      <w:t>2</w:t>
    </w:r>
    <w:r w:rsidR="0056123A">
      <w:rPr>
        <w:rFonts w:cs="Arial"/>
        <w:sz w:val="16"/>
        <w:szCs w:val="16"/>
        <w:lang w:eastAsia="x-none"/>
      </w:rPr>
      <w:t>3</w:t>
    </w:r>
  </w:p>
  <w:p w:rsidR="00321E18" w:rsidRPr="00B067CD" w:rsidP="00321E18" w14:paraId="18D6074D" w14:textId="77777777">
    <w:pPr>
      <w:jc w:val="center"/>
      <w:textAlignment w:val="baseline"/>
      <w:rPr>
        <w:rFonts w:cs="Arial"/>
        <w:sz w:val="16"/>
        <w:szCs w:val="16"/>
      </w:rPr>
    </w:pPr>
    <w:r>
      <w:rPr>
        <w:rFonts w:cs="Arial"/>
        <w:color w:val="FF0000"/>
        <w:sz w:val="18"/>
        <w:szCs w:val="18"/>
      </w:rPr>
      <w:t xml:space="preserve">DOCUMENT UNCONTROLLED WHEN PRINTED. GO TO </w:t>
    </w:r>
    <w:r w:rsidR="0056123A">
      <w:rPr>
        <w:rFonts w:cs="Arial"/>
        <w:color w:val="FF0000"/>
        <w:sz w:val="18"/>
        <w:szCs w:val="18"/>
      </w:rPr>
      <w:t>PolicyTech</w:t>
    </w:r>
    <w:r>
      <w:rPr>
        <w:rFonts w:cs="Arial"/>
        <w:color w:val="FF0000"/>
        <w:sz w:val="18"/>
        <w:szCs w:val="18"/>
      </w:rPr>
      <w:t xml:space="preserve"> FOR MOST CURRENT VERSION.</w:t>
    </w:r>
    <w:r>
      <w:rPr>
        <w:rFonts w:cs="Arial"/>
        <w:sz w:val="18"/>
        <w:szCs w:val="18"/>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75CF" w14:paraId="61F2B627" w14:textId="77777777">
    <w:pPr>
      <w:numPr>
        <w:ilvl w:val="8"/>
        <w:numId w:val="40"/>
      </w:numPr>
      <w:tabs>
        <w:tab w:val="center" w:pos="4320"/>
        <w:tab w:val="right" w:pos="8640"/>
      </w:tabs>
      <w:rPr>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2AB1" w:rsidP="00FB2AB1" w14:paraId="52C6744B" w14:textId="77777777">
    <w:pPr>
      <w:tabs>
        <w:tab w:val="center" w:pos="4320"/>
        <w:tab w:val="right" w:pos="8640"/>
      </w:tabs>
      <w:ind w:left="7200"/>
      <w:rPr>
        <w:lang w:val="x-none" w:eastAsia="x-none"/>
      </w:rPr>
    </w:pPr>
  </w:p>
  <w:p w:rsidR="00280E3C" w:rsidRPr="00FC2F17" w:rsidP="004D7E07" w14:paraId="22685589" w14:textId="77777777">
    <w:pPr>
      <w:tabs>
        <w:tab w:val="center" w:pos="4320"/>
        <w:tab w:val="right" w:pos="8640"/>
      </w:tabs>
      <w:jc w:val="center"/>
      <w:rPr>
        <w:lang w:val="x-none" w:eastAsia="x-none"/>
      </w:rPr>
    </w:pPr>
    <w:r>
      <w:rPr>
        <w:lang w:val="x-none" w:eastAsia="x-none"/>
      </w:rPr>
      <w:fldChar w:fldCharType="begin"/>
    </w:r>
    <w:r>
      <w:rPr>
        <w:lang w:val="x-none" w:eastAsia="x-none"/>
      </w:rPr>
      <w:instrText xml:space="preserve"> DOCVARIABLE "document title" \* MERGEFORMAT </w:instrText>
    </w:r>
    <w:r>
      <w:rPr>
        <w:lang w:val="x-none" w:eastAsia="x-none"/>
      </w:rPr>
      <w:fldChar w:fldCharType="separate"/>
    </w:r>
    <w:r>
      <w:rPr>
        <w:lang w:val="x-none" w:eastAsia="x-none"/>
      </w:rPr>
      <w:t>i-STAT Blood Gases (EG7 Cartridges) Policy (HPMC)</w:t>
    </w:r>
    <w:r>
      <w:rPr>
        <w:lang w:val="x-none" w:eastAsia="x-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00"/>
      <w:tblpPr w:leftFromText="180" w:rightFromText="180" w:vertAnchor="page" w:horzAnchor="margin" w:tblpXSpec="center" w:tblpY="745"/>
      <w:tblW w:w="10142" w:type="dxa"/>
      <w:tblLook w:val="04A0"/>
    </w:tblPr>
    <w:tblGrid>
      <w:gridCol w:w="3417"/>
      <w:gridCol w:w="3418"/>
      <w:gridCol w:w="3057"/>
      <w:gridCol w:w="250"/>
    </w:tblGrid>
    <w:tr w14:paraId="68564210" w14:textId="77777777" w:rsidTr="000333FD">
      <w:tblPrEx>
        <w:tblW w:w="10142" w:type="dxa"/>
        <w:tblLook w:val="04A0"/>
      </w:tblPrEx>
      <w:trPr>
        <w:trHeight w:val="575"/>
      </w:trPr>
      <w:tc>
        <w:tcPr>
          <w:tcW w:w="10142" w:type="dxa"/>
          <w:gridSpan w:val="4"/>
          <w:vAlign w:val="center"/>
        </w:tcPr>
        <w:p w:rsidR="000333FD" w:rsidP="000333FD" w14:paraId="2A0DA3EB" w14:textId="77777777">
          <w:pPr>
            <w:spacing w:before="120"/>
            <w:jc w:val="center"/>
            <w:rPr>
              <w:rFonts w:cs="Arial"/>
              <w:b/>
              <w:bCs/>
              <w:sz w:val="20"/>
            </w:rPr>
          </w:pPr>
          <w:r>
            <w:rPr>
              <w:noProof/>
            </w:rPr>
            <w:drawing>
              <wp:inline distT="0" distB="0" distL="0" distR="0">
                <wp:extent cx="2162175" cy="37838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9834" cy="390221"/>
                        </a:xfrm>
                        <a:prstGeom prst="rect">
                          <a:avLst/>
                        </a:prstGeom>
                        <a:noFill/>
                        <a:ln>
                          <a:noFill/>
                        </a:ln>
                      </pic:spPr>
                    </pic:pic>
                  </a:graphicData>
                </a:graphic>
              </wp:inline>
            </w:drawing>
          </w:r>
        </w:p>
      </w:tc>
    </w:tr>
    <w:tr w14:paraId="46572407" w14:textId="77777777" w:rsidTr="35438D0D">
      <w:tblPrEx>
        <w:tblW w:w="10142" w:type="dxa"/>
        <w:tblLook w:val="04A0"/>
      </w:tblPrEx>
      <w:trPr>
        <w:trHeight w:val="575"/>
      </w:trPr>
      <w:tc>
        <w:tcPr>
          <w:tcW w:w="6835" w:type="dxa"/>
          <w:gridSpan w:val="2"/>
        </w:tcPr>
        <w:p w:rsidR="00302C28" w:rsidRPr="003A4273" w:rsidP="00302C28" w14:paraId="50315BE5" w14:textId="77777777">
          <w:pPr>
            <w:spacing w:before="120"/>
            <w:rPr>
              <w:rFonts w:cs="Arial"/>
              <w:b/>
              <w:bCs/>
              <w:sz w:val="20"/>
            </w:rPr>
          </w:pPr>
          <w:r w:rsidRPr="00044C88">
            <w:rPr>
              <w:rFonts w:cs="Arial"/>
              <w:b/>
              <w:bCs/>
              <w:sz w:val="20"/>
            </w:rPr>
            <w:t xml:space="preserve">Title: </w:t>
          </w:r>
          <w:r>
            <w:rPr>
              <w:rFonts w:cs="Arial"/>
              <w:b/>
              <w:bCs/>
              <w:sz w:val="20"/>
            </w:rPr>
            <w:fldChar w:fldCharType="begin"/>
          </w:r>
          <w:r>
            <w:rPr>
              <w:rFonts w:cs="Arial"/>
              <w:b/>
              <w:bCs/>
              <w:sz w:val="20"/>
            </w:rPr>
            <w:instrText xml:space="preserve"> DOCVARIABLE "document title" \* MERGEFORMAT </w:instrText>
          </w:r>
          <w:r>
            <w:rPr>
              <w:rFonts w:cs="Arial"/>
              <w:b/>
              <w:bCs/>
              <w:sz w:val="20"/>
            </w:rPr>
            <w:fldChar w:fldCharType="separate"/>
          </w:r>
          <w:r>
            <w:rPr>
              <w:rFonts w:cs="Arial"/>
              <w:b/>
              <w:bCs/>
              <w:sz w:val="20"/>
            </w:rPr>
            <w:t>i-STAT Blood Gases (EG7 Cartridges) Policy (HPMC)</w:t>
          </w:r>
          <w:r>
            <w:rPr>
              <w:rFonts w:cs="Arial"/>
              <w:b/>
              <w:bCs/>
              <w:sz w:val="20"/>
            </w:rPr>
            <w:fldChar w:fldCharType="end"/>
          </w:r>
        </w:p>
      </w:tc>
      <w:tc>
        <w:tcPr>
          <w:tcW w:w="3307" w:type="dxa"/>
          <w:gridSpan w:val="2"/>
        </w:tcPr>
        <w:p w:rsidR="00302C28" w:rsidRPr="003E4CCB" w:rsidP="00302C28" w14:paraId="109F323E" w14:textId="77777777">
          <w:pPr>
            <w:spacing w:before="120"/>
            <w:rPr>
              <w:rFonts w:cs="Arial"/>
              <w:b/>
              <w:bCs/>
              <w:sz w:val="18"/>
              <w:szCs w:val="18"/>
            </w:rPr>
          </w:pPr>
          <w:r w:rsidRPr="00044C88">
            <w:rPr>
              <w:rFonts w:cs="Arial"/>
              <w:b/>
              <w:bCs/>
              <w:sz w:val="18"/>
              <w:szCs w:val="18"/>
            </w:rPr>
            <w:t xml:space="preserve">Document Number: </w:t>
          </w:r>
          <w:r>
            <w:rPr>
              <w:rFonts w:cs="Arial"/>
              <w:b/>
              <w:bCs/>
              <w:sz w:val="18"/>
              <w:szCs w:val="18"/>
            </w:rPr>
            <w:fldChar w:fldCharType="begin"/>
          </w:r>
          <w:r>
            <w:rPr>
              <w:rFonts w:cs="Arial"/>
              <w:b/>
              <w:bCs/>
              <w:sz w:val="18"/>
              <w:szCs w:val="18"/>
            </w:rPr>
            <w:instrText xml:space="preserve"> DOCVARIABLE "reference #" \* MERGEFORMAT </w:instrText>
          </w:r>
          <w:r>
            <w:rPr>
              <w:rFonts w:cs="Arial"/>
              <w:b/>
              <w:bCs/>
              <w:sz w:val="18"/>
              <w:szCs w:val="18"/>
            </w:rPr>
            <w:fldChar w:fldCharType="separate"/>
          </w:r>
          <w:r>
            <w:rPr>
              <w:rFonts w:cs="Arial"/>
              <w:b/>
              <w:bCs/>
              <w:sz w:val="18"/>
              <w:szCs w:val="18"/>
            </w:rPr>
            <w:t>37821</w:t>
          </w:r>
          <w:r>
            <w:rPr>
              <w:rFonts w:cs="Arial"/>
              <w:b/>
              <w:bCs/>
              <w:sz w:val="18"/>
              <w:szCs w:val="18"/>
            </w:rPr>
            <w:fldChar w:fldCharType="end"/>
          </w:r>
        </w:p>
      </w:tc>
    </w:tr>
    <w:tr w14:paraId="165468DB" w14:textId="77777777" w:rsidTr="00195FCB">
      <w:tblPrEx>
        <w:tblW w:w="10142" w:type="dxa"/>
        <w:tblLook w:val="04A0"/>
      </w:tblPrEx>
      <w:trPr>
        <w:trHeight w:val="530"/>
      </w:trPr>
      <w:tc>
        <w:tcPr>
          <w:tcW w:w="6835" w:type="dxa"/>
          <w:gridSpan w:val="2"/>
          <w:tcBorders>
            <w:bottom w:val="single" w:sz="4" w:space="0" w:color="auto"/>
          </w:tcBorders>
        </w:tcPr>
        <w:p w:rsidR="00070A3F" w:rsidRPr="00461109" w:rsidP="00302C28" w14:paraId="180E0087" w14:textId="41085D06">
          <w:pPr>
            <w:tabs>
              <w:tab w:val="left" w:pos="2490"/>
              <w:tab w:val="left" w:pos="3750"/>
              <w:tab w:val="left" w:pos="5010"/>
            </w:tabs>
            <w:spacing w:before="120" w:line="276" w:lineRule="auto"/>
            <w:rPr>
              <w:rFonts w:cs="Arial"/>
              <w:b/>
              <w:sz w:val="18"/>
              <w:szCs w:val="18"/>
            </w:rPr>
          </w:pPr>
          <w:r>
            <w:rPr>
              <w:rFonts w:cs="Arial"/>
              <w:b/>
              <w:sz w:val="18"/>
              <w:szCs w:val="18"/>
            </w:rPr>
            <w:t xml:space="preserve">Document Type:   </w:t>
          </w:r>
          <w:sdt>
            <w:sdtPr>
              <w:rPr>
                <w:rFonts w:cs="Arial"/>
                <w:b/>
                <w:sz w:val="18"/>
                <w:szCs w:val="18"/>
              </w:rPr>
              <w:id w:val="850784432"/>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sidRPr="00461109">
            <w:rPr>
              <w:rFonts w:cs="Arial"/>
              <w:b/>
              <w:sz w:val="18"/>
              <w:szCs w:val="18"/>
            </w:rPr>
            <w:t xml:space="preserve"> Policy</w:t>
          </w:r>
          <w:r w:rsidRPr="00461109">
            <w:rPr>
              <w:rFonts w:cs="Arial"/>
              <w:b/>
              <w:sz w:val="18"/>
              <w:szCs w:val="18"/>
            </w:rPr>
            <w:tab/>
          </w:r>
          <w:sdt>
            <w:sdtPr>
              <w:rPr>
                <w:rFonts w:cs="Arial"/>
                <w:b/>
                <w:sz w:val="18"/>
                <w:szCs w:val="18"/>
              </w:rPr>
              <w:id w:val="1685061231"/>
              <w14:checkbox>
                <w14:checked w14:val="0"/>
                <w14:checkedState w14:val="2612" w14:font="MS Gothic"/>
                <w14:uncheckedState w14:val="2610" w14:font="MS Gothic"/>
              </w14:checkbox>
            </w:sdtPr>
            <w:sdtContent>
              <w:r w:rsidR="009D05F3">
                <w:rPr>
                  <w:rFonts w:ascii="MS Gothic" w:eastAsia="MS Gothic" w:hAnsi="MS Gothic" w:cs="MS Gothic" w:hint="eastAsia"/>
                  <w:b/>
                  <w:sz w:val="18"/>
                  <w:szCs w:val="18"/>
                </w:rPr>
                <w:t>☐</w:t>
              </w:r>
            </w:sdtContent>
          </w:sdt>
          <w:r w:rsidRPr="00461109">
            <w:rPr>
              <w:rFonts w:cs="Arial"/>
              <w:b/>
              <w:sz w:val="18"/>
              <w:szCs w:val="18"/>
            </w:rPr>
            <w:t xml:space="preserve"> Procedure</w:t>
          </w:r>
          <w:r w:rsidRPr="00461109">
            <w:rPr>
              <w:rFonts w:cs="Arial"/>
              <w:b/>
              <w:sz w:val="18"/>
              <w:szCs w:val="18"/>
            </w:rPr>
            <w:tab/>
          </w:r>
          <w:sdt>
            <w:sdtPr>
              <w:rPr>
                <w:rFonts w:cs="Arial"/>
                <w:b/>
                <w:sz w:val="18"/>
                <w:szCs w:val="18"/>
              </w:rPr>
              <w:id w:val="2104060152"/>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Guideline</w:t>
          </w:r>
          <w:r>
            <w:rPr>
              <w:rFonts w:cs="Arial"/>
              <w:b/>
              <w:sz w:val="18"/>
              <w:szCs w:val="18"/>
            </w:rPr>
            <w:t xml:space="preserve">  </w:t>
          </w:r>
          <w:sdt>
            <w:sdtPr>
              <w:rPr>
                <w:rFonts w:cs="Arial"/>
                <w:b/>
                <w:sz w:val="18"/>
                <w:szCs w:val="18"/>
              </w:rPr>
              <w:id w:val="1628727922"/>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Pr>
              <w:rFonts w:cs="Arial"/>
              <w:b/>
              <w:sz w:val="18"/>
              <w:szCs w:val="18"/>
            </w:rPr>
            <w:t>Other</w:t>
          </w:r>
        </w:p>
      </w:tc>
      <w:tc>
        <w:tcPr>
          <w:tcW w:w="3307" w:type="dxa"/>
          <w:gridSpan w:val="2"/>
          <w:vMerge w:val="restart"/>
        </w:tcPr>
        <w:p w:rsidR="00070A3F" w:rsidP="00302C28" w14:paraId="6C3708AB" w14:textId="77777777">
          <w:pPr>
            <w:tabs>
              <w:tab w:val="left" w:pos="1152"/>
              <w:tab w:val="left" w:pos="2682"/>
              <w:tab w:val="left" w:pos="4212"/>
            </w:tabs>
            <w:spacing w:before="120" w:line="276" w:lineRule="auto"/>
            <w:rPr>
              <w:rFonts w:cs="Arial"/>
              <w:b/>
              <w:bCs/>
              <w:sz w:val="18"/>
              <w:szCs w:val="18"/>
            </w:rPr>
          </w:pPr>
          <w:r w:rsidRPr="00044C88">
            <w:rPr>
              <w:rFonts w:cs="Arial"/>
              <w:b/>
              <w:bCs/>
              <w:sz w:val="18"/>
              <w:szCs w:val="18"/>
            </w:rPr>
            <w:t xml:space="preserve">Last Review/Revision Date: </w:t>
          </w:r>
          <w:r>
            <w:rPr>
              <w:rFonts w:cs="Arial"/>
              <w:b/>
              <w:bCs/>
              <w:sz w:val="18"/>
              <w:szCs w:val="18"/>
            </w:rPr>
            <w:fldChar w:fldCharType="begin"/>
          </w:r>
          <w:r>
            <w:rPr>
              <w:rFonts w:cs="Arial"/>
              <w:b/>
              <w:bCs/>
              <w:sz w:val="18"/>
              <w:szCs w:val="18"/>
            </w:rPr>
            <w:instrText xml:space="preserve"> DOCVARIABLE "last periodic review date" \* MERGEFORMAT </w:instrText>
          </w:r>
          <w:r>
            <w:rPr>
              <w:rFonts w:cs="Arial"/>
              <w:b/>
              <w:bCs/>
              <w:sz w:val="18"/>
              <w:szCs w:val="18"/>
            </w:rPr>
            <w:fldChar w:fldCharType="separate"/>
          </w:r>
          <w:r>
            <w:rPr>
              <w:rFonts w:cs="Arial"/>
              <w:b/>
              <w:bCs/>
              <w:sz w:val="18"/>
              <w:szCs w:val="18"/>
            </w:rPr>
            <w:t>09/10/2024</w:t>
          </w:r>
          <w:r>
            <w:rPr>
              <w:rFonts w:cs="Arial"/>
              <w:b/>
              <w:bCs/>
              <w:sz w:val="18"/>
              <w:szCs w:val="18"/>
            </w:rPr>
            <w:fldChar w:fldCharType="end"/>
          </w:r>
        </w:p>
      </w:tc>
    </w:tr>
    <w:tr w14:paraId="633C9B25" w14:textId="77777777" w:rsidTr="0084024E">
      <w:tblPrEx>
        <w:tblW w:w="10142" w:type="dxa"/>
        <w:tblLook w:val="04A0"/>
      </w:tblPrEx>
      <w:trPr>
        <w:trHeight w:val="293"/>
      </w:trPr>
      <w:tc>
        <w:tcPr>
          <w:tcW w:w="3417" w:type="dxa"/>
          <w:vMerge w:val="restart"/>
        </w:tcPr>
        <w:p w:rsidR="00070A3F" w:rsidP="00302C28" w14:paraId="3F476037" w14:textId="77777777">
          <w:pPr>
            <w:rPr>
              <w:rFonts w:eastAsia="MS Gothic" w:cs="Arial"/>
              <w:b/>
              <w:sz w:val="16"/>
              <w:szCs w:val="16"/>
            </w:rPr>
          </w:pPr>
          <w:r>
            <w:rPr>
              <w:rFonts w:eastAsia="MS Gothic" w:cs="Arial"/>
              <w:b/>
              <w:sz w:val="18"/>
            </w:rPr>
            <w:t>Content Applies to Patient Care</w:t>
          </w:r>
          <w:r w:rsidRPr="00FE53C6">
            <w:rPr>
              <w:rFonts w:eastAsia="MS Gothic" w:cs="Arial"/>
              <w:b/>
              <w:sz w:val="18"/>
            </w:rPr>
            <w:t>:</w:t>
          </w:r>
          <w:r>
            <w:rPr>
              <w:rFonts w:eastAsia="MS Gothic" w:cs="Arial"/>
              <w:b/>
              <w:sz w:val="18"/>
            </w:rPr>
            <w:t xml:space="preserve"> </w:t>
          </w:r>
          <w:r w:rsidRPr="008C46F1">
            <w:rPr>
              <w:rFonts w:eastAsia="MS Gothic" w:cs="Arial"/>
              <w:b/>
              <w:sz w:val="16"/>
              <w:szCs w:val="16"/>
            </w:rPr>
            <w:t>(Select all that apply)</w:t>
          </w:r>
        </w:p>
        <w:p w:rsidR="00070A3F" w:rsidRPr="00FE53C6" w:rsidP="00302C28" w14:paraId="304302D6" w14:textId="77777777">
          <w:pPr>
            <w:rPr>
              <w:rFonts w:eastAsia="MS Gothic" w:cs="Arial"/>
              <w:b/>
              <w:sz w:val="18"/>
            </w:rPr>
          </w:pPr>
        </w:p>
        <w:p w:rsidR="00070A3F" w:rsidP="00302C28" w14:paraId="15D091F4" w14:textId="6C4CB814">
          <w:pPr>
            <w:tabs>
              <w:tab w:val="left" w:pos="2670"/>
              <w:tab w:val="left" w:pos="4830"/>
              <w:tab w:val="left" w:pos="5010"/>
              <w:tab w:val="left" w:pos="5100"/>
            </w:tabs>
            <w:rPr>
              <w:rFonts w:cs="Arial"/>
              <w:b/>
              <w:sz w:val="18"/>
              <w:szCs w:val="18"/>
            </w:rPr>
          </w:pPr>
          <w:sdt>
            <w:sdtPr>
              <w:rPr>
                <w:rFonts w:cs="Arial"/>
                <w:b/>
                <w:sz w:val="18"/>
                <w:szCs w:val="18"/>
              </w:rPr>
              <w:id w:val="1070126915"/>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Pr>
              <w:rFonts w:cs="Arial"/>
              <w:b/>
              <w:sz w:val="18"/>
              <w:szCs w:val="18"/>
            </w:rPr>
            <w:t xml:space="preserve"> </w:t>
          </w:r>
          <w:r w:rsidRPr="00461109">
            <w:rPr>
              <w:rFonts w:cs="Arial"/>
              <w:b/>
              <w:sz w:val="18"/>
              <w:szCs w:val="18"/>
            </w:rPr>
            <w:t>Adults</w:t>
          </w:r>
          <w:r>
            <w:rPr>
              <w:rFonts w:cs="Arial"/>
              <w:b/>
              <w:sz w:val="18"/>
              <w:szCs w:val="18"/>
            </w:rPr>
            <w:tab/>
            <w:t xml:space="preserve">         </w:t>
          </w:r>
          <w:sdt>
            <w:sdtPr>
              <w:rPr>
                <w:rFonts w:cs="Arial"/>
                <w:b/>
                <w:sz w:val="18"/>
                <w:szCs w:val="18"/>
              </w:rPr>
              <w:id w:val="167784793"/>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sidRPr="007910A9">
            <w:rPr>
              <w:rFonts w:cs="Arial"/>
              <w:b/>
              <w:sz w:val="18"/>
              <w:szCs w:val="18"/>
            </w:rPr>
            <w:t xml:space="preserve"> </w:t>
          </w:r>
          <w:r>
            <w:rPr>
              <w:rFonts w:cs="Arial"/>
              <w:b/>
              <w:sz w:val="18"/>
              <w:szCs w:val="18"/>
            </w:rPr>
            <w:t xml:space="preserve">Pediatrics (Under 18)                        </w:t>
          </w:r>
        </w:p>
      </w:tc>
      <w:tc>
        <w:tcPr>
          <w:tcW w:w="3418" w:type="dxa"/>
          <w:vMerge w:val="restart"/>
        </w:tcPr>
        <w:p w:rsidR="00070A3F" w:rsidP="00302C28" w14:paraId="7D7BF8AE" w14:textId="77777777">
          <w:pPr>
            <w:rPr>
              <w:rFonts w:cs="Arial"/>
              <w:b/>
              <w:sz w:val="16"/>
              <w:szCs w:val="16"/>
            </w:rPr>
          </w:pPr>
          <w:r>
            <w:rPr>
              <w:rFonts w:cs="Arial"/>
              <w:b/>
              <w:sz w:val="18"/>
              <w:szCs w:val="18"/>
            </w:rPr>
            <w:t>Content Applies to:</w:t>
          </w:r>
        </w:p>
        <w:p w:rsidR="00070A3F" w:rsidRPr="0020467C" w:rsidP="00302C28" w14:paraId="18003083" w14:textId="77777777">
          <w:pPr>
            <w:rPr>
              <w:rFonts w:cs="Arial"/>
              <w:b/>
              <w:sz w:val="16"/>
              <w:szCs w:val="16"/>
            </w:rPr>
          </w:pPr>
          <w:r w:rsidRPr="0020467C">
            <w:rPr>
              <w:rFonts w:cs="Arial"/>
              <w:b/>
              <w:sz w:val="16"/>
              <w:szCs w:val="16"/>
            </w:rPr>
            <w:t>(Select One)</w:t>
          </w:r>
        </w:p>
        <w:p w:rsidR="00070A3F" w:rsidP="00302C28" w14:paraId="5A51CA76" w14:textId="77777777">
          <w:pPr>
            <w:rPr>
              <w:rFonts w:cs="Arial"/>
              <w:b/>
              <w:sz w:val="18"/>
              <w:szCs w:val="18"/>
            </w:rPr>
          </w:pPr>
        </w:p>
        <w:p w:rsidR="00070A3F" w:rsidP="00302C28" w14:paraId="0ED0E58A" w14:textId="13636082">
          <w:pPr>
            <w:ind w:right="1425"/>
            <w:rPr>
              <w:rFonts w:cs="Arial"/>
              <w:b/>
              <w:sz w:val="18"/>
              <w:szCs w:val="18"/>
            </w:rPr>
          </w:pPr>
          <w:sdt>
            <w:sdtPr>
              <w:rPr>
                <w:rFonts w:cs="Arial"/>
                <w:b/>
                <w:sz w:val="18"/>
                <w:szCs w:val="18"/>
              </w:rPr>
              <w:id w:val="1867791180"/>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sidRPr="00634C68">
            <w:rPr>
              <w:rFonts w:cs="Arial"/>
              <w:b/>
              <w:sz w:val="18"/>
              <w:szCs w:val="18"/>
            </w:rPr>
            <w:t xml:space="preserve"> </w:t>
          </w:r>
          <w:r>
            <w:rPr>
              <w:rFonts w:cs="Arial"/>
              <w:b/>
              <w:sz w:val="18"/>
              <w:szCs w:val="18"/>
            </w:rPr>
            <w:t>Clinical</w:t>
          </w:r>
        </w:p>
        <w:p w:rsidR="00070A3F" w:rsidP="00302C28" w14:paraId="7F029C59" w14:textId="77777777">
          <w:pPr>
            <w:ind w:right="1425"/>
            <w:rPr>
              <w:rFonts w:cs="Arial"/>
              <w:b/>
              <w:sz w:val="18"/>
              <w:szCs w:val="18"/>
            </w:rPr>
          </w:pPr>
          <w:sdt>
            <w:sdtPr>
              <w:rPr>
                <w:rFonts w:cs="Arial"/>
                <w:b/>
                <w:sz w:val="18"/>
                <w:szCs w:val="18"/>
              </w:rPr>
              <w:id w:val="786078839"/>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8C46F1">
            <w:rPr>
              <w:rFonts w:cs="Arial"/>
              <w:b/>
              <w:sz w:val="18"/>
              <w:szCs w:val="18"/>
            </w:rPr>
            <w:t xml:space="preserve"> Administrative</w:t>
          </w:r>
        </w:p>
      </w:tc>
      <w:tc>
        <w:tcPr>
          <w:tcW w:w="3307" w:type="dxa"/>
          <w:gridSpan w:val="2"/>
          <w:vMerge/>
          <w:tcBorders>
            <w:bottom w:val="single" w:sz="4" w:space="0" w:color="auto"/>
          </w:tcBorders>
        </w:tcPr>
        <w:p w:rsidR="00070A3F" w:rsidRPr="002937AE" w:rsidP="00302C28" w14:paraId="2234EB89" w14:textId="77777777">
          <w:pPr>
            <w:spacing w:before="120"/>
            <w:rPr>
              <w:rFonts w:ascii="Times New Roman" w:hAnsi="Times New Roman" w:cs="Arial"/>
              <w:b/>
              <w:bCs/>
              <w:strike/>
              <w:sz w:val="18"/>
              <w:szCs w:val="18"/>
              <w:rPrChange w:id="0" w:author="Lauren (Davis) Leppert" w:date="2023-04-12T09:20:00Z">
                <w:rPr>
                  <w:rFonts w:cs="Arial"/>
                  <w:b/>
                  <w:bCs/>
                  <w:sz w:val="18"/>
                  <w:szCs w:val="18"/>
                </w:rPr>
              </w:rPrChange>
            </w:rPr>
          </w:pPr>
        </w:p>
      </w:tc>
    </w:tr>
    <w:tr w14:paraId="25C7AD90" w14:textId="77777777" w:rsidTr="00447D86">
      <w:tblPrEx>
        <w:tblW w:w="10142" w:type="dxa"/>
        <w:tblLook w:val="04A0"/>
      </w:tblPrEx>
      <w:trPr>
        <w:trHeight w:val="500"/>
      </w:trPr>
      <w:tc>
        <w:tcPr>
          <w:tcW w:w="3417" w:type="dxa"/>
          <w:vMerge/>
        </w:tcPr>
        <w:p w:rsidR="00302C28" w:rsidP="00302C28" w14:paraId="2718B302" w14:textId="77777777">
          <w:pPr>
            <w:rPr>
              <w:rFonts w:eastAsia="MS Gothic" w:cs="Arial"/>
              <w:b/>
              <w:sz w:val="18"/>
            </w:rPr>
          </w:pPr>
        </w:p>
      </w:tc>
      <w:tc>
        <w:tcPr>
          <w:tcW w:w="3418" w:type="dxa"/>
          <w:vMerge/>
        </w:tcPr>
        <w:p w:rsidR="00302C28" w:rsidP="00302C28" w14:paraId="79982206" w14:textId="77777777">
          <w:pPr>
            <w:rPr>
              <w:rFonts w:eastAsia="MS Gothic" w:cs="Arial"/>
              <w:b/>
              <w:sz w:val="18"/>
            </w:rPr>
          </w:pPr>
        </w:p>
      </w:tc>
      <w:tc>
        <w:tcPr>
          <w:tcW w:w="3307" w:type="dxa"/>
          <w:gridSpan w:val="2"/>
          <w:tcBorders>
            <w:bottom w:val="single" w:sz="4" w:space="0" w:color="auto"/>
          </w:tcBorders>
        </w:tcPr>
        <w:p w:rsidR="00302C28" w:rsidRPr="00BB63B8" w:rsidP="00302C28" w14:paraId="5C5E3943" w14:textId="670E53C5">
          <w:pPr>
            <w:tabs>
              <w:tab w:val="left" w:pos="1152"/>
              <w:tab w:val="left" w:pos="2682"/>
              <w:tab w:val="left" w:pos="4212"/>
            </w:tabs>
            <w:spacing w:before="120" w:line="276" w:lineRule="auto"/>
            <w:rPr>
              <w:rFonts w:cs="Arial"/>
              <w:b/>
              <w:bCs/>
              <w:sz w:val="18"/>
              <w:szCs w:val="18"/>
            </w:rPr>
          </w:pPr>
          <w:r w:rsidRPr="00BB63B8">
            <w:rPr>
              <w:rFonts w:cs="Arial"/>
              <w:b/>
              <w:bCs/>
              <w:sz w:val="18"/>
              <w:szCs w:val="18"/>
            </w:rPr>
            <w:t xml:space="preserve">Effective Date: </w:t>
          </w:r>
          <w:r w:rsidRPr="00BB63B8">
            <w:rPr>
              <w:rFonts w:ascii="Times New Roman" w:hAnsi="Times New Roman"/>
              <w:b/>
              <w:bCs/>
              <w:sz w:val="20"/>
            </w:rPr>
            <w:fldChar w:fldCharType="begin"/>
          </w:r>
          <w:r w:rsidRPr="00BB63B8">
            <w:rPr>
              <w:rFonts w:ascii="Times New Roman" w:hAnsi="Times New Roman"/>
              <w:b/>
              <w:bCs/>
              <w:sz w:val="20"/>
            </w:rPr>
            <w:instrText xml:space="preserve"> DOCVARIABLE "Date Approved" \* MERGEFORMAT </w:instrText>
          </w:r>
          <w:r w:rsidRPr="00BB63B8">
            <w:rPr>
              <w:rFonts w:ascii="Times New Roman" w:hAnsi="Times New Roman"/>
              <w:b/>
              <w:bCs/>
              <w:sz w:val="20"/>
            </w:rPr>
            <w:fldChar w:fldCharType="separate"/>
          </w:r>
          <w:r w:rsidRPr="00BB63B8">
            <w:rPr>
              <w:rFonts w:ascii="Times New Roman" w:hAnsi="Times New Roman"/>
              <w:b/>
              <w:bCs/>
              <w:sz w:val="20"/>
            </w:rPr>
            <w:t>09/10/2024</w:t>
          </w:r>
          <w:r w:rsidRPr="00BB63B8">
            <w:rPr>
              <w:rFonts w:ascii="Times New Roman" w:hAnsi="Times New Roman"/>
              <w:b/>
              <w:bCs/>
              <w:sz w:val="20"/>
            </w:rPr>
            <w:fldChar w:fldCharType="end"/>
          </w:r>
        </w:p>
      </w:tc>
    </w:tr>
    <w:tr w14:paraId="11D40D09" w14:textId="77777777" w:rsidTr="35438D0D">
      <w:tblPrEx>
        <w:tblW w:w="10142" w:type="dxa"/>
        <w:tblLook w:val="04A0"/>
      </w:tblPrEx>
      <w:trPr>
        <w:trHeight w:val="710"/>
      </w:trPr>
      <w:tc>
        <w:tcPr>
          <w:tcW w:w="9892" w:type="dxa"/>
          <w:gridSpan w:val="3"/>
          <w:tcBorders>
            <w:right w:val="nil"/>
          </w:tcBorders>
          <w:vAlign w:val="center"/>
        </w:tcPr>
        <w:p w:rsidR="006175CF" w:rsidP="00973487" w14:paraId="1ABD07A3" w14:textId="77777777">
          <w:pPr>
            <w:tabs>
              <w:tab w:val="left" w:pos="870"/>
              <w:tab w:val="left" w:pos="2490"/>
              <w:tab w:val="left" w:pos="3210"/>
              <w:tab w:val="left" w:pos="3960"/>
              <w:tab w:val="left" w:pos="5460"/>
            </w:tabs>
            <w:spacing w:before="120" w:line="276" w:lineRule="auto"/>
            <w:rPr>
              <w:rFonts w:cs="Arial"/>
              <w:b/>
              <w:sz w:val="18"/>
              <w:szCs w:val="18"/>
            </w:rPr>
          </w:pPr>
          <w:r>
            <w:rPr>
              <w:rFonts w:cs="Arial"/>
              <w:b/>
              <w:sz w:val="18"/>
              <w:szCs w:val="18"/>
            </w:rPr>
            <w:t xml:space="preserve">Scope:     </w:t>
          </w:r>
          <w:sdt>
            <w:sdtPr>
              <w:rPr>
                <w:rFonts w:cs="Arial"/>
                <w:b/>
                <w:sz w:val="18"/>
                <w:szCs w:val="18"/>
              </w:rPr>
              <w:id w:val="1510190182"/>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Enterprise</w:t>
          </w:r>
          <w:r w:rsidR="00883BAE">
            <w:rPr>
              <w:rFonts w:cs="Arial"/>
              <w:b/>
              <w:sz w:val="18"/>
              <w:szCs w:val="18"/>
            </w:rPr>
            <w:t xml:space="preserve">   </w:t>
          </w:r>
          <w:r w:rsidR="00160691">
            <w:rPr>
              <w:rFonts w:cs="Arial"/>
              <w:b/>
              <w:sz w:val="18"/>
              <w:szCs w:val="18"/>
            </w:rPr>
            <w:t xml:space="preserve"> </w:t>
          </w:r>
          <w:sdt>
            <w:sdtPr>
              <w:rPr>
                <w:rFonts w:cs="Arial"/>
                <w:b/>
                <w:sz w:val="18"/>
                <w:szCs w:val="18"/>
              </w:rPr>
              <w:id w:val="255121769"/>
              <w14:checkbox>
                <w14:checked w14:val="0"/>
                <w14:checkedState w14:val="2612" w14:font="MS Gothic"/>
                <w14:uncheckedState w14:val="2610" w14:font="MS Gothic"/>
              </w14:checkbox>
            </w:sdtPr>
            <w:sdtContent>
              <w:r w:rsidRPr="002F75BD">
                <w:rPr>
                  <w:rFonts w:ascii="MS Gothic" w:eastAsia="MS Gothic" w:hAnsi="MS Gothic" w:cs="MS Gothic"/>
                  <w:b/>
                  <w:sz w:val="18"/>
                  <w:szCs w:val="18"/>
                </w:rPr>
                <w:t>☐</w:t>
              </w:r>
            </w:sdtContent>
          </w:sdt>
          <w:r w:rsidRPr="002F75BD">
            <w:rPr>
              <w:rFonts w:cs="Arial"/>
              <w:b/>
              <w:sz w:val="18"/>
              <w:szCs w:val="18"/>
            </w:rPr>
            <w:t xml:space="preserve"> </w:t>
          </w:r>
          <w:r w:rsidR="00160691">
            <w:rPr>
              <w:rFonts w:cs="Arial"/>
              <w:b/>
              <w:sz w:val="18"/>
              <w:szCs w:val="18"/>
            </w:rPr>
            <w:t>M</w:t>
          </w:r>
          <w:r w:rsidR="004E6AC9">
            <w:rPr>
              <w:rFonts w:cs="Arial"/>
              <w:b/>
              <w:sz w:val="18"/>
              <w:szCs w:val="18"/>
            </w:rPr>
            <w:t>W</w:t>
          </w:r>
          <w:r w:rsidR="00160691">
            <w:rPr>
              <w:rFonts w:cs="Arial"/>
              <w:b/>
              <w:sz w:val="18"/>
              <w:szCs w:val="18"/>
            </w:rPr>
            <w:t xml:space="preserve"> Region</w:t>
          </w:r>
          <w:r w:rsidR="00883BAE">
            <w:rPr>
              <w:rFonts w:cs="Arial"/>
              <w:b/>
              <w:sz w:val="18"/>
              <w:szCs w:val="18"/>
            </w:rPr>
            <w:t xml:space="preserve">   </w:t>
          </w:r>
          <w:r>
            <w:rPr>
              <w:rFonts w:cs="Arial"/>
              <w:b/>
              <w:sz w:val="18"/>
              <w:szCs w:val="18"/>
            </w:rPr>
            <w:t xml:space="preserve">  </w:t>
          </w:r>
          <w:sdt>
            <w:sdtPr>
              <w:rPr>
                <w:rFonts w:cs="Arial"/>
                <w:b/>
                <w:sz w:val="18"/>
                <w:szCs w:val="18"/>
              </w:rPr>
              <w:id w:val="1592212139"/>
              <w14:checkbox>
                <w14:checked w14:val="0"/>
                <w14:checkedState w14:val="2612" w14:font="MS Gothic"/>
                <w14:uncheckedState w14:val="2610" w14:font="MS Gothic"/>
              </w14:checkbox>
            </w:sdtPr>
            <w:sdtContent>
              <w:r>
                <w:rPr>
                  <w:rFonts w:ascii="MS Gothic" w:eastAsia="MS Gothic" w:hAnsi="MS Gothic" w:cs="MS Gothic" w:hint="eastAsia"/>
                  <w:b/>
                  <w:sz w:val="18"/>
                  <w:szCs w:val="18"/>
                </w:rPr>
                <w:t>☐</w:t>
              </w:r>
            </w:sdtContent>
          </w:sdt>
          <w:r w:rsidRPr="00461109">
            <w:rPr>
              <w:rFonts w:cs="Arial"/>
              <w:b/>
              <w:sz w:val="18"/>
              <w:szCs w:val="18"/>
            </w:rPr>
            <w:t xml:space="preserve"> </w:t>
          </w:r>
          <w:r w:rsidR="00160691">
            <w:rPr>
              <w:rFonts w:cs="Arial"/>
              <w:b/>
              <w:sz w:val="18"/>
              <w:szCs w:val="18"/>
            </w:rPr>
            <w:t>S</w:t>
          </w:r>
          <w:r w:rsidR="004E6AC9">
            <w:rPr>
              <w:rFonts w:cs="Arial"/>
              <w:b/>
              <w:sz w:val="18"/>
              <w:szCs w:val="18"/>
            </w:rPr>
            <w:t>E</w:t>
          </w:r>
          <w:r w:rsidR="00160691">
            <w:rPr>
              <w:rFonts w:cs="Arial"/>
              <w:b/>
              <w:sz w:val="18"/>
              <w:szCs w:val="18"/>
            </w:rPr>
            <w:t xml:space="preserve"> Region</w:t>
          </w:r>
          <w:r>
            <w:rPr>
              <w:rFonts w:cs="Arial"/>
              <w:b/>
              <w:sz w:val="18"/>
              <w:szCs w:val="18"/>
            </w:rPr>
            <w:t xml:space="preserve"> </w:t>
          </w:r>
        </w:p>
        <w:p w:rsidR="00E37E38" w:rsidP="00973487" w14:paraId="35C54A41" w14:textId="7648DF9A">
          <w:pPr>
            <w:tabs>
              <w:tab w:val="left" w:pos="870"/>
              <w:tab w:val="left" w:pos="2490"/>
              <w:tab w:val="left" w:pos="3210"/>
              <w:tab w:val="left" w:pos="3960"/>
              <w:tab w:val="left" w:pos="5460"/>
            </w:tabs>
            <w:spacing w:before="120" w:line="276" w:lineRule="auto"/>
            <w:rPr>
              <w:rFonts w:cs="Arial"/>
              <w:b/>
              <w:sz w:val="18"/>
              <w:szCs w:val="18"/>
            </w:rPr>
          </w:pPr>
          <w:sdt>
            <w:sdtPr>
              <w:rPr>
                <w:rFonts w:cs="Arial"/>
                <w:b/>
                <w:sz w:val="18"/>
                <w:szCs w:val="18"/>
              </w:rPr>
              <w:id w:val="625514408"/>
              <w14:checkbox>
                <w14:checked w14:val="0"/>
                <w14:checkedState w14:val="2612" w14:font="MS Gothic"/>
                <w14:uncheckedState w14:val="2610" w14:font="MS Gothic"/>
              </w14:checkbox>
            </w:sdtPr>
            <w:sdtContent>
              <w:r>
                <w:rPr>
                  <w:rFonts w:ascii="MS Gothic" w:eastAsia="MS Gothic" w:hAnsi="MS Gothic" w:cs="MS Gothic"/>
                  <w:b/>
                  <w:sz w:val="18"/>
                  <w:szCs w:val="18"/>
                </w:rPr>
                <w:t>☐</w:t>
              </w:r>
            </w:sdtContent>
          </w:sdt>
          <w:r>
            <w:rPr>
              <w:rFonts w:cs="Arial"/>
              <w:b/>
              <w:sz w:val="18"/>
              <w:szCs w:val="18"/>
            </w:rPr>
            <w:t xml:space="preserve"> WI      </w:t>
          </w:r>
          <w:sdt>
            <w:sdtPr>
              <w:rPr>
                <w:rFonts w:cs="Arial"/>
                <w:b/>
                <w:sz w:val="18"/>
                <w:szCs w:val="18"/>
              </w:rPr>
              <w:id w:val="508963670"/>
              <w14:checkbox>
                <w14:checked w14:val="0"/>
                <w14:checkedState w14:val="2612" w14:font="MS Gothic"/>
                <w14:uncheckedState w14:val="2610" w14:font="MS Gothic"/>
              </w14:checkbox>
            </w:sdtPr>
            <w:sdtContent>
              <w:r>
                <w:rPr>
                  <w:rFonts w:ascii="MS Gothic" w:eastAsia="MS Gothic" w:hAnsi="MS Gothic" w:cs="MS Gothic"/>
                  <w:b/>
                  <w:sz w:val="18"/>
                  <w:szCs w:val="18"/>
                </w:rPr>
                <w:t>☐</w:t>
              </w:r>
            </w:sdtContent>
          </w:sdt>
          <w:r>
            <w:rPr>
              <w:rFonts w:cs="Arial"/>
              <w:b/>
              <w:sz w:val="18"/>
              <w:szCs w:val="18"/>
            </w:rPr>
            <w:t xml:space="preserve"> IL    </w:t>
          </w:r>
          <w:sdt>
            <w:sdtPr>
              <w:rPr>
                <w:rFonts w:cs="Arial"/>
                <w:b/>
                <w:sz w:val="18"/>
                <w:szCs w:val="18"/>
              </w:rPr>
              <w:id w:val="31090602"/>
              <w14:checkbox>
                <w14:checked w14:val="0"/>
                <w14:checkedState w14:val="2612" w14:font="MS Gothic"/>
                <w14:uncheckedState w14:val="2610" w14:font="MS Gothic"/>
              </w14:checkbox>
            </w:sdtPr>
            <w:sdtContent>
              <w:r w:rsidR="009D05F3">
                <w:rPr>
                  <w:rFonts w:ascii="MS Gothic" w:eastAsia="MS Gothic" w:hAnsi="MS Gothic" w:cs="MS Gothic" w:hint="eastAsia"/>
                  <w:b/>
                  <w:sz w:val="18"/>
                  <w:szCs w:val="18"/>
                </w:rPr>
                <w:t>☐</w:t>
              </w:r>
            </w:sdtContent>
          </w:sdt>
          <w:r w:rsidRPr="00461109" w:rsidR="00302C28">
            <w:rPr>
              <w:rFonts w:cs="Arial"/>
              <w:b/>
              <w:sz w:val="18"/>
              <w:szCs w:val="18"/>
            </w:rPr>
            <w:t xml:space="preserve"> </w:t>
          </w:r>
          <w:r w:rsidR="00B45479">
            <w:rPr>
              <w:rFonts w:cs="Arial"/>
              <w:b/>
              <w:sz w:val="18"/>
              <w:szCs w:val="18"/>
            </w:rPr>
            <w:t xml:space="preserve"> Greater Charlotte Market   </w:t>
          </w:r>
          <w:sdt>
            <w:sdtPr>
              <w:rPr>
                <w:rFonts w:cs="Arial"/>
                <w:b/>
                <w:sz w:val="18"/>
                <w:szCs w:val="18"/>
              </w:rPr>
              <w:id w:val="1708554607"/>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Pr="00461109" w:rsidR="00B45479">
            <w:rPr>
              <w:rFonts w:cs="Arial"/>
              <w:b/>
              <w:sz w:val="18"/>
              <w:szCs w:val="18"/>
            </w:rPr>
            <w:t xml:space="preserve"> </w:t>
          </w:r>
          <w:r w:rsidRPr="007032C7" w:rsidR="00B45479">
            <w:rPr>
              <w:rFonts w:cs="Arial"/>
              <w:b/>
              <w:sz w:val="18"/>
              <w:szCs w:val="18"/>
            </w:rPr>
            <w:t xml:space="preserve">Navicent </w:t>
          </w:r>
          <w:r w:rsidR="00C37F4D">
            <w:rPr>
              <w:rFonts w:cs="Arial"/>
              <w:b/>
              <w:sz w:val="18"/>
              <w:szCs w:val="18"/>
            </w:rPr>
            <w:t xml:space="preserve">Market </w:t>
          </w:r>
          <w:r w:rsidR="00B45479">
            <w:rPr>
              <w:rFonts w:cs="Arial"/>
              <w:b/>
              <w:sz w:val="18"/>
              <w:szCs w:val="18"/>
            </w:rPr>
            <w:t xml:space="preserve">  </w:t>
          </w:r>
          <w:sdt>
            <w:sdtPr>
              <w:rPr>
                <w:rFonts w:cs="Arial"/>
                <w:b/>
                <w:sz w:val="18"/>
                <w:szCs w:val="18"/>
              </w:rPr>
              <w:id w:val="381715958"/>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Pr="00461109" w:rsidR="00B45479">
            <w:rPr>
              <w:rFonts w:cs="Arial"/>
              <w:b/>
              <w:sz w:val="18"/>
              <w:szCs w:val="18"/>
            </w:rPr>
            <w:t xml:space="preserve"> </w:t>
          </w:r>
          <w:r w:rsidR="00B45479">
            <w:rPr>
              <w:rFonts w:cs="Arial"/>
              <w:b/>
              <w:sz w:val="18"/>
              <w:szCs w:val="18"/>
            </w:rPr>
            <w:t xml:space="preserve">Wake </w:t>
          </w:r>
          <w:r w:rsidR="009B4FCF">
            <w:rPr>
              <w:rFonts w:cs="Arial"/>
              <w:b/>
              <w:sz w:val="18"/>
              <w:szCs w:val="18"/>
            </w:rPr>
            <w:t>Market</w:t>
          </w:r>
          <w:r w:rsidR="00B45479">
            <w:rPr>
              <w:rFonts w:cs="Arial"/>
              <w:b/>
              <w:sz w:val="18"/>
              <w:szCs w:val="18"/>
            </w:rPr>
            <w:t xml:space="preserve">   </w:t>
          </w:r>
          <w:sdt>
            <w:sdtPr>
              <w:rPr>
                <w:rFonts w:cs="Arial"/>
                <w:b/>
                <w:sz w:val="18"/>
                <w:szCs w:val="18"/>
              </w:rPr>
              <w:id w:val="340685418"/>
              <w14:checkbox>
                <w14:checked w14:val="0"/>
                <w14:checkedState w14:val="2612" w14:font="MS Gothic"/>
                <w14:uncheckedState w14:val="2610" w14:font="MS Gothic"/>
              </w14:checkbox>
            </w:sdtPr>
            <w:sdtContent>
              <w:r w:rsidR="00B45479">
                <w:rPr>
                  <w:rFonts w:ascii="MS Gothic" w:eastAsia="MS Gothic" w:hAnsi="MS Gothic" w:cs="MS Gothic" w:hint="eastAsia"/>
                  <w:b/>
                  <w:sz w:val="18"/>
                  <w:szCs w:val="18"/>
                </w:rPr>
                <w:t>☐</w:t>
              </w:r>
            </w:sdtContent>
          </w:sdt>
          <w:r w:rsidR="00B45479">
            <w:rPr>
              <w:rFonts w:cs="Arial"/>
              <w:b/>
              <w:sz w:val="18"/>
              <w:szCs w:val="18"/>
            </w:rPr>
            <w:t xml:space="preserve">  Floyd </w:t>
          </w:r>
          <w:r w:rsidR="009B4FCF">
            <w:rPr>
              <w:rFonts w:cs="Arial"/>
              <w:b/>
              <w:sz w:val="18"/>
              <w:szCs w:val="18"/>
            </w:rPr>
            <w:t xml:space="preserve">Market </w:t>
          </w:r>
        </w:p>
        <w:p w:rsidR="00302C28" w:rsidRPr="00461109" w:rsidP="00973487" w14:paraId="6CBE60B9" w14:textId="462DDC4B">
          <w:pPr>
            <w:tabs>
              <w:tab w:val="left" w:pos="870"/>
              <w:tab w:val="left" w:pos="2490"/>
              <w:tab w:val="left" w:pos="3210"/>
              <w:tab w:val="left" w:pos="3960"/>
              <w:tab w:val="left" w:pos="5460"/>
            </w:tabs>
            <w:spacing w:before="120" w:line="276" w:lineRule="auto"/>
            <w:jc w:val="both"/>
            <w:rPr>
              <w:rFonts w:cs="Arial"/>
              <w:b/>
              <w:sz w:val="18"/>
              <w:szCs w:val="18"/>
            </w:rPr>
          </w:pPr>
          <w:sdt>
            <w:sdtPr>
              <w:rPr>
                <w:rFonts w:cs="Arial"/>
                <w:b/>
                <w:sz w:val="18"/>
                <w:szCs w:val="18"/>
              </w:rPr>
              <w:id w:val="1806576148"/>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sidR="00883BAE">
            <w:rPr>
              <w:rFonts w:cs="Arial"/>
              <w:b/>
              <w:sz w:val="18"/>
              <w:szCs w:val="18"/>
            </w:rPr>
            <w:t xml:space="preserve"> Entity Only (Entity Name):</w:t>
          </w:r>
          <w:r w:rsidR="00E37E38">
            <w:rPr>
              <w:rFonts w:cs="Arial"/>
              <w:b/>
              <w:sz w:val="18"/>
              <w:szCs w:val="18"/>
            </w:rPr>
            <w:t xml:space="preserve"> </w:t>
          </w:r>
          <w:r w:rsidR="005E1A62">
            <w:rPr>
              <w:rFonts w:cs="Arial"/>
              <w:b/>
              <w:sz w:val="18"/>
              <w:szCs w:val="18"/>
            </w:rPr>
            <w:t>HPMC</w:t>
          </w:r>
          <w:r w:rsidR="00E37E38">
            <w:rPr>
              <w:rFonts w:cs="Arial"/>
              <w:b/>
              <w:sz w:val="18"/>
              <w:szCs w:val="18"/>
            </w:rPr>
            <w:t xml:space="preserve">           </w:t>
          </w:r>
          <w:r w:rsidR="00883BAE">
            <w:rPr>
              <w:rFonts w:cs="Arial"/>
              <w:b/>
              <w:sz w:val="18"/>
              <w:szCs w:val="18"/>
            </w:rPr>
            <w:t xml:space="preserve">                  </w:t>
          </w:r>
          <w:sdt>
            <w:sdtPr>
              <w:rPr>
                <w:rFonts w:cs="Arial"/>
                <w:b/>
                <w:sz w:val="18"/>
                <w:szCs w:val="18"/>
              </w:rPr>
              <w:id w:val="2020226139"/>
              <w14:checkbox>
                <w14:checked w14:val="1"/>
                <w14:checkedState w14:val="2612" w14:font="MS Gothic"/>
                <w14:uncheckedState w14:val="2610" w14:font="MS Gothic"/>
              </w14:checkbox>
            </w:sdtPr>
            <w:sdtContent>
              <w:r w:rsidR="005E1A62">
                <w:rPr>
                  <w:rFonts w:ascii="MS Gothic" w:eastAsia="MS Gothic" w:hAnsi="MS Gothic" w:cs="Arial" w:hint="eastAsia"/>
                  <w:b/>
                  <w:sz w:val="18"/>
                  <w:szCs w:val="18"/>
                </w:rPr>
                <w:t>☒</w:t>
              </w:r>
            </w:sdtContent>
          </w:sdt>
          <w:r w:rsidRPr="00461109">
            <w:rPr>
              <w:rFonts w:cs="Arial"/>
              <w:b/>
              <w:sz w:val="18"/>
              <w:szCs w:val="18"/>
            </w:rPr>
            <w:t xml:space="preserve"> </w:t>
          </w:r>
          <w:r>
            <w:rPr>
              <w:rFonts w:cs="Arial"/>
              <w:b/>
              <w:sz w:val="18"/>
              <w:szCs w:val="18"/>
            </w:rPr>
            <w:t>Department Only (Department Name):</w:t>
          </w:r>
          <w:r w:rsidR="00700076">
            <w:rPr>
              <w:rFonts w:cs="Arial"/>
              <w:b/>
              <w:sz w:val="18"/>
              <w:szCs w:val="18"/>
            </w:rPr>
            <w:t xml:space="preserve"> </w:t>
          </w:r>
          <w:r w:rsidR="005E1A62">
            <w:rPr>
              <w:rFonts w:cs="Arial"/>
              <w:b/>
              <w:sz w:val="18"/>
              <w:szCs w:val="18"/>
            </w:rPr>
            <w:t>Operating Room</w:t>
          </w:r>
        </w:p>
      </w:tc>
      <w:tc>
        <w:tcPr>
          <w:tcW w:w="250" w:type="dxa"/>
          <w:tcBorders>
            <w:left w:val="nil"/>
          </w:tcBorders>
        </w:tcPr>
        <w:p w:rsidR="00302C28" w:rsidRPr="00461109" w:rsidP="00302C28" w14:paraId="5E91937D" w14:textId="77777777">
          <w:pPr>
            <w:tabs>
              <w:tab w:val="left" w:pos="720"/>
              <w:tab w:val="left" w:pos="1962"/>
              <w:tab w:val="left" w:pos="3312"/>
              <w:tab w:val="right" w:pos="8640"/>
            </w:tabs>
            <w:spacing w:before="120" w:line="276" w:lineRule="auto"/>
            <w:rPr>
              <w:rFonts w:cs="Arial"/>
              <w:b/>
              <w:sz w:val="18"/>
              <w:szCs w:val="18"/>
            </w:rPr>
          </w:pPr>
        </w:p>
      </w:tc>
    </w:tr>
  </w:tbl>
  <w:p w:rsidR="00FB2AB1" w:rsidP="00FB2AB1" w14:paraId="0F04D7F5" w14:textId="77777777">
    <w:pPr>
      <w:tabs>
        <w:tab w:val="center" w:pos="4320"/>
        <w:tab w:val="right" w:pos="8640"/>
      </w:tabs>
      <w:rPr>
        <w:lang w:val="x-none"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4B7A"/>
    <w:multiLevelType w:val="hybridMultilevel"/>
    <w:tmpl w:val="90A812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095E1A"/>
    <w:multiLevelType w:val="hybridMultilevel"/>
    <w:tmpl w:val="92DC65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5707F1"/>
    <w:multiLevelType w:val="hybridMultilevel"/>
    <w:tmpl w:val="78E68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965C0F"/>
    <w:multiLevelType w:val="hybridMultilevel"/>
    <w:tmpl w:val="92DC65D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36958D5"/>
    <w:multiLevelType w:val="hybridMultilevel"/>
    <w:tmpl w:val="68424C5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5">
    <w:nsid w:val="153246AA"/>
    <w:multiLevelType w:val="hybridMultilevel"/>
    <w:tmpl w:val="C7FA55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9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631252"/>
    <w:multiLevelType w:val="hybridMultilevel"/>
    <w:tmpl w:val="34FE49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A8E5DB0"/>
    <w:multiLevelType w:val="hybridMultilevel"/>
    <w:tmpl w:val="F9CA7A4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14F18AB"/>
    <w:multiLevelType w:val="hybridMultilevel"/>
    <w:tmpl w:val="10306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D141A5"/>
    <w:multiLevelType w:val="hybridMultilevel"/>
    <w:tmpl w:val="7BBEAB04"/>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
    <w:nsid w:val="252409FD"/>
    <w:multiLevelType w:val="hybridMultilevel"/>
    <w:tmpl w:val="E2DA49C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1">
    <w:nsid w:val="27BF731C"/>
    <w:multiLevelType w:val="hybridMultilevel"/>
    <w:tmpl w:val="7CA40E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7014F8"/>
    <w:multiLevelType w:val="hybridMultilevel"/>
    <w:tmpl w:val="1C100D3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7445AF"/>
    <w:multiLevelType w:val="hybridMultilevel"/>
    <w:tmpl w:val="E3E455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39A68FC"/>
    <w:multiLevelType w:val="hybridMultilevel"/>
    <w:tmpl w:val="F0DA5F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541360A"/>
    <w:multiLevelType w:val="hybridMultilevel"/>
    <w:tmpl w:val="F0DA5F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613320D"/>
    <w:multiLevelType w:val="hybridMultilevel"/>
    <w:tmpl w:val="13ECC33E"/>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38292F83"/>
    <w:multiLevelType w:val="hybridMultilevel"/>
    <w:tmpl w:val="549C43D0"/>
    <w:lvl w:ilvl="0">
      <w:start w:val="1"/>
      <w:numFmt w:val="upperLetter"/>
      <w:lvlText w:val="%1."/>
      <w:lvlJc w:val="left"/>
      <w:pPr>
        <w:ind w:left="360" w:hanging="360"/>
      </w:pPr>
      <w:rPr>
        <w:rFonts w:ascii="Arial" w:hAnsi="Arial" w:cs="Arial"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FF43746"/>
    <w:multiLevelType w:val="hybridMultilevel"/>
    <w:tmpl w:val="045ECE64"/>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1B63586"/>
    <w:multiLevelType w:val="hybridMultilevel"/>
    <w:tmpl w:val="3C4C9E7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start w:val="1"/>
      <w:numFmt w:val="bullet"/>
      <w:pStyle w:val="Header0"/>
      <w:lvlText w:val=""/>
      <w:lvlJc w:val="left"/>
      <w:pPr>
        <w:ind w:left="7200" w:hanging="360"/>
      </w:pPr>
      <w:rPr>
        <w:rFonts w:ascii="Wingdings" w:hAnsi="Wingdings" w:hint="default"/>
      </w:rPr>
    </w:lvl>
  </w:abstractNum>
  <w:abstractNum w:abstractNumId="20">
    <w:nsid w:val="47D91BA2"/>
    <w:multiLevelType w:val="hybridMultilevel"/>
    <w:tmpl w:val="7BA837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DD1A35"/>
    <w:multiLevelType w:val="hybridMultilevel"/>
    <w:tmpl w:val="C7FA55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9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A46BA5"/>
    <w:multiLevelType w:val="hybridMultilevel"/>
    <w:tmpl w:val="8BA60274"/>
    <w:lvl w:ilvl="0">
      <w:start w:val="1"/>
      <w:numFmt w:val="lowerLetter"/>
      <w:lvlText w:val="%1."/>
      <w:lvlJc w:val="left"/>
      <w:pPr>
        <w:ind w:left="1440" w:hanging="360"/>
      </w:pPr>
      <w:rPr>
        <w:rFonts w:ascii="Arial" w:eastAsia="Times New Roman" w:hAnsi="Arial"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4076333"/>
    <w:multiLevelType w:val="hybridMultilevel"/>
    <w:tmpl w:val="C2246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8752A8"/>
    <w:multiLevelType w:val="hybridMultilevel"/>
    <w:tmpl w:val="87D099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1B95277"/>
    <w:multiLevelType w:val="hybridMultilevel"/>
    <w:tmpl w:val="ECF882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3A0AC1"/>
    <w:multiLevelType w:val="hybridMultilevel"/>
    <w:tmpl w:val="5D202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2B056E5"/>
    <w:multiLevelType w:val="hybridMultilevel"/>
    <w:tmpl w:val="F0DA5F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3E51257"/>
    <w:multiLevelType w:val="hybridMultilevel"/>
    <w:tmpl w:val="86D05128"/>
    <w:lvl w:ilvl="0">
      <w:start w:val="1"/>
      <w:numFmt w:val="upperLetter"/>
      <w:lvlText w:val="%1."/>
      <w:lvlJc w:val="left"/>
      <w:pPr>
        <w:ind w:left="360" w:hanging="360"/>
      </w:pPr>
      <w:rPr>
        <w:rFonts w:ascii="Arial" w:hAnsi="Arial" w:cs="Arial"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194F8F"/>
    <w:multiLevelType w:val="hybridMultilevel"/>
    <w:tmpl w:val="6CB28376"/>
    <w:lvl w:ilvl="0">
      <w:start w:val="1"/>
      <w:numFmt w:val="lowerLetter"/>
      <w:pStyle w:val="Style2"/>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83D2B61"/>
    <w:multiLevelType w:val="hybridMultilevel"/>
    <w:tmpl w:val="19CC1234"/>
    <w:lvl w:ilvl="0">
      <w:start w:val="1"/>
      <w:numFmt w:val="upperLetter"/>
      <w:pStyle w:val="ListParagraph"/>
      <w:lvlText w:val="%1."/>
      <w:lvlJc w:val="left"/>
      <w:pPr>
        <w:ind w:left="360" w:hanging="360"/>
      </w:pPr>
      <w:rPr>
        <w:rFonts w:ascii="Arial" w:hAnsi="Arial" w:cs="Arial" w:hint="default"/>
        <w:sz w:val="22"/>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74FE07D7"/>
    <w:multiLevelType w:val="hybridMultilevel"/>
    <w:tmpl w:val="8E6E9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abstractNum w:abstractNumId="33">
    <w:nsid w:val="7DC07797"/>
    <w:multiLevelType w:val="hybridMultilevel"/>
    <w:tmpl w:val="1C008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4708143">
    <w:abstractNumId w:val="17"/>
  </w:num>
  <w:num w:numId="2" w16cid:durableId="433093843">
    <w:abstractNumId w:val="20"/>
  </w:num>
  <w:num w:numId="3" w16cid:durableId="1074156757">
    <w:abstractNumId w:val="29"/>
  </w:num>
  <w:num w:numId="4" w16cid:durableId="650211892">
    <w:abstractNumId w:val="32"/>
  </w:num>
  <w:num w:numId="5" w16cid:durableId="1858616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17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27918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973849">
    <w:abstractNumId w:val="7"/>
  </w:num>
  <w:num w:numId="9" w16cid:durableId="27876822">
    <w:abstractNumId w:val="5"/>
  </w:num>
  <w:num w:numId="10" w16cid:durableId="1305509139">
    <w:abstractNumId w:val="28"/>
  </w:num>
  <w:num w:numId="11" w16cid:durableId="2112780699">
    <w:abstractNumId w:val="30"/>
  </w:num>
  <w:num w:numId="12" w16cid:durableId="109666417">
    <w:abstractNumId w:val="30"/>
  </w:num>
  <w:num w:numId="13" w16cid:durableId="1585263563">
    <w:abstractNumId w:val="30"/>
  </w:num>
  <w:num w:numId="14" w16cid:durableId="1020930232">
    <w:abstractNumId w:val="30"/>
    <w:lvlOverride w:ilvl="0">
      <w:startOverride w:val="1"/>
    </w:lvlOverride>
  </w:num>
  <w:num w:numId="15" w16cid:durableId="438305141">
    <w:abstractNumId w:val="5"/>
  </w:num>
  <w:num w:numId="16" w16cid:durableId="703407625">
    <w:abstractNumId w:val="9"/>
  </w:num>
  <w:num w:numId="17" w16cid:durableId="1111322817">
    <w:abstractNumId w:val="5"/>
    <w:lvlOverride w:ilvl="0">
      <w:startOverride w:val="1"/>
    </w:lvlOverride>
  </w:num>
  <w:num w:numId="18" w16cid:durableId="2016571967">
    <w:abstractNumId w:val="8"/>
  </w:num>
  <w:num w:numId="19" w16cid:durableId="1306469856">
    <w:abstractNumId w:val="27"/>
  </w:num>
  <w:num w:numId="20" w16cid:durableId="113409813">
    <w:abstractNumId w:val="13"/>
  </w:num>
  <w:num w:numId="21" w16cid:durableId="51469885">
    <w:abstractNumId w:val="25"/>
  </w:num>
  <w:num w:numId="22" w16cid:durableId="1293632524">
    <w:abstractNumId w:val="14"/>
  </w:num>
  <w:num w:numId="23" w16cid:durableId="2092577646">
    <w:abstractNumId w:val="23"/>
  </w:num>
  <w:num w:numId="24" w16cid:durableId="96607386">
    <w:abstractNumId w:val="15"/>
  </w:num>
  <w:num w:numId="25" w16cid:durableId="1765222244">
    <w:abstractNumId w:val="22"/>
  </w:num>
  <w:num w:numId="26" w16cid:durableId="553196857">
    <w:abstractNumId w:val="16"/>
  </w:num>
  <w:num w:numId="27" w16cid:durableId="822237133">
    <w:abstractNumId w:val="33"/>
  </w:num>
  <w:num w:numId="28" w16cid:durableId="772551003">
    <w:abstractNumId w:val="26"/>
  </w:num>
  <w:num w:numId="29" w16cid:durableId="431121574">
    <w:abstractNumId w:val="10"/>
  </w:num>
  <w:num w:numId="30" w16cid:durableId="1521972835">
    <w:abstractNumId w:val="31"/>
  </w:num>
  <w:num w:numId="31" w16cid:durableId="1859351293">
    <w:abstractNumId w:val="5"/>
    <w:lvlOverride w:ilvl="0">
      <w:startOverride w:val="1"/>
    </w:lvlOverride>
  </w:num>
  <w:num w:numId="32" w16cid:durableId="1931160405">
    <w:abstractNumId w:val="5"/>
  </w:num>
  <w:num w:numId="33" w16cid:durableId="826363886">
    <w:abstractNumId w:val="5"/>
  </w:num>
  <w:num w:numId="34" w16cid:durableId="2063480531">
    <w:abstractNumId w:val="5"/>
  </w:num>
  <w:num w:numId="35" w16cid:durableId="1384986480">
    <w:abstractNumId w:val="5"/>
  </w:num>
  <w:num w:numId="36" w16cid:durableId="1232427748">
    <w:abstractNumId w:val="5"/>
  </w:num>
  <w:num w:numId="37" w16cid:durableId="564952202">
    <w:abstractNumId w:val="5"/>
  </w:num>
  <w:num w:numId="38" w16cid:durableId="1996378873">
    <w:abstractNumId w:val="5"/>
  </w:num>
  <w:num w:numId="39" w16cid:durableId="1338533828">
    <w:abstractNumId w:val="5"/>
  </w:num>
  <w:num w:numId="40" w16cid:durableId="304169065">
    <w:abstractNumId w:val="19"/>
  </w:num>
  <w:num w:numId="41" w16cid:durableId="1751659998">
    <w:abstractNumId w:val="2"/>
  </w:num>
  <w:num w:numId="42" w16cid:durableId="724765839">
    <w:abstractNumId w:val="5"/>
  </w:num>
  <w:num w:numId="43" w16cid:durableId="1124082016">
    <w:abstractNumId w:val="5"/>
  </w:num>
  <w:num w:numId="44" w16cid:durableId="2112969801">
    <w:abstractNumId w:val="5"/>
    <w:lvlOverride w:ilvl="0">
      <w:startOverride w:val="7"/>
    </w:lvlOverride>
  </w:num>
  <w:num w:numId="45" w16cid:durableId="33048050">
    <w:abstractNumId w:val="5"/>
  </w:num>
  <w:num w:numId="46" w16cid:durableId="1535193776">
    <w:abstractNumId w:val="5"/>
  </w:num>
  <w:num w:numId="47" w16cid:durableId="1406217562">
    <w:abstractNumId w:val="5"/>
    <w:lvlOverride w:ilvl="0">
      <w:startOverride w:val="1"/>
    </w:lvlOverride>
  </w:num>
  <w:num w:numId="48" w16cid:durableId="409885556">
    <w:abstractNumId w:val="21"/>
  </w:num>
  <w:num w:numId="49" w16cid:durableId="1780761959">
    <w:abstractNumId w:val="6"/>
  </w:num>
  <w:num w:numId="50" w16cid:durableId="644701542">
    <w:abstractNumId w:val="0"/>
  </w:num>
  <w:num w:numId="51" w16cid:durableId="1828786753">
    <w:abstractNumId w:val="1"/>
  </w:num>
  <w:num w:numId="52" w16cid:durableId="786240785">
    <w:abstractNumId w:val="12"/>
  </w:num>
  <w:num w:numId="53" w16cid:durableId="810636104">
    <w:abstractNumId w:val="24"/>
  </w:num>
  <w:num w:numId="54" w16cid:durableId="1045907274">
    <w:abstractNumId w:val="11"/>
  </w:num>
  <w:num w:numId="55" w16cid:durableId="147291250">
    <w:abstractNumId w:val="4"/>
  </w:num>
  <w:num w:numId="56" w16cid:durableId="977536435">
    <w:abstractNumId w:val="30"/>
  </w:num>
  <w:num w:numId="57" w16cid:durableId="1630404618">
    <w:abstractNumId w:val="30"/>
  </w:num>
  <w:num w:numId="58" w16cid:durableId="1854563575">
    <w:abstractNumId w:val="3"/>
  </w:num>
  <w:num w:numId="59" w16cid:durableId="1648047251">
    <w:abstractNumId w:val="30"/>
  </w:num>
  <w:num w:numId="60" w16cid:durableId="880750743">
    <w:abstractNumId w:val="30"/>
  </w:num>
  <w:num w:numId="61" w16cid:durableId="2104059445">
    <w:abstractNumId w:val="30"/>
  </w:num>
  <w:num w:numId="62" w16cid:durableId="1028874033">
    <w:abstractNumId w:val="30"/>
  </w:num>
  <w:num w:numId="63" w16cid:durableId="1107506958">
    <w:abstractNumId w:val="30"/>
  </w:num>
  <w:num w:numId="64" w16cid:durableId="2900655">
    <w:abstractNumId w:val="30"/>
  </w:num>
  <w:num w:numId="65" w16cid:durableId="1485929329">
    <w:abstractNumId w:val="30"/>
  </w:num>
  <w:num w:numId="66" w16cid:durableId="719355773">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auren (Davis) Leppert">
    <w15:presenceInfo w15:providerId="AD" w15:userId="S-1-5-21-1134720642-1542789574-19223665-7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AA"/>
    <w:rsid w:val="00005413"/>
    <w:rsid w:val="000120EF"/>
    <w:rsid w:val="00022B28"/>
    <w:rsid w:val="00022E65"/>
    <w:rsid w:val="00026C49"/>
    <w:rsid w:val="000333FD"/>
    <w:rsid w:val="000347EB"/>
    <w:rsid w:val="0003641D"/>
    <w:rsid w:val="00036EC2"/>
    <w:rsid w:val="00044C88"/>
    <w:rsid w:val="00051556"/>
    <w:rsid w:val="000553EF"/>
    <w:rsid w:val="000676BB"/>
    <w:rsid w:val="00070A3F"/>
    <w:rsid w:val="00072C00"/>
    <w:rsid w:val="00073D1E"/>
    <w:rsid w:val="0008348F"/>
    <w:rsid w:val="00092447"/>
    <w:rsid w:val="00092AED"/>
    <w:rsid w:val="00097591"/>
    <w:rsid w:val="000A09B1"/>
    <w:rsid w:val="000A1EA4"/>
    <w:rsid w:val="000A43F4"/>
    <w:rsid w:val="000A59F8"/>
    <w:rsid w:val="000A728C"/>
    <w:rsid w:val="000A775B"/>
    <w:rsid w:val="000B033C"/>
    <w:rsid w:val="000B04ED"/>
    <w:rsid w:val="000B7E85"/>
    <w:rsid w:val="000C05F2"/>
    <w:rsid w:val="000C2A6A"/>
    <w:rsid w:val="000C6891"/>
    <w:rsid w:val="000D2C90"/>
    <w:rsid w:val="000D2EF1"/>
    <w:rsid w:val="000D6E4A"/>
    <w:rsid w:val="000E3CE2"/>
    <w:rsid w:val="000E468A"/>
    <w:rsid w:val="000E5B8B"/>
    <w:rsid w:val="000E65E3"/>
    <w:rsid w:val="000E6907"/>
    <w:rsid w:val="000E758D"/>
    <w:rsid w:val="000F5CD6"/>
    <w:rsid w:val="001002EE"/>
    <w:rsid w:val="001028EE"/>
    <w:rsid w:val="00104C25"/>
    <w:rsid w:val="0010697A"/>
    <w:rsid w:val="001073A9"/>
    <w:rsid w:val="00112928"/>
    <w:rsid w:val="001136AE"/>
    <w:rsid w:val="00114539"/>
    <w:rsid w:val="0012660B"/>
    <w:rsid w:val="001307B1"/>
    <w:rsid w:val="00131331"/>
    <w:rsid w:val="00133E25"/>
    <w:rsid w:val="00134D89"/>
    <w:rsid w:val="001413C5"/>
    <w:rsid w:val="00147218"/>
    <w:rsid w:val="00160691"/>
    <w:rsid w:val="00174F3C"/>
    <w:rsid w:val="001827EB"/>
    <w:rsid w:val="00185320"/>
    <w:rsid w:val="0019056B"/>
    <w:rsid w:val="0019262D"/>
    <w:rsid w:val="00196438"/>
    <w:rsid w:val="001A44EF"/>
    <w:rsid w:val="001A4B8D"/>
    <w:rsid w:val="001C0D78"/>
    <w:rsid w:val="001D1429"/>
    <w:rsid w:val="001E2497"/>
    <w:rsid w:val="001E6D1E"/>
    <w:rsid w:val="001E73A6"/>
    <w:rsid w:val="001F6093"/>
    <w:rsid w:val="001F7C70"/>
    <w:rsid w:val="001F7CBC"/>
    <w:rsid w:val="00200A78"/>
    <w:rsid w:val="002032E0"/>
    <w:rsid w:val="00203B78"/>
    <w:rsid w:val="0020467C"/>
    <w:rsid w:val="00206E98"/>
    <w:rsid w:val="0021052D"/>
    <w:rsid w:val="00214D35"/>
    <w:rsid w:val="00215E80"/>
    <w:rsid w:val="00222B0A"/>
    <w:rsid w:val="002347C1"/>
    <w:rsid w:val="00240306"/>
    <w:rsid w:val="002406B9"/>
    <w:rsid w:val="002413E5"/>
    <w:rsid w:val="002425FA"/>
    <w:rsid w:val="002451BA"/>
    <w:rsid w:val="00251171"/>
    <w:rsid w:val="00253095"/>
    <w:rsid w:val="002544FF"/>
    <w:rsid w:val="00254B45"/>
    <w:rsid w:val="002554A6"/>
    <w:rsid w:val="00256946"/>
    <w:rsid w:val="00256BD9"/>
    <w:rsid w:val="0026202E"/>
    <w:rsid w:val="002629AC"/>
    <w:rsid w:val="002705AB"/>
    <w:rsid w:val="00280E3C"/>
    <w:rsid w:val="00283925"/>
    <w:rsid w:val="00285F6D"/>
    <w:rsid w:val="002937AE"/>
    <w:rsid w:val="002973A2"/>
    <w:rsid w:val="002B7EAC"/>
    <w:rsid w:val="002C0454"/>
    <w:rsid w:val="002D5AE4"/>
    <w:rsid w:val="002E06AD"/>
    <w:rsid w:val="002E2BA6"/>
    <w:rsid w:val="002E7E39"/>
    <w:rsid w:val="002F64B9"/>
    <w:rsid w:val="002F75BD"/>
    <w:rsid w:val="00301570"/>
    <w:rsid w:val="00302C28"/>
    <w:rsid w:val="003041C6"/>
    <w:rsid w:val="00321E18"/>
    <w:rsid w:val="00327C4D"/>
    <w:rsid w:val="00341E64"/>
    <w:rsid w:val="003432C0"/>
    <w:rsid w:val="0035001A"/>
    <w:rsid w:val="003509F9"/>
    <w:rsid w:val="00353C0F"/>
    <w:rsid w:val="003551FD"/>
    <w:rsid w:val="00366A9A"/>
    <w:rsid w:val="00367D29"/>
    <w:rsid w:val="0038097D"/>
    <w:rsid w:val="00380DF7"/>
    <w:rsid w:val="003821CE"/>
    <w:rsid w:val="00391558"/>
    <w:rsid w:val="00393BBD"/>
    <w:rsid w:val="00397944"/>
    <w:rsid w:val="003A4273"/>
    <w:rsid w:val="003A497A"/>
    <w:rsid w:val="003A63DA"/>
    <w:rsid w:val="003A666B"/>
    <w:rsid w:val="003B0CBF"/>
    <w:rsid w:val="003B660A"/>
    <w:rsid w:val="003B6F7E"/>
    <w:rsid w:val="003C092E"/>
    <w:rsid w:val="003C4DEB"/>
    <w:rsid w:val="003C7519"/>
    <w:rsid w:val="003D7FD1"/>
    <w:rsid w:val="003E4CCB"/>
    <w:rsid w:val="003F0C2D"/>
    <w:rsid w:val="003F3A39"/>
    <w:rsid w:val="004008F3"/>
    <w:rsid w:val="004071A1"/>
    <w:rsid w:val="00411B16"/>
    <w:rsid w:val="00413A0C"/>
    <w:rsid w:val="00416FF3"/>
    <w:rsid w:val="0041764C"/>
    <w:rsid w:val="004235C5"/>
    <w:rsid w:val="0044388D"/>
    <w:rsid w:val="004511F3"/>
    <w:rsid w:val="00451770"/>
    <w:rsid w:val="00461109"/>
    <w:rsid w:val="00461364"/>
    <w:rsid w:val="004619BF"/>
    <w:rsid w:val="00463AAA"/>
    <w:rsid w:val="0046616B"/>
    <w:rsid w:val="00474EBA"/>
    <w:rsid w:val="00491E5A"/>
    <w:rsid w:val="00494C27"/>
    <w:rsid w:val="004A683B"/>
    <w:rsid w:val="004B40BD"/>
    <w:rsid w:val="004B7427"/>
    <w:rsid w:val="004C0161"/>
    <w:rsid w:val="004C5749"/>
    <w:rsid w:val="004D58AA"/>
    <w:rsid w:val="004D7E07"/>
    <w:rsid w:val="004E6AC9"/>
    <w:rsid w:val="004E766F"/>
    <w:rsid w:val="004F3FAB"/>
    <w:rsid w:val="004F42A8"/>
    <w:rsid w:val="0050646F"/>
    <w:rsid w:val="005069B7"/>
    <w:rsid w:val="00510F67"/>
    <w:rsid w:val="0052064A"/>
    <w:rsid w:val="00522EB5"/>
    <w:rsid w:val="0052326B"/>
    <w:rsid w:val="00523474"/>
    <w:rsid w:val="005235EA"/>
    <w:rsid w:val="00524D92"/>
    <w:rsid w:val="00526E21"/>
    <w:rsid w:val="005448BC"/>
    <w:rsid w:val="00551715"/>
    <w:rsid w:val="00553225"/>
    <w:rsid w:val="0056123A"/>
    <w:rsid w:val="00561B0E"/>
    <w:rsid w:val="00561CB9"/>
    <w:rsid w:val="0056313C"/>
    <w:rsid w:val="005870D2"/>
    <w:rsid w:val="00593284"/>
    <w:rsid w:val="005938A9"/>
    <w:rsid w:val="00596FCE"/>
    <w:rsid w:val="005A3306"/>
    <w:rsid w:val="005A3AD7"/>
    <w:rsid w:val="005A4E3F"/>
    <w:rsid w:val="005C144C"/>
    <w:rsid w:val="005C690D"/>
    <w:rsid w:val="005D0115"/>
    <w:rsid w:val="005D2A7D"/>
    <w:rsid w:val="005D5EFE"/>
    <w:rsid w:val="005D6FB4"/>
    <w:rsid w:val="005E1A62"/>
    <w:rsid w:val="005E5CF7"/>
    <w:rsid w:val="005E7993"/>
    <w:rsid w:val="005E7DAC"/>
    <w:rsid w:val="005F2765"/>
    <w:rsid w:val="005F56F3"/>
    <w:rsid w:val="005F7018"/>
    <w:rsid w:val="005F7AD0"/>
    <w:rsid w:val="00605CB6"/>
    <w:rsid w:val="00606A36"/>
    <w:rsid w:val="006175CF"/>
    <w:rsid w:val="006178C1"/>
    <w:rsid w:val="00620295"/>
    <w:rsid w:val="006260DA"/>
    <w:rsid w:val="006302E7"/>
    <w:rsid w:val="00634C68"/>
    <w:rsid w:val="00642467"/>
    <w:rsid w:val="0064468E"/>
    <w:rsid w:val="00650915"/>
    <w:rsid w:val="006568DA"/>
    <w:rsid w:val="00657AE6"/>
    <w:rsid w:val="00661B1A"/>
    <w:rsid w:val="00672DE3"/>
    <w:rsid w:val="006736C5"/>
    <w:rsid w:val="00674718"/>
    <w:rsid w:val="00683267"/>
    <w:rsid w:val="00683CAE"/>
    <w:rsid w:val="006859D8"/>
    <w:rsid w:val="00691DA1"/>
    <w:rsid w:val="00695250"/>
    <w:rsid w:val="0069572C"/>
    <w:rsid w:val="006A1EF8"/>
    <w:rsid w:val="006A7525"/>
    <w:rsid w:val="006B1B95"/>
    <w:rsid w:val="006B4152"/>
    <w:rsid w:val="006B7B84"/>
    <w:rsid w:val="006C1C32"/>
    <w:rsid w:val="006C2C85"/>
    <w:rsid w:val="006C37E2"/>
    <w:rsid w:val="006C6C7E"/>
    <w:rsid w:val="006D5EB7"/>
    <w:rsid w:val="006D6AD7"/>
    <w:rsid w:val="006E03C4"/>
    <w:rsid w:val="006E2203"/>
    <w:rsid w:val="006F20FA"/>
    <w:rsid w:val="006F342C"/>
    <w:rsid w:val="00700076"/>
    <w:rsid w:val="007032C7"/>
    <w:rsid w:val="00710DA8"/>
    <w:rsid w:val="0071378D"/>
    <w:rsid w:val="007151C7"/>
    <w:rsid w:val="007156DD"/>
    <w:rsid w:val="00716A19"/>
    <w:rsid w:val="00716BED"/>
    <w:rsid w:val="00720CD8"/>
    <w:rsid w:val="007220A8"/>
    <w:rsid w:val="007238BB"/>
    <w:rsid w:val="007258B2"/>
    <w:rsid w:val="00743CE8"/>
    <w:rsid w:val="00767521"/>
    <w:rsid w:val="00771B60"/>
    <w:rsid w:val="00772448"/>
    <w:rsid w:val="0078435D"/>
    <w:rsid w:val="00785422"/>
    <w:rsid w:val="007910A9"/>
    <w:rsid w:val="007A7069"/>
    <w:rsid w:val="007A767B"/>
    <w:rsid w:val="007B196E"/>
    <w:rsid w:val="007B2DD3"/>
    <w:rsid w:val="007B3C9E"/>
    <w:rsid w:val="007B7E37"/>
    <w:rsid w:val="007C60EA"/>
    <w:rsid w:val="007F6B7A"/>
    <w:rsid w:val="00807A36"/>
    <w:rsid w:val="008129D3"/>
    <w:rsid w:val="00813717"/>
    <w:rsid w:val="00816E35"/>
    <w:rsid w:val="00820F2D"/>
    <w:rsid w:val="00822A08"/>
    <w:rsid w:val="00824D03"/>
    <w:rsid w:val="00832949"/>
    <w:rsid w:val="00836818"/>
    <w:rsid w:val="008460AD"/>
    <w:rsid w:val="008465AE"/>
    <w:rsid w:val="008520BD"/>
    <w:rsid w:val="00860267"/>
    <w:rsid w:val="00862AEF"/>
    <w:rsid w:val="00863C01"/>
    <w:rsid w:val="00866359"/>
    <w:rsid w:val="00870E14"/>
    <w:rsid w:val="00872044"/>
    <w:rsid w:val="0088105A"/>
    <w:rsid w:val="00883BAE"/>
    <w:rsid w:val="008852EE"/>
    <w:rsid w:val="00886A5A"/>
    <w:rsid w:val="00887AE0"/>
    <w:rsid w:val="00890053"/>
    <w:rsid w:val="00891855"/>
    <w:rsid w:val="00893C16"/>
    <w:rsid w:val="00896AE7"/>
    <w:rsid w:val="008A29BB"/>
    <w:rsid w:val="008A36A1"/>
    <w:rsid w:val="008A5841"/>
    <w:rsid w:val="008A7FE8"/>
    <w:rsid w:val="008B61CC"/>
    <w:rsid w:val="008B6DA7"/>
    <w:rsid w:val="008C413A"/>
    <w:rsid w:val="008C46F1"/>
    <w:rsid w:val="008E16B1"/>
    <w:rsid w:val="008E261F"/>
    <w:rsid w:val="008E4FB8"/>
    <w:rsid w:val="008F3AB7"/>
    <w:rsid w:val="008F68E1"/>
    <w:rsid w:val="00902501"/>
    <w:rsid w:val="00903EA2"/>
    <w:rsid w:val="00904FFE"/>
    <w:rsid w:val="00914CAA"/>
    <w:rsid w:val="00920578"/>
    <w:rsid w:val="00923023"/>
    <w:rsid w:val="00926971"/>
    <w:rsid w:val="00930ACD"/>
    <w:rsid w:val="0094557E"/>
    <w:rsid w:val="00952900"/>
    <w:rsid w:val="00952ADC"/>
    <w:rsid w:val="009623C8"/>
    <w:rsid w:val="00962F89"/>
    <w:rsid w:val="00973487"/>
    <w:rsid w:val="00974CB9"/>
    <w:rsid w:val="00982D37"/>
    <w:rsid w:val="00987EE9"/>
    <w:rsid w:val="009A3908"/>
    <w:rsid w:val="009A7393"/>
    <w:rsid w:val="009B4FCF"/>
    <w:rsid w:val="009B6A9E"/>
    <w:rsid w:val="009B70B1"/>
    <w:rsid w:val="009B7C7D"/>
    <w:rsid w:val="009C2A11"/>
    <w:rsid w:val="009C4774"/>
    <w:rsid w:val="009C7A62"/>
    <w:rsid w:val="009D05F3"/>
    <w:rsid w:val="009D6A6B"/>
    <w:rsid w:val="009D6F32"/>
    <w:rsid w:val="009E6AF7"/>
    <w:rsid w:val="009F0CE3"/>
    <w:rsid w:val="009F4193"/>
    <w:rsid w:val="009F62D8"/>
    <w:rsid w:val="00A00C4F"/>
    <w:rsid w:val="00A033AC"/>
    <w:rsid w:val="00A05FAA"/>
    <w:rsid w:val="00A10198"/>
    <w:rsid w:val="00A139E6"/>
    <w:rsid w:val="00A153FF"/>
    <w:rsid w:val="00A17714"/>
    <w:rsid w:val="00A1776F"/>
    <w:rsid w:val="00A2219E"/>
    <w:rsid w:val="00A46999"/>
    <w:rsid w:val="00A53D4F"/>
    <w:rsid w:val="00A65865"/>
    <w:rsid w:val="00A7748A"/>
    <w:rsid w:val="00A93F53"/>
    <w:rsid w:val="00A95CBA"/>
    <w:rsid w:val="00AA5261"/>
    <w:rsid w:val="00AB6757"/>
    <w:rsid w:val="00AC1232"/>
    <w:rsid w:val="00AD204B"/>
    <w:rsid w:val="00AD2D9C"/>
    <w:rsid w:val="00AD3ED3"/>
    <w:rsid w:val="00AD6EAA"/>
    <w:rsid w:val="00AE1BC2"/>
    <w:rsid w:val="00B033F7"/>
    <w:rsid w:val="00B04543"/>
    <w:rsid w:val="00B048D9"/>
    <w:rsid w:val="00B067CD"/>
    <w:rsid w:val="00B159E2"/>
    <w:rsid w:val="00B1796D"/>
    <w:rsid w:val="00B216D6"/>
    <w:rsid w:val="00B32911"/>
    <w:rsid w:val="00B32CC8"/>
    <w:rsid w:val="00B344BC"/>
    <w:rsid w:val="00B3456B"/>
    <w:rsid w:val="00B36034"/>
    <w:rsid w:val="00B3765F"/>
    <w:rsid w:val="00B40B6E"/>
    <w:rsid w:val="00B40CD8"/>
    <w:rsid w:val="00B45479"/>
    <w:rsid w:val="00B459D0"/>
    <w:rsid w:val="00B476A4"/>
    <w:rsid w:val="00B52F81"/>
    <w:rsid w:val="00B56F84"/>
    <w:rsid w:val="00B73F85"/>
    <w:rsid w:val="00B80A9E"/>
    <w:rsid w:val="00B84425"/>
    <w:rsid w:val="00B87470"/>
    <w:rsid w:val="00B9216F"/>
    <w:rsid w:val="00B95A98"/>
    <w:rsid w:val="00B96DAD"/>
    <w:rsid w:val="00BB31C2"/>
    <w:rsid w:val="00BB482B"/>
    <w:rsid w:val="00BB63B8"/>
    <w:rsid w:val="00BB7407"/>
    <w:rsid w:val="00BC1856"/>
    <w:rsid w:val="00BC1F42"/>
    <w:rsid w:val="00BC5C9E"/>
    <w:rsid w:val="00BC6988"/>
    <w:rsid w:val="00BD3BF0"/>
    <w:rsid w:val="00BD47A1"/>
    <w:rsid w:val="00BE0C19"/>
    <w:rsid w:val="00BE0DE4"/>
    <w:rsid w:val="00BE2EF5"/>
    <w:rsid w:val="00BE3B5F"/>
    <w:rsid w:val="00BE7CC1"/>
    <w:rsid w:val="00BF4179"/>
    <w:rsid w:val="00BF5F7B"/>
    <w:rsid w:val="00C135B8"/>
    <w:rsid w:val="00C158D3"/>
    <w:rsid w:val="00C21AD5"/>
    <w:rsid w:val="00C37F4D"/>
    <w:rsid w:val="00C40EB7"/>
    <w:rsid w:val="00C47350"/>
    <w:rsid w:val="00C4787D"/>
    <w:rsid w:val="00C503CB"/>
    <w:rsid w:val="00C5052A"/>
    <w:rsid w:val="00C50630"/>
    <w:rsid w:val="00C62B47"/>
    <w:rsid w:val="00C66A25"/>
    <w:rsid w:val="00C67BC1"/>
    <w:rsid w:val="00C71292"/>
    <w:rsid w:val="00C750CD"/>
    <w:rsid w:val="00C86665"/>
    <w:rsid w:val="00C9041A"/>
    <w:rsid w:val="00C91E4C"/>
    <w:rsid w:val="00C95B9D"/>
    <w:rsid w:val="00CA7B9A"/>
    <w:rsid w:val="00CA7E82"/>
    <w:rsid w:val="00CC6583"/>
    <w:rsid w:val="00CD2869"/>
    <w:rsid w:val="00CE56A2"/>
    <w:rsid w:val="00CF4DC6"/>
    <w:rsid w:val="00CF589C"/>
    <w:rsid w:val="00CF7875"/>
    <w:rsid w:val="00D02414"/>
    <w:rsid w:val="00D1490F"/>
    <w:rsid w:val="00D171FF"/>
    <w:rsid w:val="00D20EC1"/>
    <w:rsid w:val="00D227F0"/>
    <w:rsid w:val="00D24841"/>
    <w:rsid w:val="00D27ACC"/>
    <w:rsid w:val="00D33F1F"/>
    <w:rsid w:val="00D350C1"/>
    <w:rsid w:val="00D3656D"/>
    <w:rsid w:val="00D46291"/>
    <w:rsid w:val="00D53F86"/>
    <w:rsid w:val="00D54417"/>
    <w:rsid w:val="00D61618"/>
    <w:rsid w:val="00D64644"/>
    <w:rsid w:val="00D7219A"/>
    <w:rsid w:val="00D77EDD"/>
    <w:rsid w:val="00D84A3E"/>
    <w:rsid w:val="00D93B19"/>
    <w:rsid w:val="00D96018"/>
    <w:rsid w:val="00D9745D"/>
    <w:rsid w:val="00DA10CC"/>
    <w:rsid w:val="00DA17F8"/>
    <w:rsid w:val="00DA39D9"/>
    <w:rsid w:val="00DA7E98"/>
    <w:rsid w:val="00DB1546"/>
    <w:rsid w:val="00DB1DB8"/>
    <w:rsid w:val="00DB5527"/>
    <w:rsid w:val="00DC0884"/>
    <w:rsid w:val="00DC3CD1"/>
    <w:rsid w:val="00DC46C4"/>
    <w:rsid w:val="00DC5F2B"/>
    <w:rsid w:val="00DC775C"/>
    <w:rsid w:val="00DD3BA0"/>
    <w:rsid w:val="00DD701F"/>
    <w:rsid w:val="00DD7A44"/>
    <w:rsid w:val="00DE3F97"/>
    <w:rsid w:val="00DE5723"/>
    <w:rsid w:val="00DF1404"/>
    <w:rsid w:val="00DF54C6"/>
    <w:rsid w:val="00DF6E1E"/>
    <w:rsid w:val="00E05795"/>
    <w:rsid w:val="00E079DB"/>
    <w:rsid w:val="00E235FD"/>
    <w:rsid w:val="00E26DD8"/>
    <w:rsid w:val="00E27893"/>
    <w:rsid w:val="00E31A21"/>
    <w:rsid w:val="00E37E38"/>
    <w:rsid w:val="00E4334E"/>
    <w:rsid w:val="00E4419B"/>
    <w:rsid w:val="00E512C3"/>
    <w:rsid w:val="00E60452"/>
    <w:rsid w:val="00E63D04"/>
    <w:rsid w:val="00E657CD"/>
    <w:rsid w:val="00E731F2"/>
    <w:rsid w:val="00E73EFC"/>
    <w:rsid w:val="00E7495B"/>
    <w:rsid w:val="00E76715"/>
    <w:rsid w:val="00E76BF3"/>
    <w:rsid w:val="00E85228"/>
    <w:rsid w:val="00E85CEC"/>
    <w:rsid w:val="00E91657"/>
    <w:rsid w:val="00E91BFD"/>
    <w:rsid w:val="00E96A8E"/>
    <w:rsid w:val="00EA5BC7"/>
    <w:rsid w:val="00EB13EB"/>
    <w:rsid w:val="00EB7422"/>
    <w:rsid w:val="00EC7EF2"/>
    <w:rsid w:val="00ED771E"/>
    <w:rsid w:val="00EF4D17"/>
    <w:rsid w:val="00EF6FF9"/>
    <w:rsid w:val="00F12EA1"/>
    <w:rsid w:val="00F24667"/>
    <w:rsid w:val="00F33D15"/>
    <w:rsid w:val="00F33D6D"/>
    <w:rsid w:val="00F41790"/>
    <w:rsid w:val="00F455F9"/>
    <w:rsid w:val="00F50D6F"/>
    <w:rsid w:val="00F5407D"/>
    <w:rsid w:val="00F55595"/>
    <w:rsid w:val="00F61739"/>
    <w:rsid w:val="00F659B1"/>
    <w:rsid w:val="00F66251"/>
    <w:rsid w:val="00F77174"/>
    <w:rsid w:val="00F81001"/>
    <w:rsid w:val="00F83075"/>
    <w:rsid w:val="00F85C8D"/>
    <w:rsid w:val="00F921FA"/>
    <w:rsid w:val="00F97592"/>
    <w:rsid w:val="00F979DA"/>
    <w:rsid w:val="00FA195B"/>
    <w:rsid w:val="00FA33E0"/>
    <w:rsid w:val="00FB0BF3"/>
    <w:rsid w:val="00FB13B2"/>
    <w:rsid w:val="00FB2AB1"/>
    <w:rsid w:val="00FC2E74"/>
    <w:rsid w:val="00FC2F17"/>
    <w:rsid w:val="00FC46AC"/>
    <w:rsid w:val="00FC579C"/>
    <w:rsid w:val="00FD215F"/>
    <w:rsid w:val="00FD226B"/>
    <w:rsid w:val="00FD42FE"/>
    <w:rsid w:val="00FD60C5"/>
    <w:rsid w:val="00FD687D"/>
    <w:rsid w:val="00FD7B29"/>
    <w:rsid w:val="00FD7C98"/>
    <w:rsid w:val="00FE3266"/>
    <w:rsid w:val="00FE53C6"/>
    <w:rsid w:val="00FF1238"/>
    <w:rsid w:val="00FF3200"/>
    <w:rsid w:val="00FF6FEC"/>
  </w:rsids>
  <w:docVars>
    <w:docVar w:name="Date Approved" w:val="09/10/2024"/>
    <w:docVar w:name="Document Title" w:val="i-STAT Blood Gases (EG7 Cartridges) Policy (HPMC)"/>
    <w:docVar w:name="Effective Date" w:val="08/10/2023"/>
    <w:docVar w:name="Last Periodic Review Date" w:val="09/10/2024"/>
    <w:docVar w:name="Original Creation Date" w:val="04/01/2017"/>
    <w:docVar w:name="Reference #" w:val="3782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7B731C"/>
  <w15:chartTrackingRefBased/>
  <w15:docId w15:val="{A1845E81-D6C0-4413-93C6-ABE5AEC8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2D8"/>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1"/>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0"/>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1"/>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customStyle="1" w:styleId="TableParagraph">
    <w:name w:val="Table Paragraph"/>
    <w:basedOn w:val="Normal"/>
    <w:uiPriority w:val="1"/>
    <w:qFormat/>
    <w:rsid w:val="008A5841"/>
    <w:pPr>
      <w:widowControl w:val="0"/>
      <w:autoSpaceDE w:val="0"/>
      <w:autoSpaceDN w:val="0"/>
    </w:pPr>
    <w:rPr>
      <w:rFonts w:eastAsia="Arial" w:cs="Arial"/>
      <w:szCs w:val="22"/>
      <w:lang w:bidi="en-US"/>
    </w:rPr>
  </w:style>
  <w:style w:type="paragraph" w:customStyle="1" w:styleId="Header0">
    <w:name w:val="Header_0"/>
    <w:basedOn w:val="Normal"/>
    <w:link w:val="HeaderChar0"/>
    <w:uiPriority w:val="99"/>
    <w:rsid w:val="00B2670C"/>
    <w:pPr>
      <w:numPr>
        <w:ilvl w:val="8"/>
        <w:numId w:val="40"/>
      </w:numPr>
      <w:tabs>
        <w:tab w:val="center" w:pos="4320"/>
        <w:tab w:val="right" w:pos="8640"/>
      </w:tabs>
    </w:pPr>
    <w:rPr>
      <w:lang w:val="x-none" w:eastAsia="x-none"/>
    </w:rPr>
  </w:style>
  <w:style w:type="character" w:customStyle="1" w:styleId="HeaderChar0">
    <w:name w:val="Header Char_0"/>
    <w:link w:val="Header0"/>
    <w:uiPriority w:val="99"/>
    <w:rsid w:val="00B2670C"/>
    <w:rPr>
      <w:rFonts w:ascii="Arial" w:hAnsi="Arial"/>
      <w:sz w:val="22"/>
    </w:rPr>
  </w:style>
  <w:style w:type="character" w:customStyle="1" w:styleId="normaltextrun1">
    <w:name w:val="normaltextrun1"/>
    <w:basedOn w:val="DefaultParagraphFont"/>
    <w:rsid w:val="00321E18"/>
  </w:style>
  <w:style w:type="character" w:customStyle="1" w:styleId="eop">
    <w:name w:val="eop"/>
    <w:basedOn w:val="DefaultParagraphFont"/>
    <w:rsid w:val="00321E18"/>
  </w:style>
  <w:style w:type="paragraph" w:customStyle="1" w:styleId="paragraph">
    <w:name w:val="paragraph"/>
    <w:basedOn w:val="Normal"/>
    <w:rsid w:val="00321E18"/>
    <w:rPr>
      <w:rFonts w:ascii="Times New Roman" w:hAnsi="Times New Roman"/>
      <w:sz w:val="24"/>
      <w:szCs w:val="24"/>
    </w:rPr>
  </w:style>
  <w:style w:type="table" w:customStyle="1" w:styleId="TableGrid0">
    <w:name w:val="Table Grid_0"/>
    <w:basedOn w:val="TableNormal"/>
    <w:uiPriority w:val="59"/>
    <w:rsid w:val="00302C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302C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C46AC"/>
    <w:pPr>
      <w:spacing w:after="120" w:line="480" w:lineRule="auto"/>
      <w:ind w:left="360"/>
    </w:pPr>
  </w:style>
  <w:style w:type="character" w:customStyle="1" w:styleId="BodyTextIndent2Char">
    <w:name w:val="Body Text Indent 2 Char"/>
    <w:basedOn w:val="DefaultParagraphFont"/>
    <w:link w:val="BodyTextIndent2"/>
    <w:rsid w:val="00FC46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159480-A179-4404-81EC-28267D38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2938</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creator>Cynthia Wall</dc:creator>
  <cp:lastModifiedBy>Valerie Jordan-Banks</cp:lastModifiedBy>
  <cp:revision>22</cp:revision>
  <cp:lastPrinted>2011-02-16T21:14:00Z</cp:lastPrinted>
  <dcterms:created xsi:type="dcterms:W3CDTF">2022-10-14T18:37:00Z</dcterms:created>
  <dcterms:modified xsi:type="dcterms:W3CDTF">2024-09-10T16:09:00Z</dcterms:modified>
</cp:coreProperties>
</file>