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E743" w14:textId="496812AE" w:rsidR="00235CED" w:rsidRDefault="00235CED" w:rsidP="000A06A1">
      <w:pPr>
        <w:pStyle w:val="GraphicAnchor"/>
        <w:tabs>
          <w:tab w:val="left" w:pos="1724"/>
        </w:tabs>
      </w:pPr>
    </w:p>
    <w:tbl>
      <w:tblPr>
        <w:tblW w:w="11275" w:type="dxa"/>
        <w:tblLayout w:type="fixed"/>
        <w:tblLook w:val="0600" w:firstRow="0" w:lastRow="0" w:firstColumn="0" w:lastColumn="0" w:noHBand="1" w:noVBand="1"/>
      </w:tblPr>
      <w:tblGrid>
        <w:gridCol w:w="979"/>
        <w:gridCol w:w="1226"/>
        <w:gridCol w:w="840"/>
        <w:gridCol w:w="236"/>
        <w:gridCol w:w="236"/>
        <w:gridCol w:w="633"/>
        <w:gridCol w:w="2814"/>
        <w:gridCol w:w="236"/>
        <w:gridCol w:w="75"/>
        <w:gridCol w:w="258"/>
        <w:gridCol w:w="773"/>
        <w:gridCol w:w="1345"/>
        <w:gridCol w:w="1624"/>
      </w:tblGrid>
      <w:tr w:rsidR="00E26911" w14:paraId="4060626E" w14:textId="77777777" w:rsidTr="00D639C2">
        <w:trPr>
          <w:trHeight w:val="454"/>
        </w:trPr>
        <w:tc>
          <w:tcPr>
            <w:tcW w:w="2205" w:type="dxa"/>
            <w:gridSpan w:val="2"/>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07F9CD4F" w14:textId="77777777" w:rsidR="006C30F5" w:rsidRDefault="006C30F5" w:rsidP="006C30F5">
            <w:pPr>
              <w:pStyle w:val="Info"/>
            </w:pPr>
          </w:p>
        </w:tc>
        <w:tc>
          <w:tcPr>
            <w:tcW w:w="6101" w:type="dxa"/>
            <w:gridSpan w:val="9"/>
            <w:tcBorders>
              <w:top w:val="single" w:sz="12" w:space="0" w:color="4354A2" w:themeColor="accent1"/>
              <w:left w:val="single" w:sz="12" w:space="0" w:color="4354A2" w:themeColor="accent1"/>
              <w:bottom w:val="single" w:sz="12" w:space="0" w:color="4354A2" w:themeColor="accent1"/>
              <w:right w:val="single" w:sz="12" w:space="0" w:color="4354A2" w:themeColor="accent1"/>
            </w:tcBorders>
            <w:shd w:val="clear" w:color="auto" w:fill="4354A2" w:themeFill="accent1"/>
          </w:tcPr>
          <w:p w14:paraId="15460C9E" w14:textId="19876B79" w:rsidR="006C30F5" w:rsidRPr="005059EC" w:rsidRDefault="00E561E0" w:rsidP="006C30F5">
            <w:pPr>
              <w:pStyle w:val="Heading2"/>
              <w:rPr>
                <w:b/>
                <w:bCs/>
                <w:color w:val="FFFFFF" w:themeColor="background1"/>
              </w:rPr>
            </w:pPr>
            <w:r w:rsidRPr="005059EC">
              <w:rPr>
                <w:b/>
                <w:bCs/>
                <w:color w:val="FFFFFF" w:themeColor="background1"/>
              </w:rPr>
              <w:t>WFBH BLOOD BANK</w:t>
            </w:r>
          </w:p>
        </w:tc>
        <w:tc>
          <w:tcPr>
            <w:tcW w:w="2969" w:type="dxa"/>
            <w:gridSpan w:val="2"/>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B5ED6BA" w14:textId="25667A9B" w:rsidR="006C30F5" w:rsidRDefault="006C30F5" w:rsidP="006C30F5"/>
        </w:tc>
      </w:tr>
      <w:tr w:rsidR="006C30F5" w:rsidRPr="004B1CE7" w14:paraId="210E01EF" w14:textId="77777777" w:rsidTr="00D639C2">
        <w:tc>
          <w:tcPr>
            <w:tcW w:w="11275" w:type="dxa"/>
            <w:gridSpan w:val="13"/>
            <w:tcBorders>
              <w:left w:val="single" w:sz="12" w:space="0" w:color="4354A2" w:themeColor="accent1"/>
              <w:right w:val="single" w:sz="12" w:space="0" w:color="4354A2" w:themeColor="accent1"/>
            </w:tcBorders>
          </w:tcPr>
          <w:p w14:paraId="4CACED07" w14:textId="77777777" w:rsidR="006C30F5" w:rsidRPr="004B1CE7" w:rsidRDefault="006C30F5" w:rsidP="006C30F5">
            <w:pPr>
              <w:rPr>
                <w:sz w:val="10"/>
                <w:szCs w:val="10"/>
              </w:rPr>
            </w:pPr>
          </w:p>
        </w:tc>
      </w:tr>
      <w:tr w:rsidR="00E26911" w14:paraId="6D1ED640" w14:textId="77777777" w:rsidTr="00D639C2">
        <w:trPr>
          <w:trHeight w:val="853"/>
        </w:trPr>
        <w:tc>
          <w:tcPr>
            <w:tcW w:w="979" w:type="dxa"/>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16CDFE1" w14:textId="77777777" w:rsidR="006C30F5" w:rsidRDefault="006C30F5" w:rsidP="006C30F5"/>
        </w:tc>
        <w:tc>
          <w:tcPr>
            <w:tcW w:w="8672" w:type="dxa"/>
            <w:gridSpan w:val="11"/>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38D57B1A" w14:textId="13B0CED4" w:rsidR="006C30F5" w:rsidRPr="004D16F5" w:rsidRDefault="00C87752" w:rsidP="00E561E0">
            <w:pPr>
              <w:pStyle w:val="Heading1"/>
              <w:rPr>
                <w:color w:val="C00000"/>
              </w:rPr>
            </w:pPr>
            <w:r w:rsidRPr="004D16F5">
              <w:rPr>
                <w:color w:val="C00000"/>
              </w:rPr>
              <w:t>The Weekly Blood Bank Blast</w:t>
            </w:r>
            <w:r w:rsidR="00F83D22" w:rsidRPr="004D16F5">
              <w:rPr>
                <w:color w:val="C00000"/>
              </w:rPr>
              <w:t xml:space="preserve"> </w:t>
            </w:r>
          </w:p>
        </w:tc>
        <w:tc>
          <w:tcPr>
            <w:tcW w:w="1624" w:type="dxa"/>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70E06F68" w14:textId="77777777" w:rsidR="006C30F5" w:rsidRDefault="006C30F5" w:rsidP="006C30F5"/>
        </w:tc>
      </w:tr>
      <w:tr w:rsidR="006C30F5" w:rsidRPr="004B1CE7" w14:paraId="645EFE03" w14:textId="77777777" w:rsidTr="00D639C2">
        <w:tc>
          <w:tcPr>
            <w:tcW w:w="11275" w:type="dxa"/>
            <w:gridSpan w:val="13"/>
            <w:tcBorders>
              <w:left w:val="single" w:sz="12" w:space="0" w:color="4354A2" w:themeColor="accent1"/>
              <w:right w:val="single" w:sz="12" w:space="0" w:color="4354A2" w:themeColor="accent1"/>
            </w:tcBorders>
          </w:tcPr>
          <w:p w14:paraId="530E3DA0" w14:textId="42A409E6" w:rsidR="006C30F5" w:rsidRPr="004B1CE7" w:rsidRDefault="006C30F5" w:rsidP="006C30F5">
            <w:pPr>
              <w:rPr>
                <w:sz w:val="16"/>
                <w:szCs w:val="16"/>
              </w:rPr>
            </w:pPr>
          </w:p>
        </w:tc>
      </w:tr>
      <w:tr w:rsidR="00E26911" w14:paraId="436A8743" w14:textId="77777777" w:rsidTr="00D639C2">
        <w:tc>
          <w:tcPr>
            <w:tcW w:w="4150" w:type="dxa"/>
            <w:gridSpan w:val="6"/>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2B439F98" w14:textId="578B2561" w:rsidR="007F4549" w:rsidRDefault="007F4549" w:rsidP="00AC4F2F">
            <w:pPr>
              <w:pStyle w:val="Info"/>
              <w:jc w:val="center"/>
            </w:pPr>
            <w:r w:rsidRPr="004D16F5">
              <w:rPr>
                <w:color w:val="C00000"/>
              </w:rPr>
              <w:t xml:space="preserve">Vol </w:t>
            </w:r>
            <w:r w:rsidR="00EE25D3">
              <w:rPr>
                <w:color w:val="C00000"/>
              </w:rPr>
              <w:t>3</w:t>
            </w:r>
            <w:r w:rsidR="00B51B77" w:rsidRPr="004D16F5">
              <w:rPr>
                <w:color w:val="C00000"/>
              </w:rPr>
              <w:t>.</w:t>
            </w:r>
            <w:r w:rsidR="00DB06C6">
              <w:rPr>
                <w:color w:val="C00000"/>
              </w:rPr>
              <w:t>1</w:t>
            </w:r>
            <w:r w:rsidR="00F40D58">
              <w:rPr>
                <w:color w:val="C00000"/>
              </w:rPr>
              <w:t>7</w:t>
            </w:r>
            <w:r w:rsidRPr="004D16F5">
              <w:rPr>
                <w:color w:val="C00000"/>
              </w:rPr>
              <w:t xml:space="preserve">               </w:t>
            </w:r>
            <w:r w:rsidR="003A0ACA" w:rsidRPr="004D16F5">
              <w:rPr>
                <w:color w:val="C00000"/>
              </w:rPr>
              <w:t xml:space="preserve">    </w:t>
            </w:r>
            <w:r w:rsidRPr="004D16F5">
              <w:rPr>
                <w:color w:val="C00000"/>
              </w:rPr>
              <w:t xml:space="preserve">      </w:t>
            </w:r>
            <w:r w:rsidR="0016567C">
              <w:rPr>
                <w:color w:val="C00000"/>
              </w:rPr>
              <w:t>6/</w:t>
            </w:r>
            <w:r w:rsidR="00F40D58">
              <w:rPr>
                <w:color w:val="C00000"/>
              </w:rPr>
              <w:t>27</w:t>
            </w:r>
            <w:r w:rsidR="0016567C">
              <w:rPr>
                <w:color w:val="C00000"/>
              </w:rPr>
              <w:t>/25</w:t>
            </w:r>
          </w:p>
        </w:tc>
        <w:tc>
          <w:tcPr>
            <w:tcW w:w="7125" w:type="dxa"/>
            <w:gridSpan w:val="7"/>
            <w:tcBorders>
              <w:top w:val="single" w:sz="12" w:space="0" w:color="4354A2" w:themeColor="accent1"/>
              <w:left w:val="single" w:sz="12" w:space="0" w:color="4354A2" w:themeColor="accent1"/>
              <w:bottom w:val="single" w:sz="12" w:space="0" w:color="4354A2" w:themeColor="accent1"/>
              <w:right w:val="single" w:sz="12" w:space="0" w:color="4354A2" w:themeColor="accent1"/>
            </w:tcBorders>
            <w:vAlign w:val="center"/>
          </w:tcPr>
          <w:p w14:paraId="5C4E5046" w14:textId="224D431D" w:rsidR="000E0E61" w:rsidRPr="0094171B" w:rsidRDefault="000E0E61" w:rsidP="00273018">
            <w:pPr>
              <w:pStyle w:val="Info"/>
              <w:ind w:left="120"/>
              <w:rPr>
                <w:rFonts w:asciiTheme="majorHAnsi" w:hAnsiTheme="majorHAnsi"/>
                <w:sz w:val="16"/>
                <w:szCs w:val="16"/>
              </w:rPr>
            </w:pPr>
          </w:p>
        </w:tc>
      </w:tr>
      <w:tr w:rsidR="007F4549" w:rsidRPr="004B1CE7" w14:paraId="278B325D" w14:textId="77777777" w:rsidTr="00D639C2">
        <w:trPr>
          <w:trHeight w:val="403"/>
        </w:trPr>
        <w:tc>
          <w:tcPr>
            <w:tcW w:w="11275" w:type="dxa"/>
            <w:gridSpan w:val="13"/>
            <w:tcBorders>
              <w:left w:val="single" w:sz="12" w:space="0" w:color="4354A2" w:themeColor="accent1"/>
              <w:bottom w:val="single" w:sz="12" w:space="0" w:color="4354A2" w:themeColor="accent1"/>
              <w:right w:val="single" w:sz="12" w:space="0" w:color="4354A2" w:themeColor="accent1"/>
            </w:tcBorders>
            <w:vAlign w:val="center"/>
          </w:tcPr>
          <w:p w14:paraId="68D3FC84" w14:textId="7ECD98A9" w:rsidR="007B4099" w:rsidRPr="00A90A66" w:rsidRDefault="007B4099" w:rsidP="00605AC2">
            <w:pPr>
              <w:rPr>
                <w:rFonts w:asciiTheme="majorHAnsi" w:hAnsiTheme="majorHAnsi"/>
                <w:color w:val="4354A2" w:themeColor="accent1"/>
                <w:szCs w:val="20"/>
              </w:rPr>
            </w:pPr>
          </w:p>
        </w:tc>
      </w:tr>
      <w:tr w:rsidR="007F4549" w:rsidRPr="004B1CE7" w14:paraId="0B269B98" w14:textId="77777777" w:rsidTr="00F30E34">
        <w:trPr>
          <w:trHeight w:val="58"/>
        </w:trPr>
        <w:tc>
          <w:tcPr>
            <w:tcW w:w="11275" w:type="dxa"/>
            <w:gridSpan w:val="13"/>
            <w:tcBorders>
              <w:top w:val="single" w:sz="12" w:space="0" w:color="4354A2" w:themeColor="accent1"/>
              <w:left w:val="single" w:sz="12" w:space="0" w:color="4354A2" w:themeColor="accent1"/>
              <w:right w:val="single" w:sz="12" w:space="0" w:color="4354A2" w:themeColor="accent1"/>
            </w:tcBorders>
          </w:tcPr>
          <w:p w14:paraId="2217EE88" w14:textId="651C214B" w:rsidR="007F4549" w:rsidRPr="004B1CE7" w:rsidRDefault="007F4549" w:rsidP="007F4549">
            <w:pPr>
              <w:rPr>
                <w:sz w:val="16"/>
                <w:szCs w:val="16"/>
              </w:rPr>
            </w:pPr>
          </w:p>
        </w:tc>
      </w:tr>
      <w:tr w:rsidR="003E16F3" w14:paraId="5171045B" w14:textId="77777777" w:rsidTr="005D5EC0">
        <w:trPr>
          <w:trHeight w:val="3532"/>
        </w:trPr>
        <w:tc>
          <w:tcPr>
            <w:tcW w:w="3045" w:type="dxa"/>
            <w:gridSpan w:val="3"/>
            <w:vMerge w:val="restart"/>
            <w:tcBorders>
              <w:top w:val="single" w:sz="12" w:space="0" w:color="FFFFFF" w:themeColor="background1"/>
              <w:left w:val="single" w:sz="12" w:space="0" w:color="4354A2" w:themeColor="accent1"/>
              <w:bottom w:val="single" w:sz="36" w:space="0" w:color="4354A2" w:themeColor="accent1"/>
              <w:right w:val="single" w:sz="12" w:space="0" w:color="4354A2" w:themeColor="accent1"/>
            </w:tcBorders>
          </w:tcPr>
          <w:p w14:paraId="743D38F2" w14:textId="77777777" w:rsidR="0016567C" w:rsidRDefault="00F40D58" w:rsidP="00F40D58">
            <w:pPr>
              <w:pStyle w:val="TextBody"/>
              <w:numPr>
                <w:ilvl w:val="0"/>
                <w:numId w:val="2"/>
              </w:numPr>
              <w:ind w:left="330"/>
              <w:rPr>
                <w:b/>
                <w:bCs/>
                <w:color w:val="C00000"/>
                <w:sz w:val="28"/>
                <w:szCs w:val="36"/>
              </w:rPr>
            </w:pPr>
            <w:r>
              <w:rPr>
                <w:b/>
                <w:bCs/>
                <w:color w:val="C00000"/>
                <w:sz w:val="28"/>
                <w:szCs w:val="36"/>
              </w:rPr>
              <w:t>NEW Adult ED 2 Kiosk go live TODAY!</w:t>
            </w:r>
          </w:p>
          <w:p w14:paraId="2E70D04B" w14:textId="77777777" w:rsidR="00F40D58" w:rsidRDefault="00F40D58" w:rsidP="00F40D58">
            <w:pPr>
              <w:pStyle w:val="TextBody"/>
              <w:numPr>
                <w:ilvl w:val="0"/>
                <w:numId w:val="2"/>
              </w:numPr>
              <w:ind w:left="330"/>
              <w:rPr>
                <w:b/>
                <w:bCs/>
                <w:color w:val="C00000"/>
                <w:sz w:val="28"/>
                <w:szCs w:val="36"/>
              </w:rPr>
            </w:pPr>
            <w:r>
              <w:rPr>
                <w:b/>
                <w:bCs/>
                <w:color w:val="C00000"/>
                <w:sz w:val="28"/>
                <w:szCs w:val="36"/>
              </w:rPr>
              <w:t>Tomorrow 1</w:t>
            </w:r>
            <w:r w:rsidRPr="00F40D58">
              <w:rPr>
                <w:b/>
                <w:bCs/>
                <w:color w:val="C00000"/>
                <w:sz w:val="28"/>
                <w:szCs w:val="36"/>
                <w:vertAlign w:val="superscript"/>
              </w:rPr>
              <w:t>st</w:t>
            </w:r>
            <w:r>
              <w:rPr>
                <w:b/>
                <w:bCs/>
                <w:color w:val="C00000"/>
                <w:sz w:val="28"/>
                <w:szCs w:val="36"/>
              </w:rPr>
              <w:t xml:space="preserve"> shift should take temps of BOTH units and document on the form using a “/” slash to designate Adult ED/Adult ED2 locations until the Form can be updated.</w:t>
            </w:r>
          </w:p>
          <w:p w14:paraId="2E242807" w14:textId="77777777" w:rsidR="00F40D58" w:rsidRDefault="00F40D58" w:rsidP="00F40D58">
            <w:pPr>
              <w:pStyle w:val="TextBody"/>
              <w:numPr>
                <w:ilvl w:val="0"/>
                <w:numId w:val="2"/>
              </w:numPr>
              <w:ind w:left="330"/>
              <w:rPr>
                <w:b/>
                <w:bCs/>
                <w:color w:val="C00000"/>
                <w:sz w:val="28"/>
                <w:szCs w:val="36"/>
              </w:rPr>
            </w:pPr>
            <w:r>
              <w:rPr>
                <w:b/>
                <w:bCs/>
                <w:color w:val="C00000"/>
                <w:sz w:val="28"/>
                <w:szCs w:val="36"/>
              </w:rPr>
              <w:t>New PAR levels: 6 WB, 3 O pos, 3 O neg, 2 plasma per Adult ED location</w:t>
            </w:r>
          </w:p>
          <w:p w14:paraId="4A0F5DF5" w14:textId="77777777" w:rsidR="00F40D58" w:rsidRDefault="00F40D58" w:rsidP="00F40D58">
            <w:pPr>
              <w:pStyle w:val="TextBody"/>
              <w:numPr>
                <w:ilvl w:val="0"/>
                <w:numId w:val="2"/>
              </w:numPr>
              <w:ind w:left="330"/>
              <w:rPr>
                <w:b/>
                <w:bCs/>
                <w:color w:val="C00000"/>
                <w:sz w:val="28"/>
                <w:szCs w:val="36"/>
              </w:rPr>
            </w:pPr>
            <w:r>
              <w:rPr>
                <w:b/>
                <w:bCs/>
                <w:color w:val="C00000"/>
                <w:sz w:val="28"/>
                <w:szCs w:val="36"/>
              </w:rPr>
              <w:t xml:space="preserve">Tomorrow you can remove any “extra” units from Adult ED and bring back to blood bank. </w:t>
            </w:r>
          </w:p>
          <w:p w14:paraId="36FFD3E2" w14:textId="77777777" w:rsidR="0018560A" w:rsidRDefault="0018560A" w:rsidP="0018560A">
            <w:pPr>
              <w:rPr>
                <w:rFonts w:eastAsia="Franklin Gothic Book" w:cs="Franklin Gothic Book"/>
                <w:b/>
                <w:bCs/>
                <w:color w:val="C00000"/>
                <w:sz w:val="28"/>
                <w:szCs w:val="36"/>
                <w:lang w:bidi="en-US"/>
              </w:rPr>
            </w:pPr>
          </w:p>
          <w:p w14:paraId="2E9CFF6F" w14:textId="2C5AC790" w:rsidR="0018560A" w:rsidRPr="0018560A" w:rsidRDefault="0018560A" w:rsidP="0018560A">
            <w:pPr>
              <w:jc w:val="center"/>
              <w:rPr>
                <w:lang w:bidi="en-US"/>
              </w:rPr>
            </w:pPr>
          </w:p>
        </w:tc>
        <w:tc>
          <w:tcPr>
            <w:tcW w:w="236" w:type="dxa"/>
            <w:vMerge w:val="restart"/>
            <w:tcBorders>
              <w:top w:val="single" w:sz="12" w:space="0" w:color="FFFFFF" w:themeColor="background1"/>
              <w:left w:val="single" w:sz="12" w:space="0" w:color="4354A2" w:themeColor="accent1"/>
              <w:right w:val="single" w:sz="12" w:space="0" w:color="FFFFFF" w:themeColor="background1"/>
            </w:tcBorders>
          </w:tcPr>
          <w:p w14:paraId="580021EF" w14:textId="29EEBCF6" w:rsidR="003E16F3" w:rsidRDefault="003E16F3" w:rsidP="003E16F3"/>
        </w:tc>
        <w:tc>
          <w:tcPr>
            <w:tcW w:w="236" w:type="dxa"/>
            <w:vMerge w:val="restart"/>
            <w:tcBorders>
              <w:top w:val="single" w:sz="12" w:space="0" w:color="FFFFFF" w:themeColor="background1"/>
              <w:left w:val="single" w:sz="12" w:space="0" w:color="FFFFFF" w:themeColor="background1"/>
              <w:bottom w:val="single" w:sz="36" w:space="0" w:color="4354A2" w:themeColor="accent1"/>
              <w:right w:val="single" w:sz="12" w:space="0" w:color="4354A2" w:themeColor="accent1"/>
            </w:tcBorders>
          </w:tcPr>
          <w:p w14:paraId="1822BB26" w14:textId="09F9DADB" w:rsidR="003E16F3" w:rsidRDefault="003E16F3" w:rsidP="003E16F3"/>
        </w:tc>
        <w:tc>
          <w:tcPr>
            <w:tcW w:w="3758" w:type="dxa"/>
            <w:gridSpan w:val="4"/>
            <w:tcBorders>
              <w:top w:val="single" w:sz="12" w:space="0" w:color="4354A2" w:themeColor="accent1"/>
              <w:left w:val="single" w:sz="12" w:space="0" w:color="4354A2" w:themeColor="accent1"/>
              <w:bottom w:val="single" w:sz="36" w:space="0" w:color="4354A2" w:themeColor="accent1"/>
              <w:right w:val="single" w:sz="12" w:space="0" w:color="4354A2" w:themeColor="accent1"/>
            </w:tcBorders>
          </w:tcPr>
          <w:p w14:paraId="762D302E" w14:textId="77777777" w:rsidR="003E16F3" w:rsidRPr="00920CAD" w:rsidRDefault="003E16F3" w:rsidP="003E16F3">
            <w:pPr>
              <w:pStyle w:val="Titlenormal"/>
              <w:ind w:left="0"/>
              <w:rPr>
                <w:color w:val="C00000"/>
                <w:sz w:val="4"/>
                <w:szCs w:val="4"/>
              </w:rPr>
            </w:pPr>
          </w:p>
          <w:p w14:paraId="21F82341" w14:textId="77777777" w:rsidR="003E16F3" w:rsidRPr="004D16F5" w:rsidRDefault="003E16F3" w:rsidP="003E16F3">
            <w:pPr>
              <w:jc w:val="center"/>
              <w:rPr>
                <w:rFonts w:asciiTheme="majorHAnsi" w:hAnsiTheme="majorHAnsi"/>
                <w:b/>
                <w:bCs/>
                <w:color w:val="C00000"/>
                <w:sz w:val="48"/>
                <w:szCs w:val="48"/>
              </w:rPr>
            </w:pPr>
            <w:r w:rsidRPr="004D16F5">
              <w:rPr>
                <w:noProof/>
                <w:color w:val="C00000"/>
              </w:rPr>
              <mc:AlternateContent>
                <mc:Choice Requires="wps">
                  <w:drawing>
                    <wp:anchor distT="0" distB="0" distL="114300" distR="114300" simplePos="0" relativeHeight="251661312" behindDoc="0" locked="0" layoutInCell="1" allowOverlap="1" wp14:anchorId="686C5EC2" wp14:editId="7D90E429">
                      <wp:simplePos x="0" y="0"/>
                      <wp:positionH relativeFrom="column">
                        <wp:posOffset>-76835</wp:posOffset>
                      </wp:positionH>
                      <wp:positionV relativeFrom="paragraph">
                        <wp:posOffset>382905</wp:posOffset>
                      </wp:positionV>
                      <wp:extent cx="2466975" cy="0"/>
                      <wp:effectExtent l="0" t="0" r="0" b="0"/>
                      <wp:wrapNone/>
                      <wp:docPr id="1810132820"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E38C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pt,30.15pt" to="188.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" strokecolor="#4354a2 [3204]" strokeweight=".5pt">
                      <v:stroke joinstyle="miter"/>
                    </v:line>
                  </w:pict>
                </mc:Fallback>
              </mc:AlternateContent>
            </w:r>
            <w:r w:rsidRPr="004D16F5">
              <w:rPr>
                <w:rFonts w:asciiTheme="majorHAnsi" w:hAnsiTheme="majorHAnsi"/>
                <w:b/>
                <w:bCs/>
                <w:color w:val="C00000"/>
                <w:sz w:val="48"/>
                <w:szCs w:val="48"/>
              </w:rPr>
              <w:t>Quality</w:t>
            </w:r>
          </w:p>
          <w:p w14:paraId="44932A67" w14:textId="77777777" w:rsidR="003E16F3" w:rsidRPr="008A0D6D" w:rsidRDefault="003E16F3" w:rsidP="003E16F3">
            <w:pPr>
              <w:rPr>
                <w:color w:val="000000" w:themeColor="text1"/>
              </w:rPr>
            </w:pPr>
          </w:p>
          <w:p w14:paraId="16BD9BBA" w14:textId="350DA500" w:rsidR="007F73DF" w:rsidRPr="007C5BE2" w:rsidRDefault="00F40D58" w:rsidP="00F40D58">
            <w:pPr>
              <w:pStyle w:val="ListParagraph"/>
              <w:numPr>
                <w:ilvl w:val="0"/>
                <w:numId w:val="1"/>
              </w:numPr>
              <w:ind w:left="405"/>
              <w:rPr>
                <w:rFonts w:ascii="Arial" w:hAnsi="Arial" w:cs="Arial"/>
              </w:rPr>
            </w:pPr>
            <w:r>
              <w:rPr>
                <w:rFonts w:ascii="Arial" w:hAnsi="Arial" w:cs="Arial"/>
                <w:color w:val="C00000"/>
              </w:rPr>
              <w:t xml:space="preserve">2 units of E pos blood were given to a patient that required E negative for prophylaxis. It has been determined that these units were improperly held for this patient and placed on the antigen negative shelves. Multiple techs allocating blood for this patient selected units that were “held” to this patient without double checking the blue card. Nothing in SQ will flag you for instances like this. It is most likely that these units were tagged </w:t>
            </w:r>
            <w:proofErr w:type="gramStart"/>
            <w:r>
              <w:rPr>
                <w:rFonts w:ascii="Arial" w:hAnsi="Arial" w:cs="Arial"/>
                <w:color w:val="C00000"/>
              </w:rPr>
              <w:t>incorrectly</w:t>
            </w:r>
            <w:proofErr w:type="gramEnd"/>
            <w:r>
              <w:rPr>
                <w:rFonts w:ascii="Arial" w:hAnsi="Arial" w:cs="Arial"/>
                <w:color w:val="C00000"/>
              </w:rPr>
              <w:t xml:space="preserve"> and their blue cards switched with those of other units that were meant to be “held” for this patient. You MUST document your unit number on all blue cards. ALWAYS! </w:t>
            </w:r>
            <w:proofErr w:type="gramStart"/>
            <w:r>
              <w:rPr>
                <w:rFonts w:ascii="Arial" w:hAnsi="Arial" w:cs="Arial"/>
                <w:color w:val="C00000"/>
              </w:rPr>
              <w:t>You also</w:t>
            </w:r>
            <w:proofErr w:type="gramEnd"/>
            <w:r>
              <w:rPr>
                <w:rFonts w:ascii="Arial" w:hAnsi="Arial" w:cs="Arial"/>
                <w:color w:val="C00000"/>
              </w:rPr>
              <w:t xml:space="preserve"> must double check the patient requirements and units before allocation.  One small </w:t>
            </w:r>
            <w:r w:rsidR="0018560A">
              <w:rPr>
                <w:rFonts w:ascii="Arial" w:hAnsi="Arial" w:cs="Arial"/>
                <w:color w:val="C00000"/>
              </w:rPr>
              <w:t xml:space="preserve">mix up in our highly complex processes can cause issues. The patient now has Anti-E and a DHTR. </w:t>
            </w:r>
          </w:p>
        </w:tc>
        <w:tc>
          <w:tcPr>
            <w:tcW w:w="4000" w:type="dxa"/>
            <w:gridSpan w:val="4"/>
            <w:tcBorders>
              <w:top w:val="single" w:sz="12" w:space="0" w:color="4354A2" w:themeColor="accent1"/>
              <w:left w:val="single" w:sz="12" w:space="0" w:color="4354A2" w:themeColor="accent1"/>
              <w:bottom w:val="single" w:sz="36" w:space="0" w:color="4354A2" w:themeColor="accent1"/>
              <w:right w:val="single" w:sz="12" w:space="0" w:color="4354A2" w:themeColor="accent1"/>
            </w:tcBorders>
          </w:tcPr>
          <w:p w14:paraId="2CB85FCC" w14:textId="77777777" w:rsidR="00650AAC" w:rsidRDefault="00650AAC" w:rsidP="001D0E87">
            <w:pPr>
              <w:pStyle w:val="ListParagraph"/>
              <w:numPr>
                <w:ilvl w:val="0"/>
                <w:numId w:val="5"/>
              </w:numPr>
              <w:ind w:left="885"/>
              <w:rPr>
                <w:rFonts w:ascii="Arial" w:hAnsi="Arial" w:cs="Arial"/>
                <w:color w:val="C00000"/>
              </w:rPr>
            </w:pPr>
            <w:r>
              <w:rPr>
                <w:rFonts w:ascii="Arial" w:hAnsi="Arial" w:cs="Arial"/>
                <w:color w:val="C00000"/>
              </w:rPr>
              <w:t xml:space="preserve">CSW </w:t>
            </w:r>
            <w:proofErr w:type="gramStart"/>
            <w:r>
              <w:rPr>
                <w:rFonts w:ascii="Arial" w:hAnsi="Arial" w:cs="Arial"/>
                <w:color w:val="C00000"/>
              </w:rPr>
              <w:t>on</w:t>
            </w:r>
            <w:proofErr w:type="gramEnd"/>
            <w:r>
              <w:rPr>
                <w:rFonts w:ascii="Arial" w:hAnsi="Arial" w:cs="Arial"/>
                <w:color w:val="C00000"/>
              </w:rPr>
              <w:t xml:space="preserve"> vacation July 1 and will </w:t>
            </w:r>
            <w:proofErr w:type="gramStart"/>
            <w:r>
              <w:rPr>
                <w:rFonts w:ascii="Arial" w:hAnsi="Arial" w:cs="Arial"/>
                <w:color w:val="C00000"/>
              </w:rPr>
              <w:t>back</w:t>
            </w:r>
            <w:proofErr w:type="gramEnd"/>
            <w:r>
              <w:rPr>
                <w:rFonts w:ascii="Arial" w:hAnsi="Arial" w:cs="Arial"/>
                <w:color w:val="C00000"/>
              </w:rPr>
              <w:t xml:space="preserve"> August 4</w:t>
            </w:r>
            <w:r w:rsidRPr="00650AAC">
              <w:rPr>
                <w:rFonts w:ascii="Arial" w:hAnsi="Arial" w:cs="Arial"/>
                <w:color w:val="C00000"/>
                <w:vertAlign w:val="superscript"/>
              </w:rPr>
              <w:t>th</w:t>
            </w:r>
            <w:r>
              <w:rPr>
                <w:rFonts w:ascii="Arial" w:hAnsi="Arial" w:cs="Arial"/>
                <w:color w:val="C00000"/>
              </w:rPr>
              <w:t xml:space="preserve">! This is a LONG vacation. I will have weekly meetings with Bettina on Mondays at 3pm to discuss emergencies, </w:t>
            </w:r>
            <w:proofErr w:type="gramStart"/>
            <w:r>
              <w:rPr>
                <w:rFonts w:ascii="Arial" w:hAnsi="Arial" w:cs="Arial"/>
                <w:color w:val="C00000"/>
              </w:rPr>
              <w:t>etc..</w:t>
            </w:r>
            <w:proofErr w:type="gramEnd"/>
            <w:r>
              <w:rPr>
                <w:rFonts w:ascii="Arial" w:hAnsi="Arial" w:cs="Arial"/>
                <w:color w:val="C00000"/>
              </w:rPr>
              <w:t xml:space="preserve"> I should have access to emails.</w:t>
            </w:r>
          </w:p>
          <w:p w14:paraId="6379B382" w14:textId="77777777" w:rsidR="00650AAC" w:rsidRDefault="00650AAC" w:rsidP="001D0E87">
            <w:pPr>
              <w:pStyle w:val="ListParagraph"/>
              <w:numPr>
                <w:ilvl w:val="0"/>
                <w:numId w:val="5"/>
              </w:numPr>
              <w:ind w:left="885"/>
              <w:rPr>
                <w:rFonts w:ascii="Arial" w:hAnsi="Arial" w:cs="Arial"/>
                <w:color w:val="C00000"/>
              </w:rPr>
            </w:pPr>
            <w:r>
              <w:rPr>
                <w:rFonts w:ascii="Arial" w:hAnsi="Arial" w:cs="Arial"/>
                <w:color w:val="C00000"/>
              </w:rPr>
              <w:t>Workday go live is July 1</w:t>
            </w:r>
            <w:r w:rsidRPr="00650AAC">
              <w:rPr>
                <w:rFonts w:ascii="Arial" w:hAnsi="Arial" w:cs="Arial"/>
                <w:color w:val="C00000"/>
                <w:vertAlign w:val="superscript"/>
              </w:rPr>
              <w:t>st</w:t>
            </w:r>
            <w:r>
              <w:rPr>
                <w:rFonts w:ascii="Arial" w:hAnsi="Arial" w:cs="Arial"/>
                <w:color w:val="C00000"/>
              </w:rPr>
              <w:t>! New Core Connect.</w:t>
            </w:r>
          </w:p>
          <w:p w14:paraId="74A3BC53" w14:textId="77777777" w:rsidR="007F73DF" w:rsidRDefault="00650AAC" w:rsidP="001D0E87">
            <w:pPr>
              <w:pStyle w:val="ListParagraph"/>
              <w:numPr>
                <w:ilvl w:val="0"/>
                <w:numId w:val="5"/>
              </w:numPr>
              <w:ind w:left="885"/>
              <w:rPr>
                <w:rFonts w:ascii="Arial" w:hAnsi="Arial" w:cs="Arial"/>
                <w:color w:val="C00000"/>
              </w:rPr>
            </w:pPr>
            <w:r>
              <w:rPr>
                <w:rFonts w:ascii="Arial" w:hAnsi="Arial" w:cs="Arial"/>
                <w:color w:val="C00000"/>
              </w:rPr>
              <w:t xml:space="preserve">Print ANY needed paystubs now. They won’t be available. In </w:t>
            </w:r>
            <w:proofErr w:type="spellStart"/>
            <w:r>
              <w:rPr>
                <w:rFonts w:ascii="Arial" w:hAnsi="Arial" w:cs="Arial"/>
                <w:color w:val="C00000"/>
              </w:rPr>
              <w:t>WorkDay</w:t>
            </w:r>
            <w:proofErr w:type="spellEnd"/>
            <w:r>
              <w:rPr>
                <w:rFonts w:ascii="Arial" w:hAnsi="Arial" w:cs="Arial"/>
                <w:color w:val="C00000"/>
              </w:rPr>
              <w:t xml:space="preserve">. </w:t>
            </w:r>
            <w:r w:rsidR="007F73DF">
              <w:rPr>
                <w:rFonts w:ascii="Arial" w:hAnsi="Arial" w:cs="Arial"/>
                <w:color w:val="C00000"/>
              </w:rPr>
              <w:t xml:space="preserve"> </w:t>
            </w:r>
          </w:p>
          <w:p w14:paraId="43D4B002" w14:textId="0FBE9144" w:rsidR="0018560A" w:rsidRPr="001D0E87" w:rsidRDefault="0018560A" w:rsidP="001D0E87">
            <w:pPr>
              <w:pStyle w:val="ListParagraph"/>
              <w:numPr>
                <w:ilvl w:val="0"/>
                <w:numId w:val="5"/>
              </w:numPr>
              <w:ind w:left="885"/>
              <w:rPr>
                <w:rFonts w:ascii="Arial" w:hAnsi="Arial" w:cs="Arial"/>
                <w:color w:val="C00000"/>
              </w:rPr>
            </w:pPr>
            <w:proofErr w:type="gramStart"/>
            <w:r>
              <w:rPr>
                <w:rFonts w:ascii="Arial" w:hAnsi="Arial" w:cs="Arial"/>
                <w:color w:val="C00000"/>
              </w:rPr>
              <w:t>Contest</w:t>
            </w:r>
            <w:proofErr w:type="gramEnd"/>
            <w:r>
              <w:rPr>
                <w:rFonts w:ascii="Arial" w:hAnsi="Arial" w:cs="Arial"/>
                <w:color w:val="C00000"/>
              </w:rPr>
              <w:t xml:space="preserve"> </w:t>
            </w:r>
            <w:proofErr w:type="gramStart"/>
            <w:r>
              <w:rPr>
                <w:rFonts w:ascii="Arial" w:hAnsi="Arial" w:cs="Arial"/>
                <w:color w:val="C00000"/>
              </w:rPr>
              <w:t>starting</w:t>
            </w:r>
            <w:proofErr w:type="gramEnd"/>
            <w:r>
              <w:rPr>
                <w:rFonts w:ascii="Arial" w:hAnsi="Arial" w:cs="Arial"/>
                <w:color w:val="C00000"/>
              </w:rPr>
              <w:t xml:space="preserve"> Tuesday for usage of shorter dated products. Prizes for winners of all 3 shifts. </w:t>
            </w:r>
          </w:p>
        </w:tc>
      </w:tr>
      <w:tr w:rsidR="003E16F3" w14:paraId="693BB2A1" w14:textId="77777777" w:rsidTr="00E606C3">
        <w:trPr>
          <w:trHeight w:val="20"/>
        </w:trPr>
        <w:tc>
          <w:tcPr>
            <w:tcW w:w="3045" w:type="dxa"/>
            <w:gridSpan w:val="3"/>
            <w:vMerge/>
            <w:tcBorders>
              <w:top w:val="single" w:sz="36" w:space="0" w:color="4354A2" w:themeColor="accent1"/>
              <w:left w:val="single" w:sz="12" w:space="0" w:color="4354A2" w:themeColor="accent1"/>
              <w:right w:val="single" w:sz="12" w:space="0" w:color="4354A2" w:themeColor="accent1"/>
            </w:tcBorders>
          </w:tcPr>
          <w:p w14:paraId="77C109C5" w14:textId="77777777" w:rsidR="003E16F3" w:rsidRDefault="003E16F3" w:rsidP="003E16F3">
            <w:pPr>
              <w:rPr>
                <w:noProof/>
              </w:rPr>
            </w:pPr>
          </w:p>
        </w:tc>
        <w:tc>
          <w:tcPr>
            <w:tcW w:w="236" w:type="dxa"/>
            <w:vMerge/>
            <w:tcBorders>
              <w:left w:val="single" w:sz="12" w:space="0" w:color="4354A2" w:themeColor="accent1"/>
              <w:right w:val="single" w:sz="12" w:space="0" w:color="FFFFFF" w:themeColor="background1"/>
            </w:tcBorders>
          </w:tcPr>
          <w:p w14:paraId="43A0CE4A" w14:textId="77777777" w:rsidR="003E16F3" w:rsidRDefault="003E16F3" w:rsidP="003E16F3"/>
        </w:tc>
        <w:tc>
          <w:tcPr>
            <w:tcW w:w="236" w:type="dxa"/>
            <w:vMerge/>
            <w:tcBorders>
              <w:top w:val="single" w:sz="36" w:space="0" w:color="4354A2" w:themeColor="accent1"/>
              <w:left w:val="single" w:sz="12" w:space="0" w:color="FFFFFF" w:themeColor="background1"/>
              <w:right w:val="single" w:sz="12" w:space="0" w:color="4354A2" w:themeColor="accent1"/>
            </w:tcBorders>
          </w:tcPr>
          <w:p w14:paraId="0B16D350" w14:textId="77777777" w:rsidR="003E16F3" w:rsidRDefault="003E16F3" w:rsidP="003E16F3"/>
        </w:tc>
        <w:tc>
          <w:tcPr>
            <w:tcW w:w="3447" w:type="dxa"/>
            <w:gridSpan w:val="2"/>
            <w:tcBorders>
              <w:top w:val="single" w:sz="36" w:space="0" w:color="4354A2" w:themeColor="accent1"/>
              <w:left w:val="single" w:sz="12" w:space="0" w:color="4354A2" w:themeColor="accent1"/>
              <w:bottom w:val="single" w:sz="12" w:space="0" w:color="4354A2" w:themeColor="accent1"/>
            </w:tcBorders>
          </w:tcPr>
          <w:p w14:paraId="05B56328" w14:textId="14049972" w:rsidR="003E16F3" w:rsidRPr="000D3E28" w:rsidRDefault="003E16F3" w:rsidP="003E16F3">
            <w:pPr>
              <w:rPr>
                <w:noProof/>
                <w:lang w:eastAsia="en-AU"/>
              </w:rPr>
            </w:pPr>
          </w:p>
        </w:tc>
        <w:tc>
          <w:tcPr>
            <w:tcW w:w="236" w:type="dxa"/>
            <w:tcBorders>
              <w:top w:val="single" w:sz="36" w:space="0" w:color="4354A2" w:themeColor="accent1"/>
              <w:bottom w:val="single" w:sz="12" w:space="0" w:color="4354A2" w:themeColor="accent1"/>
              <w:right w:val="single" w:sz="12" w:space="0" w:color="4354A2" w:themeColor="accent1"/>
            </w:tcBorders>
          </w:tcPr>
          <w:p w14:paraId="1AA9A6C3" w14:textId="77777777" w:rsidR="003E16F3" w:rsidRDefault="003E16F3" w:rsidP="003E16F3"/>
        </w:tc>
        <w:tc>
          <w:tcPr>
            <w:tcW w:w="333" w:type="dxa"/>
            <w:gridSpan w:val="2"/>
            <w:tcBorders>
              <w:top w:val="single" w:sz="36" w:space="0" w:color="4354A2" w:themeColor="accent1"/>
              <w:left w:val="single" w:sz="12" w:space="0" w:color="4354A2" w:themeColor="accent1"/>
              <w:bottom w:val="single" w:sz="12" w:space="0" w:color="4354A2" w:themeColor="accent1"/>
            </w:tcBorders>
          </w:tcPr>
          <w:p w14:paraId="796F4746" w14:textId="77777777" w:rsidR="003E16F3" w:rsidRDefault="003E16F3" w:rsidP="003E16F3"/>
        </w:tc>
        <w:tc>
          <w:tcPr>
            <w:tcW w:w="3742" w:type="dxa"/>
            <w:gridSpan w:val="3"/>
            <w:tcBorders>
              <w:top w:val="single" w:sz="36" w:space="0" w:color="4354A2" w:themeColor="accent1"/>
              <w:bottom w:val="single" w:sz="12" w:space="0" w:color="4354A2" w:themeColor="accent1"/>
              <w:right w:val="single" w:sz="12" w:space="0" w:color="4354A2" w:themeColor="accent1"/>
            </w:tcBorders>
          </w:tcPr>
          <w:p w14:paraId="3D0E50BA" w14:textId="77777777" w:rsidR="003E16F3" w:rsidRPr="001B00E5" w:rsidRDefault="003E16F3" w:rsidP="003E16F3">
            <w:pPr>
              <w:rPr>
                <w:color w:val="C00000"/>
              </w:rPr>
            </w:pPr>
          </w:p>
        </w:tc>
      </w:tr>
      <w:tr w:rsidR="003E16F3" w14:paraId="618936D9" w14:textId="77777777" w:rsidTr="00206A66">
        <w:trPr>
          <w:trHeight w:val="4909"/>
        </w:trPr>
        <w:tc>
          <w:tcPr>
            <w:tcW w:w="3045" w:type="dxa"/>
            <w:gridSpan w:val="3"/>
            <w:vMerge/>
            <w:tcBorders>
              <w:left w:val="single" w:sz="12" w:space="0" w:color="4354A2" w:themeColor="accent1"/>
              <w:bottom w:val="single" w:sz="12" w:space="0" w:color="4354A2" w:themeColor="accent1"/>
              <w:right w:val="single" w:sz="12" w:space="0" w:color="4354A2" w:themeColor="accent1"/>
            </w:tcBorders>
          </w:tcPr>
          <w:p w14:paraId="3240BA22" w14:textId="77777777" w:rsidR="003E16F3" w:rsidRDefault="003E16F3" w:rsidP="003E16F3">
            <w:pPr>
              <w:rPr>
                <w:noProof/>
              </w:rPr>
            </w:pPr>
          </w:p>
        </w:tc>
        <w:tc>
          <w:tcPr>
            <w:tcW w:w="236" w:type="dxa"/>
            <w:vMerge/>
            <w:tcBorders>
              <w:left w:val="single" w:sz="12" w:space="0" w:color="4354A2" w:themeColor="accent1"/>
              <w:bottom w:val="single" w:sz="12" w:space="0" w:color="4354A2" w:themeColor="accent1"/>
              <w:right w:val="single" w:sz="12" w:space="0" w:color="FFFFFF" w:themeColor="background1"/>
            </w:tcBorders>
          </w:tcPr>
          <w:p w14:paraId="7831768D" w14:textId="77777777" w:rsidR="003E16F3" w:rsidRDefault="003E16F3" w:rsidP="003E16F3"/>
        </w:tc>
        <w:tc>
          <w:tcPr>
            <w:tcW w:w="236" w:type="dxa"/>
            <w:vMerge/>
            <w:tcBorders>
              <w:left w:val="single" w:sz="12" w:space="0" w:color="FFFFFF" w:themeColor="background1"/>
              <w:bottom w:val="single" w:sz="12" w:space="0" w:color="4354A2" w:themeColor="accent1"/>
              <w:right w:val="single" w:sz="12" w:space="0" w:color="4354A2" w:themeColor="accent1"/>
            </w:tcBorders>
          </w:tcPr>
          <w:p w14:paraId="1C9DF503" w14:textId="77777777" w:rsidR="003E16F3" w:rsidRDefault="003E16F3" w:rsidP="003E16F3"/>
        </w:tc>
        <w:tc>
          <w:tcPr>
            <w:tcW w:w="7758" w:type="dxa"/>
            <w:gridSpan w:val="8"/>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19A8896D" w14:textId="77777777" w:rsidR="003E16F3" w:rsidRDefault="003E16F3" w:rsidP="003E16F3">
            <w:pPr>
              <w:pStyle w:val="ListParagraph"/>
              <w:tabs>
                <w:tab w:val="left" w:pos="2670"/>
              </w:tabs>
              <w:ind w:left="740"/>
              <w:rPr>
                <w:color w:val="C00000"/>
                <w:sz w:val="24"/>
                <w:szCs w:val="32"/>
                <w:lang w:bidi="en-US"/>
              </w:rPr>
            </w:pPr>
          </w:p>
          <w:p w14:paraId="42DF0AE0" w14:textId="77777777" w:rsidR="00A15696" w:rsidRPr="00317C41" w:rsidRDefault="00A15696" w:rsidP="007C5BE2">
            <w:pPr>
              <w:rPr>
                <w:b/>
                <w:bCs/>
                <w:color w:val="C00000"/>
                <w:sz w:val="16"/>
                <w:szCs w:val="20"/>
                <w:lang w:bidi="en-US"/>
              </w:rPr>
            </w:pPr>
          </w:p>
          <w:p w14:paraId="55C3195B" w14:textId="1563CAA0" w:rsidR="00A15696" w:rsidRPr="00F40D58" w:rsidRDefault="00F40D58" w:rsidP="007C5BE2">
            <w:pPr>
              <w:rPr>
                <w:noProof/>
                <w:color w:val="C00000"/>
              </w:rPr>
            </w:pPr>
            <w:r w:rsidRPr="00F40D58">
              <w:rPr>
                <w:noProof/>
                <w:color w:val="C00000"/>
              </w:rPr>
              <w:t xml:space="preserve">Upcoming New Process: </w:t>
            </w:r>
          </w:p>
          <w:p w14:paraId="4FB02E30" w14:textId="77777777" w:rsidR="00F40D58" w:rsidRPr="00F40D58" w:rsidRDefault="00F40D58" w:rsidP="007C5BE2">
            <w:pPr>
              <w:rPr>
                <w:noProof/>
                <w:color w:val="C00000"/>
              </w:rPr>
            </w:pPr>
            <w:r w:rsidRPr="00F40D58">
              <w:rPr>
                <w:noProof/>
                <w:color w:val="C00000"/>
              </w:rPr>
              <w:t xml:space="preserve">Every time you make a split product you need to add </w:t>
            </w:r>
            <w:r w:rsidRPr="00F40D58">
              <w:rPr>
                <w:b/>
                <w:bCs/>
                <w:noProof/>
                <w:color w:val="C00000"/>
              </w:rPr>
              <w:t>SPLF</w:t>
            </w:r>
            <w:r w:rsidRPr="00F40D58">
              <w:rPr>
                <w:noProof/>
                <w:color w:val="C00000"/>
              </w:rPr>
              <w:t xml:space="preserve"> to the unit in BOP</w:t>
            </w:r>
          </w:p>
          <w:p w14:paraId="2225D451" w14:textId="77777777" w:rsidR="00F40D58" w:rsidRDefault="00F40D58" w:rsidP="00F40D58">
            <w:pPr>
              <w:rPr>
                <w:lang w:bidi="en-US"/>
              </w:rPr>
            </w:pPr>
            <w:r>
              <w:rPr>
                <w:noProof/>
              </w:rPr>
              <w:drawing>
                <wp:inline distT="0" distB="0" distL="0" distR="0" wp14:anchorId="4B7F4D11" wp14:editId="6DBC5AF7">
                  <wp:extent cx="4228571" cy="742857"/>
                  <wp:effectExtent l="0" t="0" r="635" b="635"/>
                  <wp:docPr id="1394626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6877" name=""/>
                          <pic:cNvPicPr/>
                        </pic:nvPicPr>
                        <pic:blipFill>
                          <a:blip r:embed="rId11"/>
                          <a:stretch>
                            <a:fillRect/>
                          </a:stretch>
                        </pic:blipFill>
                        <pic:spPr>
                          <a:xfrm>
                            <a:off x="0" y="0"/>
                            <a:ext cx="4228571" cy="742857"/>
                          </a:xfrm>
                          <a:prstGeom prst="rect">
                            <a:avLst/>
                          </a:prstGeom>
                        </pic:spPr>
                      </pic:pic>
                    </a:graphicData>
                  </a:graphic>
                </wp:inline>
              </w:drawing>
            </w:r>
          </w:p>
          <w:p w14:paraId="6A0BF285" w14:textId="77777777" w:rsidR="00F40D58" w:rsidRPr="00F40D58" w:rsidRDefault="00F40D58" w:rsidP="00F40D58">
            <w:pPr>
              <w:rPr>
                <w:color w:val="C00000"/>
                <w:lang w:bidi="en-US"/>
              </w:rPr>
            </w:pPr>
            <w:r w:rsidRPr="00F40D58">
              <w:rPr>
                <w:color w:val="C00000"/>
                <w:lang w:bidi="en-US"/>
              </w:rPr>
              <w:t xml:space="preserve">Procedures will be updated to reflect this change. </w:t>
            </w:r>
          </w:p>
          <w:p w14:paraId="479AA2E2" w14:textId="77777777" w:rsidR="00F40D58" w:rsidRDefault="00F40D58" w:rsidP="00F40D58">
            <w:pPr>
              <w:rPr>
                <w:color w:val="C00000"/>
                <w:lang w:bidi="en-US"/>
              </w:rPr>
            </w:pPr>
            <w:r w:rsidRPr="00F40D58">
              <w:rPr>
                <w:color w:val="C00000"/>
                <w:lang w:bidi="en-US"/>
              </w:rPr>
              <w:t xml:space="preserve">We found during our recent audit that we have been </w:t>
            </w:r>
            <w:proofErr w:type="gramStart"/>
            <w:r w:rsidRPr="00F40D58">
              <w:rPr>
                <w:color w:val="C00000"/>
                <w:lang w:bidi="en-US"/>
              </w:rPr>
              <w:t>charging for</w:t>
            </w:r>
            <w:proofErr w:type="gramEnd"/>
            <w:r w:rsidRPr="00F40D58">
              <w:rPr>
                <w:color w:val="C00000"/>
                <w:lang w:bidi="en-US"/>
              </w:rPr>
              <w:t xml:space="preserve"> full units for all split products since Mar 2, 2024. The fix for this is to add this SPLF charge only to charge for the splitting. Then there is a report that this code triggers where management team will have to go back and charge for an aliquot and credit the full unit charge. Compliance and billing are looking at if we need to go back and fix for all units since March 2, 2024. </w:t>
            </w:r>
          </w:p>
          <w:p w14:paraId="0BAC06B0" w14:textId="7C7D3BAE" w:rsidR="00F40D58" w:rsidRPr="00F40D58" w:rsidRDefault="00F40D58" w:rsidP="00F40D58">
            <w:pPr>
              <w:rPr>
                <w:lang w:bidi="en-US"/>
              </w:rPr>
            </w:pPr>
            <w:r>
              <w:rPr>
                <w:color w:val="C00000"/>
                <w:lang w:bidi="en-US"/>
              </w:rPr>
              <w:t xml:space="preserve">JJ will do this initially and we will work it </w:t>
            </w:r>
            <w:proofErr w:type="gramStart"/>
            <w:r>
              <w:rPr>
                <w:color w:val="C00000"/>
                <w:lang w:bidi="en-US"/>
              </w:rPr>
              <w:t>into</w:t>
            </w:r>
            <w:proofErr w:type="gramEnd"/>
            <w:r>
              <w:rPr>
                <w:color w:val="C00000"/>
                <w:lang w:bidi="en-US"/>
              </w:rPr>
              <w:t xml:space="preserve"> our workflow when I get back in August. Starting August 4 all staff must add the SPLF fee to unit themselves at the time of allocation. Procedures will be </w:t>
            </w:r>
            <w:proofErr w:type="gramStart"/>
            <w:r>
              <w:rPr>
                <w:color w:val="C00000"/>
                <w:lang w:bidi="en-US"/>
              </w:rPr>
              <w:t>updated</w:t>
            </w:r>
            <w:proofErr w:type="gramEnd"/>
            <w:r>
              <w:rPr>
                <w:color w:val="C00000"/>
                <w:lang w:bidi="en-US"/>
              </w:rPr>
              <w:t xml:space="preserve"> and you will have 1 month to read them and complete training on this process. </w:t>
            </w:r>
          </w:p>
        </w:tc>
      </w:tr>
      <w:tr w:rsidR="003E16F3" w14:paraId="1585693D" w14:textId="77777777" w:rsidTr="00E606C3">
        <w:trPr>
          <w:trHeight w:val="65"/>
        </w:trPr>
        <w:tc>
          <w:tcPr>
            <w:tcW w:w="3045" w:type="dxa"/>
            <w:gridSpan w:val="3"/>
            <w:tcBorders>
              <w:left w:val="single" w:sz="12" w:space="0" w:color="4354A2" w:themeColor="accent1"/>
              <w:bottom w:val="single" w:sz="12" w:space="0" w:color="4354A2" w:themeColor="accent1"/>
              <w:right w:val="single" w:sz="12" w:space="0" w:color="4354A2" w:themeColor="accent1"/>
            </w:tcBorders>
          </w:tcPr>
          <w:p w14:paraId="0ADA7EB3" w14:textId="77777777" w:rsidR="003E16F3" w:rsidRPr="00ED0E60" w:rsidRDefault="003E16F3" w:rsidP="003E16F3"/>
        </w:tc>
        <w:tc>
          <w:tcPr>
            <w:tcW w:w="236" w:type="dxa"/>
            <w:tcBorders>
              <w:left w:val="single" w:sz="12" w:space="0" w:color="4354A2" w:themeColor="accent1"/>
              <w:bottom w:val="single" w:sz="12" w:space="0" w:color="4354A2" w:themeColor="accent1"/>
              <w:right w:val="single" w:sz="12" w:space="0" w:color="FFFFFF" w:themeColor="background1"/>
            </w:tcBorders>
          </w:tcPr>
          <w:p w14:paraId="7B3B3D70" w14:textId="77777777" w:rsidR="003E16F3" w:rsidRDefault="003E16F3" w:rsidP="003E16F3"/>
        </w:tc>
        <w:tc>
          <w:tcPr>
            <w:tcW w:w="236" w:type="dxa"/>
            <w:tcBorders>
              <w:left w:val="single" w:sz="12" w:space="0" w:color="FFFFFF" w:themeColor="background1"/>
              <w:bottom w:val="single" w:sz="12" w:space="0" w:color="4354A2" w:themeColor="accent1"/>
              <w:right w:val="single" w:sz="12" w:space="0" w:color="4354A2" w:themeColor="accent1"/>
            </w:tcBorders>
          </w:tcPr>
          <w:p w14:paraId="2AB0FC88" w14:textId="77777777" w:rsidR="003E16F3" w:rsidRDefault="003E16F3" w:rsidP="003E16F3"/>
        </w:tc>
        <w:tc>
          <w:tcPr>
            <w:tcW w:w="7758" w:type="dxa"/>
            <w:gridSpan w:val="8"/>
            <w:tcBorders>
              <w:top w:val="single" w:sz="12" w:space="0" w:color="4354A2" w:themeColor="accent1"/>
              <w:left w:val="single" w:sz="12" w:space="0" w:color="4354A2" w:themeColor="accent1"/>
              <w:bottom w:val="single" w:sz="12" w:space="0" w:color="4354A2" w:themeColor="accent1"/>
              <w:right w:val="single" w:sz="12" w:space="0" w:color="4354A2" w:themeColor="accent1"/>
            </w:tcBorders>
          </w:tcPr>
          <w:p w14:paraId="62D4B735" w14:textId="77777777" w:rsidR="003E16F3" w:rsidRPr="00ED0E60" w:rsidRDefault="003E16F3" w:rsidP="003E16F3">
            <w:pPr>
              <w:tabs>
                <w:tab w:val="left" w:pos="2670"/>
              </w:tabs>
              <w:rPr>
                <w:color w:val="C00000"/>
                <w:sz w:val="24"/>
                <w:lang w:bidi="en-US"/>
              </w:rPr>
            </w:pPr>
          </w:p>
        </w:tc>
      </w:tr>
    </w:tbl>
    <w:p w14:paraId="55C7A1E8" w14:textId="59AC0646" w:rsidR="00AE5947" w:rsidRDefault="00AE5947" w:rsidP="00605AC2"/>
    <w:sectPr w:rsidR="00AE594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A5EE" w14:textId="77777777" w:rsidR="00E561E0" w:rsidRDefault="00E561E0" w:rsidP="001D6100">
      <w:r>
        <w:separator/>
      </w:r>
    </w:p>
  </w:endnote>
  <w:endnote w:type="continuationSeparator" w:id="0">
    <w:p w14:paraId="33B3A7B6" w14:textId="77777777" w:rsidR="00E561E0" w:rsidRDefault="00E561E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260D" w14:textId="77777777" w:rsidR="00E561E0" w:rsidRDefault="00E561E0" w:rsidP="001D6100">
      <w:r>
        <w:separator/>
      </w:r>
    </w:p>
  </w:footnote>
  <w:footnote w:type="continuationSeparator" w:id="0">
    <w:p w14:paraId="6F3E8189" w14:textId="77777777" w:rsidR="00E561E0" w:rsidRDefault="00E561E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06DC8"/>
    <w:multiLevelType w:val="hybridMultilevel"/>
    <w:tmpl w:val="E5BAB9DA"/>
    <w:lvl w:ilvl="0" w:tplc="D8EC5CD6">
      <w:start w:val="1"/>
      <w:numFmt w:val="bullet"/>
      <w:lvlText w:val=""/>
      <w:lvlJc w:val="left"/>
      <w:pPr>
        <w:ind w:left="855" w:hanging="360"/>
      </w:pPr>
      <w:rPr>
        <w:rFonts w:ascii="Symbol" w:hAnsi="Symbol" w:hint="default"/>
        <w:color w:val="C0000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49772CBF"/>
    <w:multiLevelType w:val="hybridMultilevel"/>
    <w:tmpl w:val="CC0C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DE024B"/>
    <w:multiLevelType w:val="hybridMultilevel"/>
    <w:tmpl w:val="220C7A50"/>
    <w:lvl w:ilvl="0" w:tplc="08D4F276">
      <w:start w:val="1"/>
      <w:numFmt w:val="decimal"/>
      <w:lvlText w:val="%1."/>
      <w:lvlJc w:val="left"/>
      <w:pPr>
        <w:ind w:left="1515" w:hanging="360"/>
      </w:pPr>
      <w:rPr>
        <w:rFonts w:hint="default"/>
        <w:color w:val="C00000"/>
        <w:sz w:val="22"/>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5C334F63"/>
    <w:multiLevelType w:val="hybridMultilevel"/>
    <w:tmpl w:val="80327954"/>
    <w:lvl w:ilvl="0" w:tplc="D8EC5CD6">
      <w:start w:val="1"/>
      <w:numFmt w:val="bullet"/>
      <w:lvlText w:val=""/>
      <w:lvlJc w:val="left"/>
      <w:pPr>
        <w:ind w:left="875" w:hanging="360"/>
      </w:pPr>
      <w:rPr>
        <w:rFonts w:ascii="Symbol" w:hAnsi="Symbol" w:hint="default"/>
        <w:color w:val="C0000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785B18B8"/>
    <w:multiLevelType w:val="hybridMultilevel"/>
    <w:tmpl w:val="316C6514"/>
    <w:lvl w:ilvl="0" w:tplc="A84E2C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1352688017">
    <w:abstractNumId w:val="0"/>
  </w:num>
  <w:num w:numId="2" w16cid:durableId="404382385">
    <w:abstractNumId w:val="3"/>
  </w:num>
  <w:num w:numId="3" w16cid:durableId="991057473">
    <w:abstractNumId w:val="4"/>
  </w:num>
  <w:num w:numId="4" w16cid:durableId="1251744148">
    <w:abstractNumId w:val="2"/>
  </w:num>
  <w:num w:numId="5" w16cid:durableId="1084436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E0"/>
    <w:rsid w:val="00003011"/>
    <w:rsid w:val="00011DD4"/>
    <w:rsid w:val="000273F5"/>
    <w:rsid w:val="000366AB"/>
    <w:rsid w:val="000415A4"/>
    <w:rsid w:val="00043CAA"/>
    <w:rsid w:val="000441BA"/>
    <w:rsid w:val="000514FC"/>
    <w:rsid w:val="00060922"/>
    <w:rsid w:val="00064068"/>
    <w:rsid w:val="000736DA"/>
    <w:rsid w:val="0007402B"/>
    <w:rsid w:val="000851C2"/>
    <w:rsid w:val="00094812"/>
    <w:rsid w:val="000A06A1"/>
    <w:rsid w:val="000B47C6"/>
    <w:rsid w:val="000B4D1C"/>
    <w:rsid w:val="000B5FB2"/>
    <w:rsid w:val="000B7512"/>
    <w:rsid w:val="000B7BB9"/>
    <w:rsid w:val="000C430C"/>
    <w:rsid w:val="000D03CA"/>
    <w:rsid w:val="000D3E28"/>
    <w:rsid w:val="000D6BCC"/>
    <w:rsid w:val="000E0E61"/>
    <w:rsid w:val="000F7FF4"/>
    <w:rsid w:val="00100435"/>
    <w:rsid w:val="00103753"/>
    <w:rsid w:val="00110983"/>
    <w:rsid w:val="00115427"/>
    <w:rsid w:val="00120B9D"/>
    <w:rsid w:val="0012244B"/>
    <w:rsid w:val="001309D9"/>
    <w:rsid w:val="00133247"/>
    <w:rsid w:val="00136101"/>
    <w:rsid w:val="001362C9"/>
    <w:rsid w:val="00146737"/>
    <w:rsid w:val="00147C31"/>
    <w:rsid w:val="001643C3"/>
    <w:rsid w:val="00164A53"/>
    <w:rsid w:val="0016567C"/>
    <w:rsid w:val="00170697"/>
    <w:rsid w:val="00174E4E"/>
    <w:rsid w:val="00176B0F"/>
    <w:rsid w:val="0018560A"/>
    <w:rsid w:val="00186AB2"/>
    <w:rsid w:val="001940B9"/>
    <w:rsid w:val="001A1B0F"/>
    <w:rsid w:val="001A4DCE"/>
    <w:rsid w:val="001B00E5"/>
    <w:rsid w:val="001D065B"/>
    <w:rsid w:val="001D0E87"/>
    <w:rsid w:val="001D6100"/>
    <w:rsid w:val="001E3BA4"/>
    <w:rsid w:val="001E4EC1"/>
    <w:rsid w:val="001F0DF6"/>
    <w:rsid w:val="00200D6B"/>
    <w:rsid w:val="00206A66"/>
    <w:rsid w:val="00227013"/>
    <w:rsid w:val="00234180"/>
    <w:rsid w:val="00235CED"/>
    <w:rsid w:val="002505B7"/>
    <w:rsid w:val="002558A3"/>
    <w:rsid w:val="00263445"/>
    <w:rsid w:val="00273018"/>
    <w:rsid w:val="00273092"/>
    <w:rsid w:val="00284C12"/>
    <w:rsid w:val="002906BF"/>
    <w:rsid w:val="00293079"/>
    <w:rsid w:val="00296039"/>
    <w:rsid w:val="002A28EE"/>
    <w:rsid w:val="002B7882"/>
    <w:rsid w:val="002C1F44"/>
    <w:rsid w:val="002C6126"/>
    <w:rsid w:val="002D39CB"/>
    <w:rsid w:val="002D494B"/>
    <w:rsid w:val="002E6DA7"/>
    <w:rsid w:val="002E7FDA"/>
    <w:rsid w:val="00303024"/>
    <w:rsid w:val="00305AD3"/>
    <w:rsid w:val="00315B97"/>
    <w:rsid w:val="00317C41"/>
    <w:rsid w:val="003208E0"/>
    <w:rsid w:val="003209B2"/>
    <w:rsid w:val="0032628A"/>
    <w:rsid w:val="00331868"/>
    <w:rsid w:val="003409BD"/>
    <w:rsid w:val="00344E11"/>
    <w:rsid w:val="00345442"/>
    <w:rsid w:val="0034755C"/>
    <w:rsid w:val="00354D9A"/>
    <w:rsid w:val="00360F7A"/>
    <w:rsid w:val="003924B1"/>
    <w:rsid w:val="003A0ACA"/>
    <w:rsid w:val="003A11F9"/>
    <w:rsid w:val="003B22F9"/>
    <w:rsid w:val="003B24D7"/>
    <w:rsid w:val="003B36B9"/>
    <w:rsid w:val="003B3BEB"/>
    <w:rsid w:val="003B4AAE"/>
    <w:rsid w:val="003C0112"/>
    <w:rsid w:val="003D186B"/>
    <w:rsid w:val="003E115A"/>
    <w:rsid w:val="003E16F3"/>
    <w:rsid w:val="003E2A95"/>
    <w:rsid w:val="003E43FE"/>
    <w:rsid w:val="003E4D9A"/>
    <w:rsid w:val="003F17B1"/>
    <w:rsid w:val="003F32B7"/>
    <w:rsid w:val="00401EDA"/>
    <w:rsid w:val="00413E08"/>
    <w:rsid w:val="00414D6A"/>
    <w:rsid w:val="004379C7"/>
    <w:rsid w:val="00460724"/>
    <w:rsid w:val="00464CBD"/>
    <w:rsid w:val="00471A2C"/>
    <w:rsid w:val="0047210F"/>
    <w:rsid w:val="00473336"/>
    <w:rsid w:val="00475E6A"/>
    <w:rsid w:val="00490692"/>
    <w:rsid w:val="00495525"/>
    <w:rsid w:val="004A20F9"/>
    <w:rsid w:val="004A7CD5"/>
    <w:rsid w:val="004B1CE7"/>
    <w:rsid w:val="004B3499"/>
    <w:rsid w:val="004B6A44"/>
    <w:rsid w:val="004C4262"/>
    <w:rsid w:val="004C4A89"/>
    <w:rsid w:val="004C7FD4"/>
    <w:rsid w:val="004D16F5"/>
    <w:rsid w:val="004D5C3A"/>
    <w:rsid w:val="004E3FA1"/>
    <w:rsid w:val="004F5A03"/>
    <w:rsid w:val="005059EC"/>
    <w:rsid w:val="00506318"/>
    <w:rsid w:val="00511A8D"/>
    <w:rsid w:val="00511BBF"/>
    <w:rsid w:val="00513C62"/>
    <w:rsid w:val="00516D04"/>
    <w:rsid w:val="00523CE4"/>
    <w:rsid w:val="00535CEE"/>
    <w:rsid w:val="0054279B"/>
    <w:rsid w:val="00547F8C"/>
    <w:rsid w:val="00553D06"/>
    <w:rsid w:val="00555CEE"/>
    <w:rsid w:val="005645A7"/>
    <w:rsid w:val="00572D26"/>
    <w:rsid w:val="0058336D"/>
    <w:rsid w:val="005833BB"/>
    <w:rsid w:val="005A325B"/>
    <w:rsid w:val="005A7A4F"/>
    <w:rsid w:val="005B362C"/>
    <w:rsid w:val="005B581A"/>
    <w:rsid w:val="005C54F0"/>
    <w:rsid w:val="005D5EC0"/>
    <w:rsid w:val="005D6823"/>
    <w:rsid w:val="005E12E2"/>
    <w:rsid w:val="005E250D"/>
    <w:rsid w:val="00602D8F"/>
    <w:rsid w:val="00605AC2"/>
    <w:rsid w:val="0060774D"/>
    <w:rsid w:val="00611D67"/>
    <w:rsid w:val="00613BDD"/>
    <w:rsid w:val="00615348"/>
    <w:rsid w:val="006164C5"/>
    <w:rsid w:val="00627385"/>
    <w:rsid w:val="00634EA0"/>
    <w:rsid w:val="00645773"/>
    <w:rsid w:val="00647227"/>
    <w:rsid w:val="00650AAC"/>
    <w:rsid w:val="0065319B"/>
    <w:rsid w:val="00654F30"/>
    <w:rsid w:val="00655487"/>
    <w:rsid w:val="00655DBA"/>
    <w:rsid w:val="006623D5"/>
    <w:rsid w:val="006649BD"/>
    <w:rsid w:val="00670D3D"/>
    <w:rsid w:val="00672A46"/>
    <w:rsid w:val="006734B0"/>
    <w:rsid w:val="00692B40"/>
    <w:rsid w:val="00696803"/>
    <w:rsid w:val="00697068"/>
    <w:rsid w:val="006A3361"/>
    <w:rsid w:val="006A3559"/>
    <w:rsid w:val="006A6D66"/>
    <w:rsid w:val="006B1391"/>
    <w:rsid w:val="006B498E"/>
    <w:rsid w:val="006C30F5"/>
    <w:rsid w:val="006C60E6"/>
    <w:rsid w:val="006D3EAD"/>
    <w:rsid w:val="006E5F0B"/>
    <w:rsid w:val="006F2B7B"/>
    <w:rsid w:val="007046EF"/>
    <w:rsid w:val="00706EBF"/>
    <w:rsid w:val="007100AC"/>
    <w:rsid w:val="00711295"/>
    <w:rsid w:val="00713E5C"/>
    <w:rsid w:val="00714B06"/>
    <w:rsid w:val="00721089"/>
    <w:rsid w:val="00723906"/>
    <w:rsid w:val="007266BC"/>
    <w:rsid w:val="00727452"/>
    <w:rsid w:val="0073326F"/>
    <w:rsid w:val="00740951"/>
    <w:rsid w:val="00742DAB"/>
    <w:rsid w:val="007546AB"/>
    <w:rsid w:val="00760A6D"/>
    <w:rsid w:val="007637E5"/>
    <w:rsid w:val="00764AF0"/>
    <w:rsid w:val="00770410"/>
    <w:rsid w:val="00772339"/>
    <w:rsid w:val="007768DF"/>
    <w:rsid w:val="0078163A"/>
    <w:rsid w:val="00784FB8"/>
    <w:rsid w:val="0079081F"/>
    <w:rsid w:val="00794584"/>
    <w:rsid w:val="007A3DE1"/>
    <w:rsid w:val="007A6315"/>
    <w:rsid w:val="007A651D"/>
    <w:rsid w:val="007B1DA0"/>
    <w:rsid w:val="007B4099"/>
    <w:rsid w:val="007B64BE"/>
    <w:rsid w:val="007C55D3"/>
    <w:rsid w:val="007C5BE2"/>
    <w:rsid w:val="007C6445"/>
    <w:rsid w:val="007D2AC9"/>
    <w:rsid w:val="007D43F5"/>
    <w:rsid w:val="007E773E"/>
    <w:rsid w:val="007F4549"/>
    <w:rsid w:val="007F5F21"/>
    <w:rsid w:val="007F60FD"/>
    <w:rsid w:val="007F73DF"/>
    <w:rsid w:val="0080638F"/>
    <w:rsid w:val="00810E21"/>
    <w:rsid w:val="00812B89"/>
    <w:rsid w:val="00813F33"/>
    <w:rsid w:val="008175A1"/>
    <w:rsid w:val="008260C4"/>
    <w:rsid w:val="008279B1"/>
    <w:rsid w:val="00827A68"/>
    <w:rsid w:val="00832598"/>
    <w:rsid w:val="00836B38"/>
    <w:rsid w:val="0084182B"/>
    <w:rsid w:val="0085618E"/>
    <w:rsid w:val="008603CC"/>
    <w:rsid w:val="008607B8"/>
    <w:rsid w:val="00860B26"/>
    <w:rsid w:val="0086570C"/>
    <w:rsid w:val="00874C21"/>
    <w:rsid w:val="008844A9"/>
    <w:rsid w:val="00895514"/>
    <w:rsid w:val="008A0D6D"/>
    <w:rsid w:val="008A4E2F"/>
    <w:rsid w:val="008A5437"/>
    <w:rsid w:val="008B2D7D"/>
    <w:rsid w:val="008C348C"/>
    <w:rsid w:val="008D05DE"/>
    <w:rsid w:val="008E1844"/>
    <w:rsid w:val="008E790A"/>
    <w:rsid w:val="008F181D"/>
    <w:rsid w:val="008F299E"/>
    <w:rsid w:val="008F6260"/>
    <w:rsid w:val="008F6AE1"/>
    <w:rsid w:val="00906587"/>
    <w:rsid w:val="00920CAD"/>
    <w:rsid w:val="00924D72"/>
    <w:rsid w:val="00930241"/>
    <w:rsid w:val="00931546"/>
    <w:rsid w:val="0094171B"/>
    <w:rsid w:val="009439C0"/>
    <w:rsid w:val="00950712"/>
    <w:rsid w:val="00960267"/>
    <w:rsid w:val="00964DAB"/>
    <w:rsid w:val="00965284"/>
    <w:rsid w:val="0096561B"/>
    <w:rsid w:val="00971760"/>
    <w:rsid w:val="009765EA"/>
    <w:rsid w:val="00990CB6"/>
    <w:rsid w:val="009A1F9E"/>
    <w:rsid w:val="009A3F12"/>
    <w:rsid w:val="009D1F06"/>
    <w:rsid w:val="009E6110"/>
    <w:rsid w:val="009F20AE"/>
    <w:rsid w:val="00A046CC"/>
    <w:rsid w:val="00A107E5"/>
    <w:rsid w:val="00A15696"/>
    <w:rsid w:val="00A31354"/>
    <w:rsid w:val="00A40213"/>
    <w:rsid w:val="00A63EDE"/>
    <w:rsid w:val="00A76605"/>
    <w:rsid w:val="00A819CA"/>
    <w:rsid w:val="00A81E97"/>
    <w:rsid w:val="00A841AB"/>
    <w:rsid w:val="00A90A66"/>
    <w:rsid w:val="00A9657C"/>
    <w:rsid w:val="00AA1031"/>
    <w:rsid w:val="00AA4F80"/>
    <w:rsid w:val="00AA5772"/>
    <w:rsid w:val="00AA686D"/>
    <w:rsid w:val="00AA69D0"/>
    <w:rsid w:val="00AB3379"/>
    <w:rsid w:val="00AC28C4"/>
    <w:rsid w:val="00AC47D7"/>
    <w:rsid w:val="00AC4F2F"/>
    <w:rsid w:val="00AD6977"/>
    <w:rsid w:val="00AE5947"/>
    <w:rsid w:val="00AE61EF"/>
    <w:rsid w:val="00AE77D6"/>
    <w:rsid w:val="00AF14B4"/>
    <w:rsid w:val="00B05712"/>
    <w:rsid w:val="00B20155"/>
    <w:rsid w:val="00B25AA8"/>
    <w:rsid w:val="00B43495"/>
    <w:rsid w:val="00B50F4E"/>
    <w:rsid w:val="00B5154C"/>
    <w:rsid w:val="00B51B77"/>
    <w:rsid w:val="00B60E01"/>
    <w:rsid w:val="00BA4896"/>
    <w:rsid w:val="00BC24BC"/>
    <w:rsid w:val="00BC3695"/>
    <w:rsid w:val="00BD3555"/>
    <w:rsid w:val="00BE6FBF"/>
    <w:rsid w:val="00BF1870"/>
    <w:rsid w:val="00C02D59"/>
    <w:rsid w:val="00C06C57"/>
    <w:rsid w:val="00C06E5C"/>
    <w:rsid w:val="00C11A68"/>
    <w:rsid w:val="00C12F09"/>
    <w:rsid w:val="00C13FF6"/>
    <w:rsid w:val="00C30AFF"/>
    <w:rsid w:val="00C50DE6"/>
    <w:rsid w:val="00C51E58"/>
    <w:rsid w:val="00C53171"/>
    <w:rsid w:val="00C536FC"/>
    <w:rsid w:val="00C57D2D"/>
    <w:rsid w:val="00C839DE"/>
    <w:rsid w:val="00C84101"/>
    <w:rsid w:val="00C87752"/>
    <w:rsid w:val="00C971E8"/>
    <w:rsid w:val="00C9786E"/>
    <w:rsid w:val="00CA144D"/>
    <w:rsid w:val="00CA371D"/>
    <w:rsid w:val="00CC624F"/>
    <w:rsid w:val="00CC740F"/>
    <w:rsid w:val="00CD05DA"/>
    <w:rsid w:val="00CF22BF"/>
    <w:rsid w:val="00CF700A"/>
    <w:rsid w:val="00D011B3"/>
    <w:rsid w:val="00D05CB6"/>
    <w:rsid w:val="00D06A80"/>
    <w:rsid w:val="00D121EE"/>
    <w:rsid w:val="00D259A3"/>
    <w:rsid w:val="00D27516"/>
    <w:rsid w:val="00D33FDD"/>
    <w:rsid w:val="00D3500A"/>
    <w:rsid w:val="00D4518B"/>
    <w:rsid w:val="00D5539C"/>
    <w:rsid w:val="00D5600A"/>
    <w:rsid w:val="00D56FBC"/>
    <w:rsid w:val="00D57BCA"/>
    <w:rsid w:val="00D61548"/>
    <w:rsid w:val="00D63068"/>
    <w:rsid w:val="00D639C2"/>
    <w:rsid w:val="00D67D62"/>
    <w:rsid w:val="00D87758"/>
    <w:rsid w:val="00D9411E"/>
    <w:rsid w:val="00DA3F64"/>
    <w:rsid w:val="00DA7949"/>
    <w:rsid w:val="00DB06C6"/>
    <w:rsid w:val="00DB1B34"/>
    <w:rsid w:val="00DB49E4"/>
    <w:rsid w:val="00DB6962"/>
    <w:rsid w:val="00DC0991"/>
    <w:rsid w:val="00DC654F"/>
    <w:rsid w:val="00DD2416"/>
    <w:rsid w:val="00DE16FD"/>
    <w:rsid w:val="00DE1818"/>
    <w:rsid w:val="00DE42B7"/>
    <w:rsid w:val="00DF4B6A"/>
    <w:rsid w:val="00E037CC"/>
    <w:rsid w:val="00E06EE7"/>
    <w:rsid w:val="00E139C6"/>
    <w:rsid w:val="00E26911"/>
    <w:rsid w:val="00E3428D"/>
    <w:rsid w:val="00E349E2"/>
    <w:rsid w:val="00E43E4D"/>
    <w:rsid w:val="00E54722"/>
    <w:rsid w:val="00E561E0"/>
    <w:rsid w:val="00E606C3"/>
    <w:rsid w:val="00E62B77"/>
    <w:rsid w:val="00E65B7F"/>
    <w:rsid w:val="00E729E9"/>
    <w:rsid w:val="00E748CC"/>
    <w:rsid w:val="00E75770"/>
    <w:rsid w:val="00E87EE4"/>
    <w:rsid w:val="00E97D68"/>
    <w:rsid w:val="00EA026A"/>
    <w:rsid w:val="00EA308E"/>
    <w:rsid w:val="00EA5FBF"/>
    <w:rsid w:val="00EA6AD7"/>
    <w:rsid w:val="00EB0697"/>
    <w:rsid w:val="00EB2F88"/>
    <w:rsid w:val="00EB5073"/>
    <w:rsid w:val="00EC217B"/>
    <w:rsid w:val="00EC29D3"/>
    <w:rsid w:val="00EC41DD"/>
    <w:rsid w:val="00ED0E60"/>
    <w:rsid w:val="00EE0478"/>
    <w:rsid w:val="00EE25D3"/>
    <w:rsid w:val="00EF23D7"/>
    <w:rsid w:val="00EF3641"/>
    <w:rsid w:val="00F01E81"/>
    <w:rsid w:val="00F12C0A"/>
    <w:rsid w:val="00F1342D"/>
    <w:rsid w:val="00F13594"/>
    <w:rsid w:val="00F2197A"/>
    <w:rsid w:val="00F30E34"/>
    <w:rsid w:val="00F32D11"/>
    <w:rsid w:val="00F40D58"/>
    <w:rsid w:val="00F503A7"/>
    <w:rsid w:val="00F51E3B"/>
    <w:rsid w:val="00F55127"/>
    <w:rsid w:val="00F55B16"/>
    <w:rsid w:val="00F62BC7"/>
    <w:rsid w:val="00F70445"/>
    <w:rsid w:val="00F83D22"/>
    <w:rsid w:val="00F96E46"/>
    <w:rsid w:val="00FA19BA"/>
    <w:rsid w:val="00FB105D"/>
    <w:rsid w:val="00FB3E8F"/>
    <w:rsid w:val="00FC336B"/>
    <w:rsid w:val="00FD155B"/>
    <w:rsid w:val="00FD2E38"/>
    <w:rsid w:val="00FD39BD"/>
    <w:rsid w:val="00FD453F"/>
    <w:rsid w:val="00FD54DF"/>
    <w:rsid w:val="00FD6697"/>
    <w:rsid w:val="00FE36C2"/>
    <w:rsid w:val="00FF15FF"/>
    <w:rsid w:val="00FF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1172"/>
  <w15:chartTrackingRefBased/>
  <w15:docId w15:val="{17657777-BED8-47AA-BC41-FBC7629C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A686D"/>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 w:type="paragraph" w:customStyle="1" w:styleId="paragraph">
    <w:name w:val="paragraph"/>
    <w:basedOn w:val="Normal"/>
    <w:rsid w:val="005C54F0"/>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5C54F0"/>
  </w:style>
  <w:style w:type="character" w:customStyle="1" w:styleId="eop">
    <w:name w:val="eop"/>
    <w:basedOn w:val="DefaultParagraphFont"/>
    <w:rsid w:val="005C54F0"/>
  </w:style>
  <w:style w:type="paragraph" w:styleId="ListParagraph">
    <w:name w:val="List Paragraph"/>
    <w:basedOn w:val="Normal"/>
    <w:uiPriority w:val="34"/>
    <w:qFormat/>
    <w:rsid w:val="00AC28C4"/>
    <w:pPr>
      <w:ind w:left="720"/>
      <w:contextualSpacing/>
    </w:pPr>
  </w:style>
  <w:style w:type="character" w:styleId="Hyperlink">
    <w:name w:val="Hyperlink"/>
    <w:basedOn w:val="DefaultParagraphFont"/>
    <w:uiPriority w:val="99"/>
    <w:unhideWhenUsed/>
    <w:rsid w:val="00C12F09"/>
    <w:rPr>
      <w:color w:val="0000FF"/>
      <w:u w:val="single"/>
    </w:rPr>
  </w:style>
  <w:style w:type="character" w:customStyle="1" w:styleId="UnresolvedMention1">
    <w:name w:val="Unresolved Mention1"/>
    <w:basedOn w:val="DefaultParagraphFont"/>
    <w:uiPriority w:val="99"/>
    <w:semiHidden/>
    <w:unhideWhenUsed/>
    <w:rsid w:val="00930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0427">
      <w:bodyDiv w:val="1"/>
      <w:marLeft w:val="0"/>
      <w:marRight w:val="0"/>
      <w:marTop w:val="0"/>
      <w:marBottom w:val="0"/>
      <w:divBdr>
        <w:top w:val="none" w:sz="0" w:space="0" w:color="auto"/>
        <w:left w:val="none" w:sz="0" w:space="0" w:color="auto"/>
        <w:bottom w:val="none" w:sz="0" w:space="0" w:color="auto"/>
        <w:right w:val="none" w:sz="0" w:space="0" w:color="auto"/>
      </w:divBdr>
    </w:div>
    <w:div w:id="307974173">
      <w:bodyDiv w:val="1"/>
      <w:marLeft w:val="0"/>
      <w:marRight w:val="0"/>
      <w:marTop w:val="0"/>
      <w:marBottom w:val="0"/>
      <w:divBdr>
        <w:top w:val="none" w:sz="0" w:space="0" w:color="auto"/>
        <w:left w:val="none" w:sz="0" w:space="0" w:color="auto"/>
        <w:bottom w:val="none" w:sz="0" w:space="0" w:color="auto"/>
        <w:right w:val="none" w:sz="0" w:space="0" w:color="auto"/>
      </w:divBdr>
    </w:div>
    <w:div w:id="482626739">
      <w:bodyDiv w:val="1"/>
      <w:marLeft w:val="0"/>
      <w:marRight w:val="0"/>
      <w:marTop w:val="0"/>
      <w:marBottom w:val="0"/>
      <w:divBdr>
        <w:top w:val="none" w:sz="0" w:space="0" w:color="auto"/>
        <w:left w:val="none" w:sz="0" w:space="0" w:color="auto"/>
        <w:bottom w:val="none" w:sz="0" w:space="0" w:color="auto"/>
        <w:right w:val="none" w:sz="0" w:space="0" w:color="auto"/>
      </w:divBdr>
      <w:divsChild>
        <w:div w:id="2058702077">
          <w:marLeft w:val="0"/>
          <w:marRight w:val="0"/>
          <w:marTop w:val="0"/>
          <w:marBottom w:val="0"/>
          <w:divBdr>
            <w:top w:val="none" w:sz="0" w:space="0" w:color="auto"/>
            <w:left w:val="none" w:sz="0" w:space="0" w:color="auto"/>
            <w:bottom w:val="none" w:sz="0" w:space="0" w:color="auto"/>
            <w:right w:val="none" w:sz="0" w:space="0" w:color="auto"/>
          </w:divBdr>
        </w:div>
        <w:div w:id="841240810">
          <w:marLeft w:val="0"/>
          <w:marRight w:val="0"/>
          <w:marTop w:val="0"/>
          <w:marBottom w:val="0"/>
          <w:divBdr>
            <w:top w:val="none" w:sz="0" w:space="0" w:color="auto"/>
            <w:left w:val="none" w:sz="0" w:space="0" w:color="auto"/>
            <w:bottom w:val="none" w:sz="0" w:space="0" w:color="auto"/>
            <w:right w:val="none" w:sz="0" w:space="0" w:color="auto"/>
          </w:divBdr>
        </w:div>
        <w:div w:id="1291017617">
          <w:marLeft w:val="0"/>
          <w:marRight w:val="0"/>
          <w:marTop w:val="0"/>
          <w:marBottom w:val="0"/>
          <w:divBdr>
            <w:top w:val="none" w:sz="0" w:space="0" w:color="auto"/>
            <w:left w:val="none" w:sz="0" w:space="0" w:color="auto"/>
            <w:bottom w:val="none" w:sz="0" w:space="0" w:color="auto"/>
            <w:right w:val="none" w:sz="0" w:space="0" w:color="auto"/>
          </w:divBdr>
        </w:div>
      </w:divsChild>
    </w:div>
    <w:div w:id="589386515">
      <w:bodyDiv w:val="1"/>
      <w:marLeft w:val="0"/>
      <w:marRight w:val="0"/>
      <w:marTop w:val="0"/>
      <w:marBottom w:val="0"/>
      <w:divBdr>
        <w:top w:val="none" w:sz="0" w:space="0" w:color="auto"/>
        <w:left w:val="none" w:sz="0" w:space="0" w:color="auto"/>
        <w:bottom w:val="none" w:sz="0" w:space="0" w:color="auto"/>
        <w:right w:val="none" w:sz="0" w:space="0" w:color="auto"/>
      </w:divBdr>
    </w:div>
    <w:div w:id="1224104832">
      <w:bodyDiv w:val="1"/>
      <w:marLeft w:val="0"/>
      <w:marRight w:val="0"/>
      <w:marTop w:val="0"/>
      <w:marBottom w:val="0"/>
      <w:divBdr>
        <w:top w:val="none" w:sz="0" w:space="0" w:color="auto"/>
        <w:left w:val="none" w:sz="0" w:space="0" w:color="auto"/>
        <w:bottom w:val="none" w:sz="0" w:space="0" w:color="auto"/>
        <w:right w:val="none" w:sz="0" w:space="0" w:color="auto"/>
      </w:divBdr>
    </w:div>
    <w:div w:id="151279901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urner\AppData\Roaming\Microsoft\Templates\Back%20to%20school%20newsletter.dotx" TargetMode="Externa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8D4D-5F81-4920-B4AC-07001D42B61E}">
  <ds:schemaRefs>
    <ds:schemaRef ds:uri="http://schemas.microsoft.com/sharepoint/v3/contenttype/forms"/>
  </ds:schemaRefs>
</ds:datastoreItem>
</file>

<file path=customXml/itemProps2.xml><?xml version="1.0" encoding="utf-8"?>
<ds:datastoreItem xmlns:ds="http://schemas.openxmlformats.org/officeDocument/2006/customXml" ds:itemID="{90792AD3-5A80-4051-AD4E-0041C5EC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E462A-69DC-4CD9-9767-9E41D590368C}">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16c05727-aa75-4e4a-9b5f-8a80a1165891"/>
    <ds:schemaRef ds:uri="71af3243-3dd4-4a8d-8c0d-dd76da1f02a5"/>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4C7C734-F680-48A4-BC8F-3F274EF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Back to school newsletter.dotx</Template>
  <TotalTime>52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Warren</dc:creator>
  <cp:keywords/>
  <dc:description/>
  <cp:lastModifiedBy>Christina S Warren</cp:lastModifiedBy>
  <cp:revision>3</cp:revision>
  <cp:lastPrinted>2025-06-27T13:32:00Z</cp:lastPrinted>
  <dcterms:created xsi:type="dcterms:W3CDTF">2025-06-27T13:32:00Z</dcterms:created>
  <dcterms:modified xsi:type="dcterms:W3CDTF">2025-06-27T14:20:00Z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