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6" w:type="dxa"/>
        <w:jc w:val="center"/>
        <w:tblLayout w:type="fixed"/>
        <w:tblLook w:val="00A0" w:firstRow="1" w:lastRow="0" w:firstColumn="1" w:lastColumn="0" w:noHBand="0" w:noVBand="0"/>
      </w:tblPr>
      <w:tblGrid>
        <w:gridCol w:w="828"/>
        <w:gridCol w:w="612"/>
        <w:gridCol w:w="1008"/>
        <w:gridCol w:w="900"/>
        <w:gridCol w:w="1620"/>
        <w:gridCol w:w="900"/>
        <w:gridCol w:w="3708"/>
      </w:tblGrid>
      <w:tr w:rsidR="00DA712D" w:rsidRPr="00FE3EB6" w:rsidTr="00BC6EFA">
        <w:trPr>
          <w:jc w:val="center"/>
        </w:trPr>
        <w:tc>
          <w:tcPr>
            <w:tcW w:w="1440" w:type="dxa"/>
            <w:gridSpan w:val="2"/>
            <w:tcBorders>
              <w:top w:val="single" w:sz="4" w:space="0" w:color="auto"/>
              <w:bottom w:val="single" w:sz="4" w:space="0" w:color="auto"/>
            </w:tcBorders>
            <w:shd w:val="clear" w:color="auto" w:fill="auto"/>
            <w:vAlign w:val="center"/>
          </w:tcPr>
          <w:p w:rsidR="00DA712D" w:rsidRPr="00FE3EB6" w:rsidRDefault="00DA712D" w:rsidP="009B397D">
            <w:pPr>
              <w:spacing w:before="120" w:after="120"/>
              <w:rPr>
                <w:rFonts w:ascii="Arial" w:hAnsi="Arial"/>
                <w:b/>
                <w:smallCaps/>
                <w:sz w:val="20"/>
              </w:rPr>
            </w:pPr>
            <w:bookmarkStart w:id="0" w:name="_GoBack"/>
            <w:bookmarkEnd w:id="0"/>
            <w:r w:rsidRPr="00FE3EB6">
              <w:rPr>
                <w:rFonts w:ascii="Arial" w:hAnsi="Arial"/>
                <w:b/>
                <w:smallCaps/>
                <w:sz w:val="20"/>
              </w:rPr>
              <w:t>Application:</w:t>
            </w:r>
          </w:p>
        </w:tc>
        <w:tc>
          <w:tcPr>
            <w:tcW w:w="3528" w:type="dxa"/>
            <w:gridSpan w:val="3"/>
            <w:tcBorders>
              <w:top w:val="single" w:sz="4" w:space="0" w:color="auto"/>
              <w:bottom w:val="single" w:sz="4" w:space="0" w:color="auto"/>
              <w:right w:val="single" w:sz="4" w:space="0" w:color="auto"/>
            </w:tcBorders>
            <w:shd w:val="clear" w:color="auto" w:fill="auto"/>
            <w:vAlign w:val="center"/>
          </w:tcPr>
          <w:p w:rsidR="00DA712D" w:rsidRPr="00FE3EB6" w:rsidRDefault="0053416E" w:rsidP="00BC6EFA">
            <w:pPr>
              <w:spacing w:before="120" w:after="120"/>
              <w:rPr>
                <w:rFonts w:ascii="Arial" w:hAnsi="Arial"/>
                <w:smallCaps/>
                <w:sz w:val="22"/>
                <w:szCs w:val="22"/>
              </w:rPr>
            </w:pPr>
            <w:r>
              <w:rPr>
                <w:rFonts w:ascii="Arial" w:hAnsi="Arial"/>
                <w:smallCaps/>
                <w:sz w:val="22"/>
                <w:szCs w:val="22"/>
              </w:rPr>
              <w:t>Epiccare Am</w:t>
            </w:r>
            <w:r w:rsidR="00474EB1">
              <w:rPr>
                <w:rFonts w:ascii="Arial" w:hAnsi="Arial"/>
                <w:smallCaps/>
                <w:sz w:val="22"/>
                <w:szCs w:val="22"/>
              </w:rPr>
              <w:t>b</w:t>
            </w:r>
            <w:r>
              <w:rPr>
                <w:rFonts w:ascii="Arial" w:hAnsi="Arial"/>
                <w:smallCaps/>
                <w:sz w:val="22"/>
                <w:szCs w:val="22"/>
              </w:rPr>
              <w:t>ulatory</w:t>
            </w:r>
          </w:p>
        </w:tc>
        <w:tc>
          <w:tcPr>
            <w:tcW w:w="900" w:type="dxa"/>
            <w:tcBorders>
              <w:top w:val="single" w:sz="4" w:space="0" w:color="auto"/>
              <w:left w:val="single" w:sz="4" w:space="0" w:color="auto"/>
              <w:bottom w:val="single" w:sz="4" w:space="0" w:color="auto"/>
            </w:tcBorders>
            <w:shd w:val="clear" w:color="auto" w:fill="auto"/>
            <w:vAlign w:val="center"/>
          </w:tcPr>
          <w:p w:rsidR="00DA712D" w:rsidRPr="00FE3EB6" w:rsidRDefault="00CF7747" w:rsidP="00BC6EFA">
            <w:pPr>
              <w:spacing w:before="120" w:after="120"/>
              <w:jc w:val="center"/>
              <w:rPr>
                <w:rFonts w:ascii="Arial" w:hAnsi="Arial"/>
                <w:b/>
                <w:smallCaps/>
                <w:sz w:val="20"/>
              </w:rPr>
            </w:pPr>
            <w:r w:rsidRPr="00FE3EB6">
              <w:rPr>
                <w:rFonts w:ascii="Arial" w:hAnsi="Arial"/>
                <w:b/>
                <w:smallCaps/>
                <w:sz w:val="20"/>
              </w:rPr>
              <w:t>Role:</w:t>
            </w:r>
          </w:p>
        </w:tc>
        <w:tc>
          <w:tcPr>
            <w:tcW w:w="3708" w:type="dxa"/>
            <w:tcBorders>
              <w:top w:val="single" w:sz="4" w:space="0" w:color="auto"/>
              <w:bottom w:val="single" w:sz="4" w:space="0" w:color="auto"/>
            </w:tcBorders>
            <w:shd w:val="clear" w:color="auto" w:fill="auto"/>
            <w:vAlign w:val="center"/>
          </w:tcPr>
          <w:p w:rsidR="00DA712D" w:rsidRPr="00FE3EB6" w:rsidRDefault="00007939" w:rsidP="00BC6EFA">
            <w:pPr>
              <w:spacing w:before="120" w:after="120"/>
              <w:rPr>
                <w:rFonts w:ascii="Arial" w:hAnsi="Arial"/>
                <w:smallCaps/>
                <w:sz w:val="22"/>
                <w:szCs w:val="22"/>
              </w:rPr>
            </w:pPr>
            <w:r>
              <w:rPr>
                <w:rFonts w:ascii="Arial" w:hAnsi="Arial"/>
                <w:smallCaps/>
                <w:sz w:val="22"/>
                <w:szCs w:val="22"/>
              </w:rPr>
              <w:t>Provider</w:t>
            </w:r>
          </w:p>
        </w:tc>
      </w:tr>
      <w:tr w:rsidR="000C41AF" w:rsidRPr="00FE3EB6" w:rsidTr="00BC6EFA">
        <w:trPr>
          <w:jc w:val="center"/>
        </w:trPr>
        <w:tc>
          <w:tcPr>
            <w:tcW w:w="1440" w:type="dxa"/>
            <w:gridSpan w:val="2"/>
            <w:tcBorders>
              <w:top w:val="single" w:sz="4" w:space="0" w:color="auto"/>
              <w:bottom w:val="single" w:sz="4" w:space="0" w:color="auto"/>
            </w:tcBorders>
            <w:shd w:val="clear" w:color="auto" w:fill="auto"/>
            <w:vAlign w:val="center"/>
          </w:tcPr>
          <w:p w:rsidR="000C41AF" w:rsidRPr="00FE3EB6" w:rsidRDefault="000C41AF" w:rsidP="009B397D">
            <w:pPr>
              <w:spacing w:before="120" w:after="120"/>
              <w:rPr>
                <w:rFonts w:ascii="Arial" w:hAnsi="Arial"/>
                <w:b/>
                <w:smallCaps/>
                <w:sz w:val="20"/>
              </w:rPr>
            </w:pPr>
            <w:r w:rsidRPr="00FE3EB6">
              <w:rPr>
                <w:rFonts w:ascii="Arial" w:hAnsi="Arial"/>
                <w:b/>
                <w:smallCaps/>
                <w:sz w:val="20"/>
              </w:rPr>
              <w:t>Author:</w:t>
            </w:r>
          </w:p>
        </w:tc>
        <w:tc>
          <w:tcPr>
            <w:tcW w:w="3528" w:type="dxa"/>
            <w:gridSpan w:val="3"/>
            <w:tcBorders>
              <w:top w:val="single" w:sz="4" w:space="0" w:color="auto"/>
              <w:bottom w:val="single" w:sz="4" w:space="0" w:color="auto"/>
              <w:right w:val="single" w:sz="4" w:space="0" w:color="auto"/>
            </w:tcBorders>
            <w:shd w:val="clear" w:color="auto" w:fill="auto"/>
            <w:vAlign w:val="center"/>
          </w:tcPr>
          <w:p w:rsidR="000C41AF" w:rsidRDefault="0053416E" w:rsidP="00BC6EFA">
            <w:pPr>
              <w:spacing w:before="120" w:after="120"/>
              <w:rPr>
                <w:rFonts w:ascii="Arial" w:hAnsi="Arial"/>
                <w:smallCaps/>
                <w:sz w:val="22"/>
                <w:szCs w:val="22"/>
              </w:rPr>
            </w:pPr>
            <w:r>
              <w:rPr>
                <w:rFonts w:ascii="Arial" w:hAnsi="Arial"/>
                <w:smallCaps/>
                <w:sz w:val="22"/>
                <w:szCs w:val="22"/>
              </w:rPr>
              <w:t>Karyn Harris</w:t>
            </w:r>
          </w:p>
          <w:p w:rsidR="00571D85" w:rsidRDefault="00571D85" w:rsidP="00BC6EFA">
            <w:pPr>
              <w:spacing w:before="120" w:after="120"/>
              <w:rPr>
                <w:rFonts w:ascii="Arial" w:hAnsi="Arial"/>
                <w:smallCaps/>
                <w:sz w:val="22"/>
                <w:szCs w:val="22"/>
              </w:rPr>
            </w:pPr>
            <w:r>
              <w:rPr>
                <w:rFonts w:ascii="Arial" w:hAnsi="Arial"/>
                <w:smallCaps/>
                <w:sz w:val="22"/>
                <w:szCs w:val="22"/>
              </w:rPr>
              <w:t>Patricia Harman</w:t>
            </w:r>
          </w:p>
          <w:p w:rsidR="00A524D7" w:rsidRPr="00FE3EB6" w:rsidRDefault="00A524D7" w:rsidP="00BC6EFA">
            <w:pPr>
              <w:spacing w:before="120" w:after="120"/>
              <w:rPr>
                <w:rFonts w:ascii="Arial" w:hAnsi="Arial"/>
                <w:smallCaps/>
                <w:sz w:val="22"/>
                <w:szCs w:val="22"/>
              </w:rPr>
            </w:pPr>
            <w:r>
              <w:rPr>
                <w:rFonts w:ascii="Arial" w:hAnsi="Arial"/>
                <w:smallCaps/>
                <w:sz w:val="22"/>
                <w:szCs w:val="22"/>
              </w:rPr>
              <w:t>Sheri Sanders</w:t>
            </w:r>
          </w:p>
        </w:tc>
        <w:tc>
          <w:tcPr>
            <w:tcW w:w="900" w:type="dxa"/>
            <w:tcBorders>
              <w:top w:val="single" w:sz="4" w:space="0" w:color="auto"/>
              <w:left w:val="single" w:sz="4" w:space="0" w:color="auto"/>
              <w:bottom w:val="single" w:sz="4" w:space="0" w:color="auto"/>
            </w:tcBorders>
            <w:shd w:val="clear" w:color="auto" w:fill="auto"/>
            <w:vAlign w:val="center"/>
          </w:tcPr>
          <w:p w:rsidR="000C41AF" w:rsidRPr="00FE3EB6" w:rsidRDefault="000C41AF" w:rsidP="00BC6EFA">
            <w:pPr>
              <w:spacing w:before="120" w:after="120"/>
              <w:jc w:val="center"/>
              <w:rPr>
                <w:rFonts w:ascii="Arial" w:hAnsi="Arial"/>
                <w:b/>
                <w:smallCaps/>
                <w:sz w:val="20"/>
              </w:rPr>
            </w:pPr>
            <w:r w:rsidRPr="00FE3EB6">
              <w:rPr>
                <w:rFonts w:ascii="Arial" w:hAnsi="Arial"/>
                <w:b/>
                <w:smallCaps/>
                <w:sz w:val="20"/>
              </w:rPr>
              <w:t>eMail:</w:t>
            </w:r>
          </w:p>
        </w:tc>
        <w:tc>
          <w:tcPr>
            <w:tcW w:w="3708" w:type="dxa"/>
            <w:tcBorders>
              <w:top w:val="single" w:sz="4" w:space="0" w:color="auto"/>
              <w:bottom w:val="single" w:sz="4" w:space="0" w:color="auto"/>
            </w:tcBorders>
            <w:shd w:val="clear" w:color="auto" w:fill="auto"/>
            <w:vAlign w:val="center"/>
          </w:tcPr>
          <w:p w:rsidR="000C41AF" w:rsidRDefault="00E91859" w:rsidP="00BC6EFA">
            <w:pPr>
              <w:spacing w:before="120" w:after="120"/>
              <w:jc w:val="center"/>
              <w:rPr>
                <w:rFonts w:ascii="Arial" w:hAnsi="Arial"/>
                <w:smallCaps/>
                <w:sz w:val="22"/>
                <w:szCs w:val="22"/>
              </w:rPr>
            </w:pPr>
            <w:hyperlink r:id="rId8" w:history="1">
              <w:r w:rsidR="00A524D7" w:rsidRPr="00612579">
                <w:rPr>
                  <w:rStyle w:val="Hyperlink"/>
                  <w:rFonts w:ascii="Arial" w:hAnsi="Arial"/>
                  <w:smallCaps/>
                  <w:sz w:val="22"/>
                  <w:szCs w:val="22"/>
                </w:rPr>
                <w:t>harrisk@wvumedicine.com</w:t>
              </w:r>
            </w:hyperlink>
            <w:r w:rsidR="00A524D7">
              <w:rPr>
                <w:rFonts w:ascii="Arial" w:hAnsi="Arial"/>
                <w:smallCaps/>
                <w:sz w:val="22"/>
                <w:szCs w:val="22"/>
              </w:rPr>
              <w:t xml:space="preserve"> </w:t>
            </w:r>
          </w:p>
          <w:p w:rsidR="00571D85" w:rsidRDefault="00E91859" w:rsidP="00BC6EFA">
            <w:pPr>
              <w:spacing w:before="120" w:after="120"/>
              <w:jc w:val="center"/>
              <w:rPr>
                <w:rFonts w:ascii="Arial" w:hAnsi="Arial"/>
                <w:smallCaps/>
                <w:sz w:val="22"/>
                <w:szCs w:val="22"/>
              </w:rPr>
            </w:pPr>
            <w:hyperlink r:id="rId9" w:history="1">
              <w:r w:rsidR="00A524D7" w:rsidRPr="00612579">
                <w:rPr>
                  <w:rStyle w:val="Hyperlink"/>
                  <w:rFonts w:ascii="Arial" w:hAnsi="Arial"/>
                  <w:smallCaps/>
                  <w:sz w:val="22"/>
                  <w:szCs w:val="22"/>
                </w:rPr>
                <w:t>harmanpat@wvumedicine.com</w:t>
              </w:r>
            </w:hyperlink>
            <w:r w:rsidR="00A524D7">
              <w:rPr>
                <w:rFonts w:ascii="Arial" w:hAnsi="Arial"/>
                <w:smallCaps/>
                <w:sz w:val="22"/>
                <w:szCs w:val="22"/>
              </w:rPr>
              <w:t xml:space="preserve"> </w:t>
            </w:r>
          </w:p>
          <w:p w:rsidR="00A524D7" w:rsidRPr="00FE3EB6" w:rsidRDefault="00E91859" w:rsidP="00BC6EFA">
            <w:pPr>
              <w:spacing w:before="120" w:after="120"/>
              <w:jc w:val="center"/>
              <w:rPr>
                <w:rFonts w:ascii="Arial" w:hAnsi="Arial"/>
                <w:smallCaps/>
                <w:sz w:val="22"/>
                <w:szCs w:val="22"/>
              </w:rPr>
            </w:pPr>
            <w:hyperlink r:id="rId10" w:history="1">
              <w:r w:rsidR="00A524D7" w:rsidRPr="00612579">
                <w:rPr>
                  <w:rStyle w:val="Hyperlink"/>
                  <w:rFonts w:ascii="Arial" w:hAnsi="Arial"/>
                  <w:smallCaps/>
                  <w:sz w:val="22"/>
                  <w:szCs w:val="22"/>
                </w:rPr>
                <w:t>sanderssh@wvumedicine.com</w:t>
              </w:r>
            </w:hyperlink>
            <w:r w:rsidR="00A524D7">
              <w:rPr>
                <w:rFonts w:ascii="Arial" w:hAnsi="Arial"/>
                <w:smallCaps/>
                <w:sz w:val="22"/>
                <w:szCs w:val="22"/>
              </w:rPr>
              <w:t xml:space="preserve"> </w:t>
            </w:r>
          </w:p>
        </w:tc>
      </w:tr>
      <w:tr w:rsidR="00CF7747" w:rsidRPr="00FE3EB6" w:rsidTr="00BC6EFA">
        <w:trPr>
          <w:jc w:val="center"/>
        </w:trPr>
        <w:tc>
          <w:tcPr>
            <w:tcW w:w="828" w:type="dxa"/>
            <w:tcBorders>
              <w:top w:val="single" w:sz="4" w:space="0" w:color="auto"/>
              <w:bottom w:val="double" w:sz="4" w:space="0" w:color="auto"/>
            </w:tcBorders>
            <w:shd w:val="clear" w:color="auto" w:fill="auto"/>
            <w:vAlign w:val="center"/>
          </w:tcPr>
          <w:p w:rsidR="00CF7747" w:rsidRPr="00FE3EB6" w:rsidRDefault="00CF7747" w:rsidP="009B397D">
            <w:pPr>
              <w:spacing w:before="120" w:after="120"/>
              <w:rPr>
                <w:rFonts w:ascii="Arial" w:hAnsi="Arial"/>
                <w:b/>
                <w:smallCaps/>
                <w:sz w:val="20"/>
              </w:rPr>
            </w:pPr>
            <w:r w:rsidRPr="00FE3EB6">
              <w:rPr>
                <w:rFonts w:ascii="Arial" w:hAnsi="Arial"/>
                <w:b/>
                <w:smallCaps/>
                <w:sz w:val="20"/>
              </w:rPr>
              <w:t>Date:</w:t>
            </w:r>
          </w:p>
        </w:tc>
        <w:tc>
          <w:tcPr>
            <w:tcW w:w="1620" w:type="dxa"/>
            <w:gridSpan w:val="2"/>
            <w:tcBorders>
              <w:top w:val="single" w:sz="4" w:space="0" w:color="auto"/>
              <w:left w:val="nil"/>
              <w:bottom w:val="double" w:sz="4" w:space="0" w:color="auto"/>
              <w:right w:val="single" w:sz="4" w:space="0" w:color="auto"/>
            </w:tcBorders>
            <w:shd w:val="clear" w:color="auto" w:fill="auto"/>
            <w:vAlign w:val="center"/>
          </w:tcPr>
          <w:p w:rsidR="00CF7747" w:rsidRPr="00FE3EB6" w:rsidRDefault="004C1558" w:rsidP="00BC6EFA">
            <w:pPr>
              <w:spacing w:before="120" w:after="120"/>
              <w:jc w:val="center"/>
              <w:rPr>
                <w:rFonts w:ascii="Arial" w:hAnsi="Arial"/>
                <w:smallCaps/>
                <w:sz w:val="22"/>
              </w:rPr>
            </w:pPr>
            <w:r>
              <w:rPr>
                <w:rFonts w:ascii="Arial" w:hAnsi="Arial"/>
                <w:smallCaps/>
                <w:sz w:val="22"/>
              </w:rPr>
              <w:t>12/18/2015</w:t>
            </w:r>
          </w:p>
        </w:tc>
        <w:tc>
          <w:tcPr>
            <w:tcW w:w="900" w:type="dxa"/>
            <w:tcBorders>
              <w:top w:val="single" w:sz="4" w:space="0" w:color="auto"/>
              <w:left w:val="single" w:sz="4" w:space="0" w:color="auto"/>
              <w:bottom w:val="double" w:sz="4" w:space="0" w:color="auto"/>
            </w:tcBorders>
            <w:shd w:val="clear" w:color="auto" w:fill="auto"/>
            <w:vAlign w:val="center"/>
          </w:tcPr>
          <w:p w:rsidR="00CF7747" w:rsidRPr="00FE3EB6" w:rsidRDefault="00CF7747" w:rsidP="00BC6EFA">
            <w:pPr>
              <w:spacing w:before="120" w:after="120"/>
              <w:jc w:val="center"/>
              <w:rPr>
                <w:rFonts w:ascii="Arial" w:hAnsi="Arial"/>
                <w:b/>
                <w:smallCaps/>
              </w:rPr>
            </w:pPr>
            <w:r w:rsidRPr="00FE3EB6">
              <w:rPr>
                <w:rFonts w:ascii="Arial" w:hAnsi="Arial"/>
                <w:b/>
                <w:smallCaps/>
                <w:sz w:val="20"/>
              </w:rPr>
              <w:t>Topic:</w:t>
            </w:r>
          </w:p>
        </w:tc>
        <w:tc>
          <w:tcPr>
            <w:tcW w:w="6228" w:type="dxa"/>
            <w:gridSpan w:val="3"/>
            <w:tcBorders>
              <w:top w:val="single" w:sz="4" w:space="0" w:color="auto"/>
              <w:bottom w:val="double" w:sz="4" w:space="0" w:color="auto"/>
            </w:tcBorders>
            <w:shd w:val="clear" w:color="auto" w:fill="auto"/>
            <w:vAlign w:val="center"/>
          </w:tcPr>
          <w:p w:rsidR="00CF7747" w:rsidRPr="00FE3EB6" w:rsidRDefault="004C1558" w:rsidP="00BC6EFA">
            <w:pPr>
              <w:spacing w:before="120" w:after="120"/>
              <w:rPr>
                <w:rFonts w:ascii="Arial" w:hAnsi="Arial"/>
                <w:b/>
                <w:smallCaps/>
                <w:sz w:val="22"/>
                <w:szCs w:val="22"/>
              </w:rPr>
            </w:pPr>
            <w:r>
              <w:rPr>
                <w:rFonts w:ascii="Arial" w:hAnsi="Arial"/>
                <w:b/>
                <w:smallCaps/>
                <w:sz w:val="22"/>
                <w:szCs w:val="22"/>
              </w:rPr>
              <w:t>Provider Preformed POCT (12-2015)</w:t>
            </w:r>
          </w:p>
        </w:tc>
      </w:tr>
    </w:tbl>
    <w:p w:rsidR="003A765B" w:rsidRDefault="003A765B" w:rsidP="00EF11B3">
      <w:pPr>
        <w:ind w:left="720"/>
        <w:rPr>
          <w:color w:val="000000"/>
        </w:rPr>
      </w:pPr>
    </w:p>
    <w:p w:rsidR="00534143" w:rsidRDefault="00534143" w:rsidP="00EF11B3">
      <w:pPr>
        <w:ind w:left="720"/>
        <w:rPr>
          <w:color w:val="000000"/>
        </w:rPr>
      </w:pPr>
      <w:r>
        <w:rPr>
          <w:color w:val="000000"/>
        </w:rPr>
        <w:t xml:space="preserve">The following POCT being resulted by the provider (Ferning test, KOH Prep Test, Wet Mount Test UA Micro, Pinworms, and Nitrazine) will need to be documented by the </w:t>
      </w:r>
      <w:r w:rsidRPr="0040422B">
        <w:rPr>
          <w:b/>
          <w:color w:val="000000"/>
        </w:rPr>
        <w:t>Provider</w:t>
      </w:r>
      <w:r>
        <w:rPr>
          <w:color w:val="000000"/>
        </w:rPr>
        <w:t xml:space="preserve"> in the flowsheet section of </w:t>
      </w:r>
      <w:r w:rsidR="0040422B">
        <w:rPr>
          <w:color w:val="000000"/>
        </w:rPr>
        <w:t>chart.</w:t>
      </w:r>
    </w:p>
    <w:p w:rsidR="00AA203C" w:rsidRDefault="00AA203C" w:rsidP="00AA203C">
      <w:pPr>
        <w:rPr>
          <w:color w:val="000000"/>
        </w:rPr>
      </w:pPr>
    </w:p>
    <w:p w:rsidR="00AA203C" w:rsidRDefault="00AA203C" w:rsidP="00AA203C">
      <w:pPr>
        <w:numPr>
          <w:ilvl w:val="0"/>
          <w:numId w:val="16"/>
        </w:numPr>
        <w:rPr>
          <w:color w:val="000000"/>
        </w:rPr>
      </w:pPr>
      <w:r>
        <w:rPr>
          <w:color w:val="000000"/>
        </w:rPr>
        <w:t>Click on the “Flowsheet” activities tabs to the left of the visit navigator:</w:t>
      </w:r>
    </w:p>
    <w:p w:rsidR="00AA203C" w:rsidRDefault="00AA203C" w:rsidP="00AA203C">
      <w:pPr>
        <w:ind w:left="720"/>
        <w:rPr>
          <w:color w:val="000000"/>
        </w:rPr>
      </w:pPr>
    </w:p>
    <w:p w:rsidR="00AA203C" w:rsidRDefault="006E5FBF" w:rsidP="00AA203C">
      <w:pPr>
        <w:ind w:left="720"/>
        <w:rPr>
          <w:noProof/>
        </w:rPr>
      </w:pPr>
      <w:r>
        <w:rPr>
          <w:noProof/>
        </w:rPr>
        <w:drawing>
          <wp:inline distT="0" distB="0" distL="0" distR="0">
            <wp:extent cx="1866900" cy="4267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0" cy="4267200"/>
                    </a:xfrm>
                    <a:prstGeom prst="rect">
                      <a:avLst/>
                    </a:prstGeom>
                    <a:noFill/>
                    <a:ln>
                      <a:noFill/>
                    </a:ln>
                  </pic:spPr>
                </pic:pic>
              </a:graphicData>
            </a:graphic>
          </wp:inline>
        </w:drawing>
      </w:r>
    </w:p>
    <w:p w:rsidR="00AA203C" w:rsidRDefault="00AA203C" w:rsidP="00AA203C">
      <w:pPr>
        <w:ind w:left="720"/>
        <w:rPr>
          <w:noProof/>
        </w:rPr>
      </w:pPr>
    </w:p>
    <w:p w:rsidR="00AA203C" w:rsidRDefault="00AA203C" w:rsidP="00AA203C">
      <w:pPr>
        <w:ind w:left="720"/>
        <w:rPr>
          <w:noProof/>
        </w:rPr>
      </w:pPr>
    </w:p>
    <w:p w:rsidR="00AA203C" w:rsidRDefault="00AA203C" w:rsidP="00AA203C">
      <w:pPr>
        <w:ind w:left="720"/>
        <w:rPr>
          <w:noProof/>
        </w:rPr>
      </w:pPr>
    </w:p>
    <w:p w:rsidR="00AA203C" w:rsidRDefault="00AA203C" w:rsidP="00AA203C">
      <w:pPr>
        <w:ind w:left="720"/>
        <w:rPr>
          <w:noProof/>
        </w:rPr>
      </w:pPr>
    </w:p>
    <w:p w:rsidR="00AA203C" w:rsidRPr="00AA203C" w:rsidRDefault="00AA203C" w:rsidP="00AA203C">
      <w:pPr>
        <w:numPr>
          <w:ilvl w:val="0"/>
          <w:numId w:val="16"/>
        </w:numPr>
        <w:rPr>
          <w:color w:val="000000"/>
        </w:rPr>
      </w:pPr>
      <w:r>
        <w:rPr>
          <w:noProof/>
        </w:rPr>
        <w:lastRenderedPageBreak/>
        <w:t>In the search bar (upper left corner of the Flowsheet screen) enter the word “Provider”</w:t>
      </w:r>
    </w:p>
    <w:p w:rsidR="00AA203C" w:rsidRDefault="00AA203C" w:rsidP="00AA203C">
      <w:pPr>
        <w:ind w:left="720"/>
        <w:rPr>
          <w:noProof/>
        </w:rPr>
      </w:pPr>
    </w:p>
    <w:p w:rsidR="00AA203C" w:rsidRDefault="006E5FBF" w:rsidP="00AA203C">
      <w:pPr>
        <w:ind w:left="720"/>
        <w:rPr>
          <w:noProof/>
        </w:rPr>
      </w:pPr>
      <w:r>
        <w:rPr>
          <w:noProof/>
        </w:rPr>
        <w:drawing>
          <wp:inline distT="0" distB="0" distL="0" distR="0">
            <wp:extent cx="5943600" cy="63817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638175"/>
                    </a:xfrm>
                    <a:prstGeom prst="rect">
                      <a:avLst/>
                    </a:prstGeom>
                    <a:noFill/>
                    <a:ln>
                      <a:noFill/>
                    </a:ln>
                  </pic:spPr>
                </pic:pic>
              </a:graphicData>
            </a:graphic>
          </wp:inline>
        </w:drawing>
      </w:r>
    </w:p>
    <w:p w:rsidR="00AA203C" w:rsidRDefault="00AA203C" w:rsidP="00AA203C">
      <w:pPr>
        <w:ind w:left="720"/>
        <w:rPr>
          <w:noProof/>
        </w:rPr>
      </w:pPr>
    </w:p>
    <w:p w:rsidR="00AA203C" w:rsidRPr="00AA203C" w:rsidRDefault="00AA203C" w:rsidP="00AA203C">
      <w:pPr>
        <w:numPr>
          <w:ilvl w:val="0"/>
          <w:numId w:val="16"/>
        </w:numPr>
        <w:rPr>
          <w:color w:val="000000"/>
        </w:rPr>
      </w:pPr>
      <w:r>
        <w:rPr>
          <w:noProof/>
        </w:rPr>
        <w:t>Hit “enter”</w:t>
      </w:r>
    </w:p>
    <w:p w:rsidR="00AA203C" w:rsidRPr="00AA203C" w:rsidRDefault="00AA203C" w:rsidP="00AA203C">
      <w:pPr>
        <w:numPr>
          <w:ilvl w:val="0"/>
          <w:numId w:val="16"/>
        </w:numPr>
        <w:rPr>
          <w:color w:val="000000"/>
        </w:rPr>
      </w:pPr>
      <w:r>
        <w:rPr>
          <w:noProof/>
        </w:rPr>
        <w:t>Make sure that “Provider Performed POCT” is highlighted and “Click” accept.</w:t>
      </w:r>
    </w:p>
    <w:p w:rsidR="00AA203C" w:rsidRDefault="00AA203C" w:rsidP="00AA203C">
      <w:pPr>
        <w:ind w:left="720"/>
        <w:rPr>
          <w:noProof/>
        </w:rPr>
      </w:pPr>
    </w:p>
    <w:p w:rsidR="00AA203C" w:rsidRDefault="006E5FBF" w:rsidP="00AA203C">
      <w:pPr>
        <w:ind w:left="720"/>
        <w:rPr>
          <w:noProof/>
        </w:rPr>
      </w:pPr>
      <w:r>
        <w:rPr>
          <w:noProof/>
        </w:rPr>
        <w:drawing>
          <wp:inline distT="0" distB="0" distL="0" distR="0">
            <wp:extent cx="5943600" cy="397192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971925"/>
                    </a:xfrm>
                    <a:prstGeom prst="rect">
                      <a:avLst/>
                    </a:prstGeom>
                    <a:noFill/>
                    <a:ln>
                      <a:noFill/>
                    </a:ln>
                  </pic:spPr>
                </pic:pic>
              </a:graphicData>
            </a:graphic>
          </wp:inline>
        </w:drawing>
      </w:r>
    </w:p>
    <w:p w:rsidR="00E169B3" w:rsidRDefault="00E169B3" w:rsidP="00AA203C">
      <w:pPr>
        <w:ind w:left="720"/>
        <w:rPr>
          <w:noProof/>
        </w:rPr>
      </w:pPr>
    </w:p>
    <w:p w:rsidR="00E169B3" w:rsidRDefault="00E169B3" w:rsidP="00E169B3">
      <w:pPr>
        <w:numPr>
          <w:ilvl w:val="0"/>
          <w:numId w:val="16"/>
        </w:numPr>
        <w:rPr>
          <w:noProof/>
        </w:rPr>
      </w:pPr>
      <w:r>
        <w:rPr>
          <w:noProof/>
        </w:rPr>
        <w:t>On the right hand of the screen</w:t>
      </w:r>
      <w:r w:rsidR="007C47C6">
        <w:rPr>
          <w:noProof/>
        </w:rPr>
        <w:t>, that you can point and click to fill in what you need to</w:t>
      </w:r>
    </w:p>
    <w:p w:rsidR="007C47C6" w:rsidRDefault="007C47C6" w:rsidP="007C47C6">
      <w:pPr>
        <w:ind w:left="720"/>
        <w:rPr>
          <w:noProof/>
        </w:rPr>
      </w:pPr>
    </w:p>
    <w:p w:rsidR="007C47C6" w:rsidRDefault="006E5FBF" w:rsidP="007C47C6">
      <w:pPr>
        <w:ind w:left="720"/>
        <w:rPr>
          <w:noProof/>
        </w:rPr>
      </w:pPr>
      <w:r>
        <w:rPr>
          <w:noProof/>
        </w:rPr>
        <w:drawing>
          <wp:inline distT="0" distB="0" distL="0" distR="0">
            <wp:extent cx="5943600" cy="8763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876300"/>
                    </a:xfrm>
                    <a:prstGeom prst="rect">
                      <a:avLst/>
                    </a:prstGeom>
                    <a:noFill/>
                    <a:ln>
                      <a:noFill/>
                    </a:ln>
                  </pic:spPr>
                </pic:pic>
              </a:graphicData>
            </a:graphic>
          </wp:inline>
        </w:drawing>
      </w:r>
    </w:p>
    <w:p w:rsidR="007C47C6" w:rsidRDefault="007C47C6" w:rsidP="007C47C6">
      <w:pPr>
        <w:ind w:left="720"/>
        <w:rPr>
          <w:noProof/>
        </w:rPr>
      </w:pPr>
    </w:p>
    <w:p w:rsidR="007C47C6" w:rsidRDefault="007C47C6" w:rsidP="007C47C6">
      <w:pPr>
        <w:ind w:left="720"/>
        <w:rPr>
          <w:noProof/>
        </w:rPr>
      </w:pPr>
    </w:p>
    <w:p w:rsidR="007C47C6" w:rsidRDefault="007C47C6" w:rsidP="007C47C6">
      <w:pPr>
        <w:ind w:left="720"/>
        <w:rPr>
          <w:noProof/>
        </w:rPr>
      </w:pPr>
    </w:p>
    <w:p w:rsidR="007C47C6" w:rsidRDefault="007C47C6" w:rsidP="007C47C6">
      <w:pPr>
        <w:numPr>
          <w:ilvl w:val="0"/>
          <w:numId w:val="16"/>
        </w:numPr>
        <w:rPr>
          <w:noProof/>
        </w:rPr>
      </w:pPr>
      <w:r>
        <w:rPr>
          <w:noProof/>
        </w:rPr>
        <w:lastRenderedPageBreak/>
        <w:t>The “Location Test Performed at” and “Required” sections must be completed</w:t>
      </w:r>
    </w:p>
    <w:p w:rsidR="007C47C6" w:rsidRDefault="007C47C6" w:rsidP="007C47C6">
      <w:pPr>
        <w:ind w:left="720"/>
        <w:rPr>
          <w:noProof/>
        </w:rPr>
      </w:pPr>
    </w:p>
    <w:p w:rsidR="007C47C6" w:rsidRDefault="006E5FBF" w:rsidP="007C47C6">
      <w:pPr>
        <w:ind w:left="720"/>
        <w:rPr>
          <w:noProof/>
        </w:rPr>
      </w:pPr>
      <w:r>
        <w:rPr>
          <w:noProof/>
        </w:rPr>
        <w:drawing>
          <wp:inline distT="0" distB="0" distL="0" distR="0">
            <wp:extent cx="2295525" cy="1419225"/>
            <wp:effectExtent l="0" t="0" r="9525" b="952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95525" cy="1419225"/>
                    </a:xfrm>
                    <a:prstGeom prst="rect">
                      <a:avLst/>
                    </a:prstGeom>
                    <a:noFill/>
                    <a:ln>
                      <a:noFill/>
                    </a:ln>
                  </pic:spPr>
                </pic:pic>
              </a:graphicData>
            </a:graphic>
          </wp:inline>
        </w:drawing>
      </w:r>
    </w:p>
    <w:p w:rsidR="007C47C6" w:rsidRDefault="007C47C6" w:rsidP="007C47C6">
      <w:pPr>
        <w:ind w:left="720"/>
        <w:rPr>
          <w:noProof/>
        </w:rPr>
      </w:pPr>
    </w:p>
    <w:p w:rsidR="007C47C6" w:rsidRDefault="007C47C6" w:rsidP="007C47C6">
      <w:pPr>
        <w:numPr>
          <w:ilvl w:val="0"/>
          <w:numId w:val="16"/>
        </w:numPr>
        <w:rPr>
          <w:noProof/>
        </w:rPr>
      </w:pPr>
      <w:r>
        <w:rPr>
          <w:noProof/>
        </w:rPr>
        <w:t>Choose the test that you need to document on</w:t>
      </w:r>
    </w:p>
    <w:p w:rsidR="00AA203C" w:rsidRDefault="00AA203C" w:rsidP="00AA203C">
      <w:pPr>
        <w:ind w:left="720"/>
        <w:rPr>
          <w:noProof/>
        </w:rPr>
      </w:pPr>
    </w:p>
    <w:p w:rsidR="00AA203C" w:rsidRDefault="006E5FBF" w:rsidP="007C47C6">
      <w:pPr>
        <w:ind w:left="720"/>
        <w:rPr>
          <w:noProof/>
        </w:rPr>
      </w:pPr>
      <w:r>
        <w:rPr>
          <w:noProof/>
        </w:rPr>
        <w:drawing>
          <wp:inline distT="0" distB="0" distL="0" distR="0">
            <wp:extent cx="1057275" cy="1390650"/>
            <wp:effectExtent l="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7275" cy="1390650"/>
                    </a:xfrm>
                    <a:prstGeom prst="rect">
                      <a:avLst/>
                    </a:prstGeom>
                    <a:noFill/>
                    <a:ln>
                      <a:noFill/>
                    </a:ln>
                  </pic:spPr>
                </pic:pic>
              </a:graphicData>
            </a:graphic>
          </wp:inline>
        </w:drawing>
      </w:r>
    </w:p>
    <w:p w:rsidR="00346638" w:rsidRDefault="00346638" w:rsidP="007C47C6">
      <w:pPr>
        <w:ind w:left="720"/>
        <w:rPr>
          <w:noProof/>
        </w:rPr>
      </w:pPr>
    </w:p>
    <w:p w:rsidR="00346638" w:rsidRDefault="00346638" w:rsidP="00346638">
      <w:pPr>
        <w:numPr>
          <w:ilvl w:val="0"/>
          <w:numId w:val="16"/>
        </w:numPr>
        <w:rPr>
          <w:noProof/>
        </w:rPr>
      </w:pPr>
      <w:r>
        <w:rPr>
          <w:noProof/>
        </w:rPr>
        <w:t>Move back to the right hand side of the form and answer the questions using you mouse and the drop down list</w:t>
      </w:r>
    </w:p>
    <w:p w:rsidR="00346638" w:rsidRDefault="00346638" w:rsidP="00346638">
      <w:pPr>
        <w:rPr>
          <w:noProof/>
        </w:rPr>
      </w:pPr>
    </w:p>
    <w:p w:rsidR="00346638" w:rsidRDefault="00346638" w:rsidP="00346638">
      <w:pPr>
        <w:rPr>
          <w:noProof/>
        </w:rPr>
      </w:pPr>
      <w:r>
        <w:rPr>
          <w:noProof/>
        </w:rPr>
        <w:t xml:space="preserve">              </w:t>
      </w:r>
      <w:r w:rsidR="006E5FBF">
        <w:rPr>
          <w:noProof/>
        </w:rPr>
        <w:drawing>
          <wp:inline distT="0" distB="0" distL="0" distR="0">
            <wp:extent cx="3600450" cy="108585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0450" cy="1085850"/>
                    </a:xfrm>
                    <a:prstGeom prst="rect">
                      <a:avLst/>
                    </a:prstGeom>
                    <a:noFill/>
                    <a:ln>
                      <a:noFill/>
                    </a:ln>
                  </pic:spPr>
                </pic:pic>
              </a:graphicData>
            </a:graphic>
          </wp:inline>
        </w:drawing>
      </w:r>
      <w:r>
        <w:rPr>
          <w:noProof/>
        </w:rPr>
        <w:t>t</w:t>
      </w:r>
    </w:p>
    <w:p w:rsidR="00346638" w:rsidRDefault="00346638" w:rsidP="00346638">
      <w:pPr>
        <w:rPr>
          <w:noProof/>
        </w:rPr>
      </w:pPr>
    </w:p>
    <w:p w:rsidR="00346638" w:rsidRDefault="00346638" w:rsidP="00346638">
      <w:pPr>
        <w:rPr>
          <w:noProof/>
        </w:rPr>
      </w:pPr>
      <w:r>
        <w:rPr>
          <w:noProof/>
        </w:rPr>
        <w:t xml:space="preserve">             </w:t>
      </w:r>
      <w:r w:rsidR="006E5FBF">
        <w:rPr>
          <w:noProof/>
        </w:rPr>
        <w:drawing>
          <wp:inline distT="0" distB="0" distL="0" distR="0">
            <wp:extent cx="3324225" cy="1409700"/>
            <wp:effectExtent l="0" t="0" r="952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24225" cy="1409700"/>
                    </a:xfrm>
                    <a:prstGeom prst="rect">
                      <a:avLst/>
                    </a:prstGeom>
                    <a:noFill/>
                    <a:ln>
                      <a:noFill/>
                    </a:ln>
                  </pic:spPr>
                </pic:pic>
              </a:graphicData>
            </a:graphic>
          </wp:inline>
        </w:drawing>
      </w:r>
    </w:p>
    <w:p w:rsidR="00346638" w:rsidRDefault="00346638" w:rsidP="00346638">
      <w:pPr>
        <w:rPr>
          <w:noProof/>
        </w:rPr>
      </w:pPr>
    </w:p>
    <w:p w:rsidR="00346638" w:rsidRDefault="00346638" w:rsidP="00346638">
      <w:pPr>
        <w:numPr>
          <w:ilvl w:val="0"/>
          <w:numId w:val="16"/>
        </w:numPr>
        <w:rPr>
          <w:noProof/>
        </w:rPr>
      </w:pPr>
      <w:r>
        <w:rPr>
          <w:noProof/>
        </w:rPr>
        <w:t>When you move back to the Visit Navigator/ another page, the information will save automatically.</w:t>
      </w:r>
    </w:p>
    <w:p w:rsidR="00E9066F" w:rsidRDefault="00E9066F" w:rsidP="00C90551">
      <w:pPr>
        <w:ind w:left="1440"/>
        <w:rPr>
          <w:noProof/>
        </w:rPr>
      </w:pPr>
    </w:p>
    <w:p w:rsidR="00E9066F" w:rsidRDefault="009B30D7" w:rsidP="00E9066F">
      <w:pPr>
        <w:numPr>
          <w:ilvl w:val="0"/>
          <w:numId w:val="16"/>
        </w:numPr>
        <w:ind w:left="1080"/>
        <w:rPr>
          <w:noProof/>
        </w:rPr>
      </w:pPr>
      <w:r>
        <w:rPr>
          <w:noProof/>
        </w:rPr>
        <w:t xml:space="preserve"> To pull the flowsheet info to your note, </w:t>
      </w:r>
      <w:r w:rsidR="00E9066F">
        <w:rPr>
          <w:noProof/>
        </w:rPr>
        <w:t>use the</w:t>
      </w:r>
      <w:r>
        <w:rPr>
          <w:noProof/>
        </w:rPr>
        <w:t xml:space="preserve"> following</w:t>
      </w:r>
      <w:r w:rsidR="00E9066F">
        <w:rPr>
          <w:noProof/>
        </w:rPr>
        <w:t xml:space="preserve"> Smartphrase</w:t>
      </w:r>
      <w:r w:rsidR="00367A93">
        <w:rPr>
          <w:noProof/>
        </w:rPr>
        <w:t xml:space="preserve">.  </w:t>
      </w:r>
    </w:p>
    <w:p w:rsidR="009B30D7" w:rsidRDefault="009B30D7" w:rsidP="009B30D7">
      <w:pPr>
        <w:rPr>
          <w:noProof/>
        </w:rPr>
      </w:pPr>
    </w:p>
    <w:p w:rsidR="00E9066F" w:rsidRDefault="006E5FBF" w:rsidP="00E9066F">
      <w:pPr>
        <w:ind w:left="1080"/>
        <w:rPr>
          <w:noProof/>
        </w:rPr>
      </w:pPr>
      <w:r>
        <w:rPr>
          <w:noProof/>
        </w:rPr>
        <w:drawing>
          <wp:inline distT="0" distB="0" distL="0" distR="0">
            <wp:extent cx="5762625" cy="1085850"/>
            <wp:effectExtent l="0" t="0" r="952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2625" cy="1085850"/>
                    </a:xfrm>
                    <a:prstGeom prst="rect">
                      <a:avLst/>
                    </a:prstGeom>
                    <a:noFill/>
                    <a:ln>
                      <a:noFill/>
                    </a:ln>
                  </pic:spPr>
                </pic:pic>
              </a:graphicData>
            </a:graphic>
          </wp:inline>
        </w:drawing>
      </w:r>
    </w:p>
    <w:p w:rsidR="00367A93" w:rsidRDefault="00367A93" w:rsidP="00E9066F">
      <w:pPr>
        <w:ind w:left="1080"/>
        <w:rPr>
          <w:noProof/>
        </w:rPr>
      </w:pPr>
    </w:p>
    <w:p w:rsidR="00367A93" w:rsidRDefault="006E5FBF" w:rsidP="00E9066F">
      <w:pPr>
        <w:ind w:left="1080"/>
        <w:rPr>
          <w:noProof/>
        </w:rPr>
      </w:pPr>
      <w:r>
        <w:rPr>
          <w:noProof/>
        </w:rPr>
        <w:drawing>
          <wp:inline distT="0" distB="0" distL="0" distR="0">
            <wp:extent cx="5943600" cy="142875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428750"/>
                    </a:xfrm>
                    <a:prstGeom prst="rect">
                      <a:avLst/>
                    </a:prstGeom>
                    <a:noFill/>
                    <a:ln>
                      <a:noFill/>
                    </a:ln>
                  </pic:spPr>
                </pic:pic>
              </a:graphicData>
            </a:graphic>
          </wp:inline>
        </w:drawing>
      </w:r>
    </w:p>
    <w:p w:rsidR="00367A93" w:rsidRDefault="00367A93" w:rsidP="00E9066F">
      <w:pPr>
        <w:ind w:left="1080"/>
        <w:rPr>
          <w:noProof/>
        </w:rPr>
      </w:pPr>
    </w:p>
    <w:p w:rsidR="00367A93" w:rsidRDefault="00367A93" w:rsidP="00E9066F">
      <w:pPr>
        <w:ind w:left="1080"/>
        <w:rPr>
          <w:noProof/>
        </w:rPr>
      </w:pPr>
    </w:p>
    <w:p w:rsidR="00367A93" w:rsidRDefault="00367A93" w:rsidP="00367A93">
      <w:pPr>
        <w:numPr>
          <w:ilvl w:val="0"/>
          <w:numId w:val="16"/>
        </w:numPr>
        <w:rPr>
          <w:noProof/>
        </w:rPr>
      </w:pPr>
      <w:r>
        <w:rPr>
          <w:noProof/>
        </w:rPr>
        <w:t xml:space="preserve"> After the test is ordered and complete, the charge will need to added so that the billing can be completed.  To do this, you will go to the Orders and Procedures section of the navigator to “Charge Capture”</w:t>
      </w:r>
    </w:p>
    <w:p w:rsidR="00367A93" w:rsidRDefault="00367A93" w:rsidP="00367A93">
      <w:pPr>
        <w:rPr>
          <w:noProof/>
        </w:rPr>
      </w:pPr>
    </w:p>
    <w:p w:rsidR="00367A93" w:rsidRDefault="00367A93" w:rsidP="00367A93">
      <w:pPr>
        <w:rPr>
          <w:noProof/>
        </w:rPr>
      </w:pPr>
      <w:r>
        <w:rPr>
          <w:noProof/>
        </w:rPr>
        <w:t xml:space="preserve">              </w:t>
      </w:r>
      <w:r w:rsidR="006E5FBF">
        <w:rPr>
          <w:noProof/>
        </w:rPr>
        <w:drawing>
          <wp:inline distT="0" distB="0" distL="0" distR="0">
            <wp:extent cx="1447800" cy="2162175"/>
            <wp:effectExtent l="0" t="0" r="0" b="9525"/>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47800" cy="2162175"/>
                    </a:xfrm>
                    <a:prstGeom prst="rect">
                      <a:avLst/>
                    </a:prstGeom>
                    <a:noFill/>
                    <a:ln>
                      <a:noFill/>
                    </a:ln>
                  </pic:spPr>
                </pic:pic>
              </a:graphicData>
            </a:graphic>
          </wp:inline>
        </w:drawing>
      </w:r>
    </w:p>
    <w:p w:rsidR="00367A93" w:rsidRDefault="00367A93" w:rsidP="00367A93">
      <w:pPr>
        <w:rPr>
          <w:noProof/>
        </w:rPr>
      </w:pPr>
    </w:p>
    <w:p w:rsidR="00367A93" w:rsidRDefault="00367A93" w:rsidP="00367A93">
      <w:pPr>
        <w:numPr>
          <w:ilvl w:val="0"/>
          <w:numId w:val="16"/>
        </w:numPr>
        <w:rPr>
          <w:noProof/>
        </w:rPr>
      </w:pPr>
      <w:r>
        <w:rPr>
          <w:noProof/>
        </w:rPr>
        <w:t>In the “Charge Capture” section, find the hyperlink that says “Poct (place A Check Mark In The Appropriate Check Box” line</w:t>
      </w:r>
    </w:p>
    <w:p w:rsidR="00367A93" w:rsidRDefault="00367A93" w:rsidP="00367A93">
      <w:pPr>
        <w:rPr>
          <w:noProof/>
        </w:rPr>
      </w:pPr>
    </w:p>
    <w:p w:rsidR="00367A93" w:rsidRDefault="00367A93" w:rsidP="00367A93">
      <w:pPr>
        <w:rPr>
          <w:noProof/>
        </w:rPr>
      </w:pPr>
      <w:r>
        <w:rPr>
          <w:noProof/>
        </w:rPr>
        <w:t xml:space="preserve">              </w:t>
      </w:r>
      <w:r w:rsidR="006E5FBF">
        <w:rPr>
          <w:noProof/>
        </w:rPr>
        <w:drawing>
          <wp:inline distT="0" distB="0" distL="0" distR="0">
            <wp:extent cx="3781425" cy="3533775"/>
            <wp:effectExtent l="0" t="0" r="9525" b="9525"/>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81425" cy="3533775"/>
                    </a:xfrm>
                    <a:prstGeom prst="rect">
                      <a:avLst/>
                    </a:prstGeom>
                    <a:noFill/>
                    <a:ln>
                      <a:noFill/>
                    </a:ln>
                  </pic:spPr>
                </pic:pic>
              </a:graphicData>
            </a:graphic>
          </wp:inline>
        </w:drawing>
      </w:r>
    </w:p>
    <w:p w:rsidR="00367A93" w:rsidRDefault="00367A93" w:rsidP="00367A93">
      <w:pPr>
        <w:rPr>
          <w:noProof/>
        </w:rPr>
      </w:pPr>
    </w:p>
    <w:p w:rsidR="005002E3" w:rsidRDefault="005002E3" w:rsidP="005002E3">
      <w:pPr>
        <w:numPr>
          <w:ilvl w:val="0"/>
          <w:numId w:val="16"/>
        </w:numPr>
        <w:rPr>
          <w:noProof/>
        </w:rPr>
      </w:pPr>
      <w:r>
        <w:rPr>
          <w:noProof/>
        </w:rPr>
        <w:t>You will find the test to charge for in your charge capture as you are logged into your specific department.  (The screen shot below is what the OB/GYN charge capture looks like with the Provider POCTs that they would do are shown)</w:t>
      </w:r>
    </w:p>
    <w:p w:rsidR="005002E3" w:rsidRDefault="005002E3" w:rsidP="005002E3">
      <w:pPr>
        <w:ind w:left="720"/>
        <w:rPr>
          <w:noProof/>
        </w:rPr>
      </w:pPr>
    </w:p>
    <w:p w:rsidR="005002E3" w:rsidRDefault="006E5FBF" w:rsidP="005002E3">
      <w:pPr>
        <w:ind w:left="720"/>
        <w:rPr>
          <w:noProof/>
        </w:rPr>
      </w:pPr>
      <w:r>
        <w:rPr>
          <w:noProof/>
        </w:rPr>
        <w:drawing>
          <wp:inline distT="0" distB="0" distL="0" distR="0">
            <wp:extent cx="5943600" cy="200025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2000250"/>
                    </a:xfrm>
                    <a:prstGeom prst="rect">
                      <a:avLst/>
                    </a:prstGeom>
                    <a:noFill/>
                    <a:ln>
                      <a:noFill/>
                    </a:ln>
                  </pic:spPr>
                </pic:pic>
              </a:graphicData>
            </a:graphic>
          </wp:inline>
        </w:drawing>
      </w:r>
    </w:p>
    <w:p w:rsidR="005002E3" w:rsidRDefault="005002E3" w:rsidP="005002E3">
      <w:pPr>
        <w:ind w:left="720"/>
        <w:rPr>
          <w:noProof/>
        </w:rPr>
      </w:pPr>
    </w:p>
    <w:p w:rsidR="005002E3" w:rsidRPr="00346638" w:rsidRDefault="005002E3" w:rsidP="005002E3">
      <w:pPr>
        <w:ind w:left="720"/>
        <w:rPr>
          <w:noProof/>
        </w:rPr>
      </w:pPr>
    </w:p>
    <w:sectPr w:rsidR="005002E3" w:rsidRPr="00346638" w:rsidSect="004A437F">
      <w:headerReference w:type="default" r:id="rId24"/>
      <w:footerReference w:type="default" r:id="rId25"/>
      <w:pgSz w:w="12240" w:h="15840"/>
      <w:pgMar w:top="432"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859" w:rsidRDefault="00E91859">
      <w:r>
        <w:separator/>
      </w:r>
    </w:p>
  </w:endnote>
  <w:endnote w:type="continuationSeparator" w:id="0">
    <w:p w:rsidR="00E91859" w:rsidRDefault="00E9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384" w:rsidRPr="00C62CF0" w:rsidRDefault="006E5FBF" w:rsidP="00DA712D">
    <w:pPr>
      <w:pStyle w:val="Footer"/>
      <w:pBdr>
        <w:top w:val="threeDEmboss" w:sz="18" w:space="1" w:color="333399"/>
      </w:pBdr>
      <w:tabs>
        <w:tab w:val="clear" w:pos="4320"/>
        <w:tab w:val="clear" w:pos="8640"/>
        <w:tab w:val="center" w:pos="4680"/>
        <w:tab w:val="right" w:pos="9360"/>
      </w:tabs>
      <w:rPr>
        <w:rFonts w:ascii="Arial" w:hAnsi="Arial" w:cs="Arial"/>
        <w:b/>
        <w:sz w:val="16"/>
        <w:szCs w:val="16"/>
      </w:rPr>
    </w:pPr>
    <w:r>
      <w:rPr>
        <w:noProof/>
      </w:rPr>
      <w:drawing>
        <wp:inline distT="0" distB="0" distL="0" distR="0">
          <wp:extent cx="904875" cy="285750"/>
          <wp:effectExtent l="0" t="0" r="9525" b="0"/>
          <wp:docPr id="6" name="Picture 6" descr="wvu-medicine-logo-pms-295_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vu-medicine-logo-pms-295_1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285750"/>
                  </a:xfrm>
                  <a:prstGeom prst="rect">
                    <a:avLst/>
                  </a:prstGeom>
                  <a:noFill/>
                  <a:ln>
                    <a:noFill/>
                  </a:ln>
                </pic:spPr>
              </pic:pic>
            </a:graphicData>
          </a:graphic>
        </wp:inline>
      </w:drawing>
    </w:r>
    <w:r w:rsidR="00AF4384" w:rsidRPr="00C62CF0">
      <w:rPr>
        <w:rFonts w:ascii="Arial" w:hAnsi="Arial" w:cs="Arial"/>
        <w:b/>
        <w:sz w:val="20"/>
        <w:szCs w:val="20"/>
      </w:rPr>
      <w:tab/>
      <w:t xml:space="preserve">Page </w:t>
    </w:r>
    <w:r w:rsidR="00AF4384" w:rsidRPr="00C62CF0">
      <w:rPr>
        <w:rStyle w:val="PageNumber"/>
        <w:rFonts w:ascii="Arial" w:hAnsi="Arial" w:cs="Arial"/>
        <w:b/>
        <w:sz w:val="20"/>
        <w:szCs w:val="20"/>
      </w:rPr>
      <w:fldChar w:fldCharType="begin"/>
    </w:r>
    <w:r w:rsidR="00AF4384" w:rsidRPr="00C62CF0">
      <w:rPr>
        <w:rStyle w:val="PageNumber"/>
        <w:rFonts w:ascii="Arial" w:hAnsi="Arial" w:cs="Arial"/>
        <w:b/>
        <w:sz w:val="20"/>
        <w:szCs w:val="20"/>
      </w:rPr>
      <w:instrText xml:space="preserve"> PAGE </w:instrText>
    </w:r>
    <w:r w:rsidR="00AF4384" w:rsidRPr="00C62CF0">
      <w:rPr>
        <w:rStyle w:val="PageNumber"/>
        <w:rFonts w:ascii="Arial" w:hAnsi="Arial" w:cs="Arial"/>
        <w:b/>
        <w:sz w:val="20"/>
        <w:szCs w:val="20"/>
      </w:rPr>
      <w:fldChar w:fldCharType="separate"/>
    </w:r>
    <w:r w:rsidR="000112F8">
      <w:rPr>
        <w:rStyle w:val="PageNumber"/>
        <w:rFonts w:ascii="Arial" w:hAnsi="Arial" w:cs="Arial"/>
        <w:b/>
        <w:noProof/>
        <w:sz w:val="20"/>
        <w:szCs w:val="20"/>
      </w:rPr>
      <w:t>1</w:t>
    </w:r>
    <w:r w:rsidR="00AF4384" w:rsidRPr="00C62CF0">
      <w:rPr>
        <w:rStyle w:val="PageNumber"/>
        <w:rFonts w:ascii="Arial" w:hAnsi="Arial" w:cs="Arial"/>
        <w:b/>
        <w:sz w:val="20"/>
        <w:szCs w:val="20"/>
      </w:rPr>
      <w:fldChar w:fldCharType="end"/>
    </w:r>
    <w:r w:rsidR="00AF4384" w:rsidRPr="00C62CF0">
      <w:rPr>
        <w:rStyle w:val="PageNumber"/>
        <w:rFonts w:ascii="Arial" w:hAnsi="Arial" w:cs="Arial"/>
        <w:b/>
        <w:sz w:val="20"/>
        <w:szCs w:val="20"/>
      </w:rPr>
      <w:t xml:space="preserve"> of </w:t>
    </w:r>
    <w:r w:rsidR="00AF4384" w:rsidRPr="00C62CF0">
      <w:rPr>
        <w:rStyle w:val="PageNumber"/>
        <w:rFonts w:ascii="Arial" w:hAnsi="Arial" w:cs="Arial"/>
        <w:b/>
        <w:sz w:val="20"/>
        <w:szCs w:val="20"/>
      </w:rPr>
      <w:fldChar w:fldCharType="begin"/>
    </w:r>
    <w:r w:rsidR="00AF4384" w:rsidRPr="00C62CF0">
      <w:rPr>
        <w:rStyle w:val="PageNumber"/>
        <w:rFonts w:ascii="Arial" w:hAnsi="Arial" w:cs="Arial"/>
        <w:b/>
        <w:sz w:val="20"/>
        <w:szCs w:val="20"/>
      </w:rPr>
      <w:instrText xml:space="preserve"> NUMPAGES </w:instrText>
    </w:r>
    <w:r w:rsidR="00AF4384" w:rsidRPr="00C62CF0">
      <w:rPr>
        <w:rStyle w:val="PageNumber"/>
        <w:rFonts w:ascii="Arial" w:hAnsi="Arial" w:cs="Arial"/>
        <w:b/>
        <w:sz w:val="20"/>
        <w:szCs w:val="20"/>
      </w:rPr>
      <w:fldChar w:fldCharType="separate"/>
    </w:r>
    <w:r w:rsidR="000112F8">
      <w:rPr>
        <w:rStyle w:val="PageNumber"/>
        <w:rFonts w:ascii="Arial" w:hAnsi="Arial" w:cs="Arial"/>
        <w:b/>
        <w:noProof/>
        <w:sz w:val="20"/>
        <w:szCs w:val="20"/>
      </w:rPr>
      <w:t>3</w:t>
    </w:r>
    <w:r w:rsidR="00AF4384" w:rsidRPr="00C62CF0">
      <w:rPr>
        <w:rStyle w:val="PageNumber"/>
        <w:rFonts w:ascii="Arial" w:hAnsi="Arial" w:cs="Arial"/>
        <w:b/>
        <w:sz w:val="20"/>
        <w:szCs w:val="20"/>
      </w:rPr>
      <w:fldChar w:fldCharType="end"/>
    </w:r>
    <w:r w:rsidR="00AF4384" w:rsidRPr="00C62CF0">
      <w:rPr>
        <w:rFonts w:ascii="Arial" w:hAnsi="Arial" w:cs="Arial"/>
        <w:b/>
        <w:sz w:val="20"/>
        <w:szCs w:val="20"/>
      </w:rPr>
      <w:tab/>
    </w:r>
    <w:r w:rsidR="004A437F">
      <w:rPr>
        <w:rFonts w:ascii="Arial" w:hAnsi="Arial" w:cs="Arial"/>
        <w:b/>
        <w:sz w:val="16"/>
        <w:szCs w:val="16"/>
      </w:rPr>
      <w:fldChar w:fldCharType="begin"/>
    </w:r>
    <w:r w:rsidR="004A437F">
      <w:rPr>
        <w:rFonts w:ascii="Arial" w:hAnsi="Arial" w:cs="Arial"/>
        <w:b/>
        <w:sz w:val="16"/>
        <w:szCs w:val="16"/>
      </w:rPr>
      <w:instrText xml:space="preserve"> DATE \@ "M/d/yyyy" </w:instrText>
    </w:r>
    <w:r w:rsidR="004A437F">
      <w:rPr>
        <w:rFonts w:ascii="Arial" w:hAnsi="Arial" w:cs="Arial"/>
        <w:b/>
        <w:sz w:val="16"/>
        <w:szCs w:val="16"/>
      </w:rPr>
      <w:fldChar w:fldCharType="separate"/>
    </w:r>
    <w:r w:rsidR="000112F8">
      <w:rPr>
        <w:rFonts w:ascii="Arial" w:hAnsi="Arial" w:cs="Arial"/>
        <w:b/>
        <w:noProof/>
        <w:sz w:val="16"/>
        <w:szCs w:val="16"/>
      </w:rPr>
      <w:t>3/5/2020</w:t>
    </w:r>
    <w:r w:rsidR="004A437F">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859" w:rsidRDefault="00E91859">
      <w:r>
        <w:separator/>
      </w:r>
    </w:p>
  </w:footnote>
  <w:footnote w:type="continuationSeparator" w:id="0">
    <w:p w:rsidR="00E91859" w:rsidRDefault="00E91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384" w:rsidRPr="006E5FBF" w:rsidRDefault="006E5FBF" w:rsidP="00D044E0">
    <w:pPr>
      <w:pStyle w:val="Header"/>
      <w:tabs>
        <w:tab w:val="clear" w:pos="8640"/>
        <w:tab w:val="right" w:pos="9360"/>
      </w:tabs>
      <w:spacing w:before="120"/>
      <w:rPr>
        <w:b/>
        <w:smallCaps/>
        <w:color w:val="000080"/>
        <w:sz w:val="40"/>
        <w14:shadow w14:blurRad="50800" w14:dist="38100" w14:dir="2700000" w14:sx="100000" w14:sy="100000" w14:kx="0" w14:ky="0" w14:algn="tl">
          <w14:srgbClr w14:val="000000">
            <w14:alpha w14:val="60000"/>
          </w14:srgbClr>
        </w14:shadow>
      </w:rPr>
    </w:pPr>
    <w:r>
      <w:rPr>
        <w:b/>
        <w:smallCaps/>
        <w:noProof/>
        <w:color w:val="000080"/>
        <w:sz w:val="40"/>
      </w:rPr>
      <w:drawing>
        <wp:inline distT="0" distB="0" distL="0" distR="0">
          <wp:extent cx="1171575" cy="447675"/>
          <wp:effectExtent l="0" t="0" r="9525" b="9525"/>
          <wp:docPr id="1" name="Picture 1" descr="Ep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447675"/>
                  </a:xfrm>
                  <a:prstGeom prst="rect">
                    <a:avLst/>
                  </a:prstGeom>
                  <a:noFill/>
                  <a:ln>
                    <a:noFill/>
                  </a:ln>
                </pic:spPr>
              </pic:pic>
            </a:graphicData>
          </a:graphic>
        </wp:inline>
      </w:drawing>
    </w:r>
    <w:r w:rsidR="00D044E0" w:rsidRPr="006E5FBF">
      <w:rPr>
        <w:b/>
        <w:smallCaps/>
        <w:color w:val="000080"/>
        <w:sz w:val="40"/>
        <w14:shadow w14:blurRad="50800" w14:dist="38100" w14:dir="2700000" w14:sx="100000" w14:sy="100000" w14:kx="0" w14:ky="0" w14:algn="tl">
          <w14:srgbClr w14:val="000000">
            <w14:alpha w14:val="60000"/>
          </w14:srgbClr>
        </w14:shadow>
      </w:rPr>
      <w:tab/>
    </w:r>
    <w:r w:rsidR="00D044E0" w:rsidRPr="006E5FBF">
      <w:rPr>
        <w:b/>
        <w:smallCaps/>
        <w:color w:val="000080"/>
        <w:sz w:val="40"/>
        <w14:shadow w14:blurRad="50800" w14:dist="38100" w14:dir="2700000" w14:sx="100000" w14:sy="100000" w14:kx="0" w14:ky="0" w14:algn="tl">
          <w14:srgbClr w14:val="000000">
            <w14:alpha w14:val="60000"/>
          </w14:srgbClr>
        </w14:shadow>
      </w:rPr>
      <w:tab/>
    </w:r>
    <w:r w:rsidR="00AF4384" w:rsidRPr="006E5FBF">
      <w:rPr>
        <w:rFonts w:ascii="Arial" w:hAnsi="Arial" w:cs="Arial"/>
        <w:b/>
        <w:smallCaps/>
        <w:color w:val="000080"/>
        <w:sz w:val="40"/>
        <w14:shadow w14:blurRad="50800" w14:dist="38100" w14:dir="2700000" w14:sx="100000" w14:sy="100000" w14:kx="0" w14:ky="0" w14:algn="tl">
          <w14:srgbClr w14:val="000000">
            <w14:alpha w14:val="60000"/>
          </w14:srgbClr>
        </w14:shadow>
      </w:rPr>
      <w:t>Tip Talk</w:t>
    </w:r>
    <w:r w:rsidR="00D044E0" w:rsidRPr="006E5FBF">
      <w:rPr>
        <w:rFonts w:ascii="Arial" w:hAnsi="Arial" w:cs="Arial"/>
        <w:b/>
        <w:smallCaps/>
        <w:color w:val="000080"/>
        <w:sz w:val="40"/>
        <w14:shadow w14:blurRad="50800" w14:dist="38100" w14:dir="2700000" w14:sx="100000" w14:sy="100000" w14:kx="0" w14:ky="0" w14:algn="tl">
          <w14:srgbClr w14:val="000000">
            <w14:alpha w14:val="60000"/>
          </w14:srgbClr>
        </w14:shadow>
      </w:rPr>
      <w:t>s</w:t>
    </w:r>
  </w:p>
  <w:p w:rsidR="00AF4384" w:rsidRPr="006E5FBF" w:rsidRDefault="00AF4384" w:rsidP="0012119D">
    <w:pPr>
      <w:pStyle w:val="Header"/>
      <w:pBdr>
        <w:bottom w:val="threeDEmboss" w:sz="18" w:space="1" w:color="333399"/>
      </w:pBdr>
      <w:tabs>
        <w:tab w:val="clear" w:pos="8640"/>
        <w:tab w:val="right" w:pos="9360"/>
      </w:tabs>
      <w:jc w:val="right"/>
      <w:rPr>
        <w:b/>
        <w:smallCaps/>
        <w:color w:val="000080"/>
        <w:sz w:val="20"/>
        <w:szCs w:val="20"/>
        <w14:shadow w14:blurRad="50800" w14:dist="38100" w14:dir="2700000" w14:sx="100000" w14:sy="100000" w14:kx="0" w14:ky="0" w14:algn="tl">
          <w14:srgbClr w14:val="000000">
            <w14:alpha w14:val="60000"/>
          </w14:srgbClr>
        </w14:shadow>
      </w:rPr>
    </w:pPr>
  </w:p>
  <w:p w:rsidR="00AF4384" w:rsidRPr="006E5FBF" w:rsidRDefault="00AF4384" w:rsidP="0012119D">
    <w:pPr>
      <w:pStyle w:val="Header"/>
      <w:tabs>
        <w:tab w:val="clear" w:pos="8640"/>
        <w:tab w:val="right" w:pos="9360"/>
      </w:tabs>
      <w:jc w:val="right"/>
      <w:rPr>
        <w:b/>
        <w:smallCaps/>
        <w:color w:val="000080"/>
        <w:sz w:val="32"/>
        <w:szCs w:val="32"/>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120A2"/>
    <w:multiLevelType w:val="multilevel"/>
    <w:tmpl w:val="54F24142"/>
    <w:lvl w:ilvl="0">
      <w:start w:val="1"/>
      <w:numFmt w:val="bullet"/>
      <w:lvlText w:val=""/>
      <w:lvlJc w:val="left"/>
      <w:pPr>
        <w:tabs>
          <w:tab w:val="num" w:pos="2218"/>
        </w:tabs>
        <w:ind w:left="2218"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85DD4"/>
    <w:multiLevelType w:val="hybridMultilevel"/>
    <w:tmpl w:val="D0E4401C"/>
    <w:lvl w:ilvl="0" w:tplc="04090005">
      <w:start w:val="1"/>
      <w:numFmt w:val="bullet"/>
      <w:lvlText w:val=""/>
      <w:lvlJc w:val="left"/>
      <w:pPr>
        <w:tabs>
          <w:tab w:val="num" w:pos="2218"/>
        </w:tabs>
        <w:ind w:left="2218"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012C64"/>
    <w:multiLevelType w:val="hybridMultilevel"/>
    <w:tmpl w:val="081A338E"/>
    <w:lvl w:ilvl="0" w:tplc="C650A7EA">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707706"/>
    <w:multiLevelType w:val="hybridMultilevel"/>
    <w:tmpl w:val="CAEC7D2A"/>
    <w:lvl w:ilvl="0" w:tplc="58D8C5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E21F71"/>
    <w:multiLevelType w:val="hybridMultilevel"/>
    <w:tmpl w:val="F93C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D57277"/>
    <w:multiLevelType w:val="hybridMultilevel"/>
    <w:tmpl w:val="7D2C82F8"/>
    <w:lvl w:ilvl="0" w:tplc="053C171E">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6295263"/>
    <w:multiLevelType w:val="hybridMultilevel"/>
    <w:tmpl w:val="B44C4C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DE5E0C"/>
    <w:multiLevelType w:val="hybridMultilevel"/>
    <w:tmpl w:val="5AE22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97C4EF4"/>
    <w:multiLevelType w:val="hybridMultilevel"/>
    <w:tmpl w:val="522E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5D243C"/>
    <w:multiLevelType w:val="hybridMultilevel"/>
    <w:tmpl w:val="E5A45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E242C7"/>
    <w:multiLevelType w:val="hybridMultilevel"/>
    <w:tmpl w:val="725A50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54A33523"/>
    <w:multiLevelType w:val="hybridMultilevel"/>
    <w:tmpl w:val="95BA9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1D090D"/>
    <w:multiLevelType w:val="hybridMultilevel"/>
    <w:tmpl w:val="B1DA7E8E"/>
    <w:lvl w:ilvl="0" w:tplc="AEE4F7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E7C7BA0"/>
    <w:multiLevelType w:val="hybridMultilevel"/>
    <w:tmpl w:val="0F56D46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63723F8"/>
    <w:multiLevelType w:val="hybridMultilevel"/>
    <w:tmpl w:val="54F24142"/>
    <w:lvl w:ilvl="0" w:tplc="0EFAFB1C">
      <w:start w:val="1"/>
      <w:numFmt w:val="bullet"/>
      <w:lvlText w:val=""/>
      <w:lvlJc w:val="left"/>
      <w:pPr>
        <w:tabs>
          <w:tab w:val="num" w:pos="2218"/>
        </w:tabs>
        <w:ind w:left="2218"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2D230F"/>
    <w:multiLevelType w:val="hybridMultilevel"/>
    <w:tmpl w:val="3D7C465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287F0F"/>
    <w:multiLevelType w:val="hybridMultilevel"/>
    <w:tmpl w:val="8564E020"/>
    <w:lvl w:ilvl="0" w:tplc="DA1868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F0F3BF3"/>
    <w:multiLevelType w:val="hybridMultilevel"/>
    <w:tmpl w:val="CC1A900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1"/>
  </w:num>
  <w:num w:numId="4">
    <w:abstractNumId w:val="17"/>
  </w:num>
  <w:num w:numId="5">
    <w:abstractNumId w:val="15"/>
  </w:num>
  <w:num w:numId="6">
    <w:abstractNumId w:val="2"/>
  </w:num>
  <w:num w:numId="7">
    <w:abstractNumId w:val="6"/>
  </w:num>
  <w:num w:numId="8">
    <w:abstractNumId w:val="10"/>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8"/>
  </w:num>
  <w:num w:numId="13">
    <w:abstractNumId w:val="9"/>
  </w:num>
  <w:num w:numId="14">
    <w:abstractNumId w:val="4"/>
  </w:num>
  <w:num w:numId="15">
    <w:abstractNumId w:val="12"/>
  </w:num>
  <w:num w:numId="16">
    <w:abstractNumId w:val="11"/>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19D"/>
    <w:rsid w:val="00007939"/>
    <w:rsid w:val="000112F8"/>
    <w:rsid w:val="0002158B"/>
    <w:rsid w:val="0002220A"/>
    <w:rsid w:val="00040B3C"/>
    <w:rsid w:val="00042092"/>
    <w:rsid w:val="000436AF"/>
    <w:rsid w:val="0007208A"/>
    <w:rsid w:val="000976DF"/>
    <w:rsid w:val="000B16FC"/>
    <w:rsid w:val="000C41AF"/>
    <w:rsid w:val="0012119D"/>
    <w:rsid w:val="00133A77"/>
    <w:rsid w:val="00141EF4"/>
    <w:rsid w:val="0018651E"/>
    <w:rsid w:val="001F6C20"/>
    <w:rsid w:val="002060BD"/>
    <w:rsid w:val="00266181"/>
    <w:rsid w:val="002B546E"/>
    <w:rsid w:val="002F61E9"/>
    <w:rsid w:val="002F7334"/>
    <w:rsid w:val="0031421E"/>
    <w:rsid w:val="00346638"/>
    <w:rsid w:val="00367A93"/>
    <w:rsid w:val="003818AF"/>
    <w:rsid w:val="00382494"/>
    <w:rsid w:val="003A4C45"/>
    <w:rsid w:val="003A765B"/>
    <w:rsid w:val="0040422B"/>
    <w:rsid w:val="00474EB1"/>
    <w:rsid w:val="00480235"/>
    <w:rsid w:val="004A437F"/>
    <w:rsid w:val="004B7856"/>
    <w:rsid w:val="004B7E02"/>
    <w:rsid w:val="004C1558"/>
    <w:rsid w:val="004F1F17"/>
    <w:rsid w:val="004F6227"/>
    <w:rsid w:val="005002E3"/>
    <w:rsid w:val="00534143"/>
    <w:rsid w:val="0053416E"/>
    <w:rsid w:val="00537232"/>
    <w:rsid w:val="00554E33"/>
    <w:rsid w:val="00571D85"/>
    <w:rsid w:val="005E1A8B"/>
    <w:rsid w:val="006060EF"/>
    <w:rsid w:val="00690C29"/>
    <w:rsid w:val="00694A57"/>
    <w:rsid w:val="006A7857"/>
    <w:rsid w:val="006E5FBF"/>
    <w:rsid w:val="00730550"/>
    <w:rsid w:val="00730A51"/>
    <w:rsid w:val="007501BB"/>
    <w:rsid w:val="00767DAF"/>
    <w:rsid w:val="00771C46"/>
    <w:rsid w:val="0079669A"/>
    <w:rsid w:val="00797635"/>
    <w:rsid w:val="007A6BD0"/>
    <w:rsid w:val="007B300C"/>
    <w:rsid w:val="007C47C6"/>
    <w:rsid w:val="007C7A7B"/>
    <w:rsid w:val="007D3597"/>
    <w:rsid w:val="007D59A9"/>
    <w:rsid w:val="007D6FF3"/>
    <w:rsid w:val="0088222F"/>
    <w:rsid w:val="008842FE"/>
    <w:rsid w:val="00896961"/>
    <w:rsid w:val="008A2FB0"/>
    <w:rsid w:val="008D097F"/>
    <w:rsid w:val="009456AA"/>
    <w:rsid w:val="009B30D7"/>
    <w:rsid w:val="009B397D"/>
    <w:rsid w:val="00A209E5"/>
    <w:rsid w:val="00A25B9D"/>
    <w:rsid w:val="00A524D7"/>
    <w:rsid w:val="00A55749"/>
    <w:rsid w:val="00A77674"/>
    <w:rsid w:val="00A9029B"/>
    <w:rsid w:val="00A94299"/>
    <w:rsid w:val="00AA203C"/>
    <w:rsid w:val="00AC1710"/>
    <w:rsid w:val="00AC4F45"/>
    <w:rsid w:val="00AE3840"/>
    <w:rsid w:val="00AF4384"/>
    <w:rsid w:val="00B42C93"/>
    <w:rsid w:val="00B75BC6"/>
    <w:rsid w:val="00B80D4B"/>
    <w:rsid w:val="00BC6EFA"/>
    <w:rsid w:val="00BF3934"/>
    <w:rsid w:val="00BF7A0B"/>
    <w:rsid w:val="00C07AD6"/>
    <w:rsid w:val="00C16B4C"/>
    <w:rsid w:val="00C5204F"/>
    <w:rsid w:val="00C62CF0"/>
    <w:rsid w:val="00C72284"/>
    <w:rsid w:val="00C829C5"/>
    <w:rsid w:val="00C90551"/>
    <w:rsid w:val="00CA78EF"/>
    <w:rsid w:val="00CC5F30"/>
    <w:rsid w:val="00CD5CF0"/>
    <w:rsid w:val="00CF7747"/>
    <w:rsid w:val="00D044E0"/>
    <w:rsid w:val="00D30530"/>
    <w:rsid w:val="00D51924"/>
    <w:rsid w:val="00DA712D"/>
    <w:rsid w:val="00E169B3"/>
    <w:rsid w:val="00E31A13"/>
    <w:rsid w:val="00E456B8"/>
    <w:rsid w:val="00E61202"/>
    <w:rsid w:val="00E6786B"/>
    <w:rsid w:val="00E83259"/>
    <w:rsid w:val="00E9066F"/>
    <w:rsid w:val="00E91859"/>
    <w:rsid w:val="00EF11B3"/>
    <w:rsid w:val="00F175CE"/>
    <w:rsid w:val="00F56E7E"/>
    <w:rsid w:val="00F65F90"/>
    <w:rsid w:val="00F772AA"/>
    <w:rsid w:val="00F83323"/>
    <w:rsid w:val="00FE3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1DE4E9A-2547-466E-BBC4-3960B27B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119D"/>
    <w:pPr>
      <w:tabs>
        <w:tab w:val="center" w:pos="4320"/>
        <w:tab w:val="right" w:pos="8640"/>
      </w:tabs>
    </w:pPr>
  </w:style>
  <w:style w:type="paragraph" w:styleId="Footer">
    <w:name w:val="footer"/>
    <w:basedOn w:val="Normal"/>
    <w:rsid w:val="0012119D"/>
    <w:pPr>
      <w:tabs>
        <w:tab w:val="center" w:pos="4320"/>
        <w:tab w:val="right" w:pos="8640"/>
      </w:tabs>
    </w:pPr>
  </w:style>
  <w:style w:type="table" w:styleId="TableGrid">
    <w:name w:val="Table Grid"/>
    <w:basedOn w:val="TableNormal"/>
    <w:rsid w:val="00DA7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62CF0"/>
  </w:style>
  <w:style w:type="paragraph" w:styleId="ListParagraph">
    <w:name w:val="List Paragraph"/>
    <w:basedOn w:val="Normal"/>
    <w:uiPriority w:val="34"/>
    <w:qFormat/>
    <w:rsid w:val="007C7A7B"/>
    <w:pPr>
      <w:spacing w:after="200" w:line="276" w:lineRule="auto"/>
      <w:ind w:left="720"/>
      <w:contextualSpacing/>
    </w:pPr>
    <w:rPr>
      <w:rFonts w:ascii="Calibri" w:hAnsi="Calibri"/>
      <w:sz w:val="22"/>
      <w:szCs w:val="22"/>
    </w:rPr>
  </w:style>
  <w:style w:type="character" w:styleId="Hyperlink">
    <w:name w:val="Hyperlink"/>
    <w:rsid w:val="00571D85"/>
    <w:rPr>
      <w:color w:val="0000FF"/>
      <w:u w:val="single"/>
    </w:rPr>
  </w:style>
  <w:style w:type="paragraph" w:styleId="BalloonText">
    <w:name w:val="Balloon Text"/>
    <w:basedOn w:val="Normal"/>
    <w:link w:val="BalloonTextChar"/>
    <w:rsid w:val="004A437F"/>
    <w:rPr>
      <w:rFonts w:ascii="Tahoma" w:hAnsi="Tahoma" w:cs="Tahoma"/>
      <w:sz w:val="16"/>
      <w:szCs w:val="16"/>
    </w:rPr>
  </w:style>
  <w:style w:type="character" w:customStyle="1" w:styleId="BalloonTextChar">
    <w:name w:val="Balloon Text Char"/>
    <w:link w:val="BalloonText"/>
    <w:rsid w:val="004A43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797427">
      <w:bodyDiv w:val="1"/>
      <w:marLeft w:val="0"/>
      <w:marRight w:val="0"/>
      <w:marTop w:val="0"/>
      <w:marBottom w:val="0"/>
      <w:divBdr>
        <w:top w:val="none" w:sz="0" w:space="0" w:color="auto"/>
        <w:left w:val="none" w:sz="0" w:space="0" w:color="auto"/>
        <w:bottom w:val="none" w:sz="0" w:space="0" w:color="auto"/>
        <w:right w:val="none" w:sz="0" w:space="0" w:color="auto"/>
      </w:divBdr>
    </w:div>
    <w:div w:id="194099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rrisk@wvumedicine.com"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hyperlink" Target="mailto:sanderssh@wvumedicine.com"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harmanpat@wvumedicine.com"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A9C59-34E2-4721-A15A-F41194167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APPLICATION:</vt:lpstr>
    </vt:vector>
  </TitlesOfParts>
  <Company>wvuh</Company>
  <LinksUpToDate>false</LinksUpToDate>
  <CharactersWithSpaces>2019</CharactersWithSpaces>
  <SharedDoc>false</SharedDoc>
  <HLinks>
    <vt:vector size="18" baseType="variant">
      <vt:variant>
        <vt:i4>852029</vt:i4>
      </vt:variant>
      <vt:variant>
        <vt:i4>6</vt:i4>
      </vt:variant>
      <vt:variant>
        <vt:i4>0</vt:i4>
      </vt:variant>
      <vt:variant>
        <vt:i4>5</vt:i4>
      </vt:variant>
      <vt:variant>
        <vt:lpwstr>mailto:sanderssh@wvumedicine.com</vt:lpwstr>
      </vt:variant>
      <vt:variant>
        <vt:lpwstr/>
      </vt:variant>
      <vt:variant>
        <vt:i4>1114170</vt:i4>
      </vt:variant>
      <vt:variant>
        <vt:i4>3</vt:i4>
      </vt:variant>
      <vt:variant>
        <vt:i4>0</vt:i4>
      </vt:variant>
      <vt:variant>
        <vt:i4>5</vt:i4>
      </vt:variant>
      <vt:variant>
        <vt:lpwstr>mailto:harmanpat@wvumedicine.com</vt:lpwstr>
      </vt:variant>
      <vt:variant>
        <vt:lpwstr/>
      </vt:variant>
      <vt:variant>
        <vt:i4>7733337</vt:i4>
      </vt:variant>
      <vt:variant>
        <vt:i4>0</vt:i4>
      </vt:variant>
      <vt:variant>
        <vt:i4>0</vt:i4>
      </vt:variant>
      <vt:variant>
        <vt:i4>5</vt:i4>
      </vt:variant>
      <vt:variant>
        <vt:lpwstr>mailto:harrisk@wvumedicine.com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creator>wvuh</dc:creator>
  <cp:lastModifiedBy>Salgado, Anjonette D.</cp:lastModifiedBy>
  <cp:revision>2</cp:revision>
  <cp:lastPrinted>2008-12-10T00:02:00Z</cp:lastPrinted>
  <dcterms:created xsi:type="dcterms:W3CDTF">2020-03-05T16:04:00Z</dcterms:created>
  <dcterms:modified xsi:type="dcterms:W3CDTF">2020-03-05T16:04:00Z</dcterms:modified>
</cp:coreProperties>
</file>