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0FBA" w:rsidRDefault="007A54BA">
      <w:r w:rsidRPr="007A54BA">
        <w:rPr>
          <w:noProof/>
        </w:rPr>
        <w:drawing>
          <wp:inline distT="0" distB="0" distL="0" distR="0">
            <wp:extent cx="5943600" cy="12088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208868"/>
                    </a:xfrm>
                    <a:prstGeom prst="rect">
                      <a:avLst/>
                    </a:prstGeom>
                    <a:noFill/>
                    <a:ln>
                      <a:noFill/>
                    </a:ln>
                  </pic:spPr>
                </pic:pic>
              </a:graphicData>
            </a:graphic>
          </wp:inline>
        </w:drawing>
      </w:r>
      <w:r w:rsidRPr="007A54BA">
        <w:rPr>
          <w:noProof/>
        </w:rPr>
        <w:drawing>
          <wp:inline distT="0" distB="0" distL="0" distR="0">
            <wp:extent cx="5943600" cy="1314087"/>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314087"/>
                    </a:xfrm>
                    <a:prstGeom prst="rect">
                      <a:avLst/>
                    </a:prstGeom>
                    <a:noFill/>
                    <a:ln>
                      <a:noFill/>
                    </a:ln>
                  </pic:spPr>
                </pic:pic>
              </a:graphicData>
            </a:graphic>
          </wp:inline>
        </w:drawing>
      </w:r>
      <w:r w:rsidRPr="007A54BA">
        <w:rPr>
          <w:noProof/>
        </w:rPr>
        <w:drawing>
          <wp:inline distT="0" distB="0" distL="0" distR="0">
            <wp:extent cx="5943600" cy="1314087"/>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314087"/>
                    </a:xfrm>
                    <a:prstGeom prst="rect">
                      <a:avLst/>
                    </a:prstGeom>
                    <a:noFill/>
                    <a:ln>
                      <a:noFill/>
                    </a:ln>
                  </pic:spPr>
                </pic:pic>
              </a:graphicData>
            </a:graphic>
          </wp:inline>
        </w:drawing>
      </w:r>
    </w:p>
    <w:p w:rsidR="007A54BA" w:rsidRDefault="007A54BA"/>
    <w:p w:rsidR="007A54BA" w:rsidRDefault="007A54BA">
      <w:pPr>
        <w:rPr>
          <w:rFonts w:ascii="Times New Roman" w:hAnsi="Times New Roman" w:cs="Times New Roman"/>
          <w:sz w:val="24"/>
          <w:szCs w:val="24"/>
        </w:rPr>
      </w:pPr>
      <w:r w:rsidRPr="007A54BA">
        <w:rPr>
          <w:rFonts w:ascii="Times New Roman" w:hAnsi="Times New Roman" w:cs="Times New Roman"/>
          <w:sz w:val="24"/>
          <w:szCs w:val="24"/>
        </w:rPr>
        <w:t>This image was from the most recent Hematology (FH9</w:t>
      </w:r>
      <w:r w:rsidR="004A1757">
        <w:rPr>
          <w:rFonts w:ascii="Times New Roman" w:hAnsi="Times New Roman" w:cs="Times New Roman"/>
          <w:sz w:val="24"/>
          <w:szCs w:val="24"/>
        </w:rPr>
        <w:t>-B</w:t>
      </w:r>
      <w:r w:rsidRPr="007A54BA">
        <w:rPr>
          <w:rFonts w:ascii="Times New Roman" w:hAnsi="Times New Roman" w:cs="Times New Roman"/>
          <w:sz w:val="24"/>
          <w:szCs w:val="24"/>
        </w:rPr>
        <w:t xml:space="preserve">) Survey. It was one of the ungraded portions of the </w:t>
      </w:r>
      <w:r>
        <w:rPr>
          <w:rFonts w:ascii="Times New Roman" w:hAnsi="Times New Roman" w:cs="Times New Roman"/>
          <w:sz w:val="24"/>
          <w:szCs w:val="24"/>
        </w:rPr>
        <w:t xml:space="preserve">survey. Our lab selected the identification as “Megakaryocyte.” 46.6% of labs and 42.0% of referees agreed with our assessment. The correct response as sought by CAP was “Blast Cell.” Only 33.2% of labs and 40.2% of referees agreed with this identification. </w:t>
      </w:r>
      <w:r w:rsidR="004A1757">
        <w:rPr>
          <w:rFonts w:ascii="Times New Roman" w:hAnsi="Times New Roman" w:cs="Times New Roman"/>
          <w:sz w:val="24"/>
          <w:szCs w:val="24"/>
        </w:rPr>
        <w:t>This was an educational challenge, and as such, the following considered to be educational material (not a reprimand). The case and reasoning follow:</w:t>
      </w:r>
    </w:p>
    <w:p w:rsidR="007A54BA" w:rsidRPr="00584929" w:rsidRDefault="007A54BA" w:rsidP="007A54BA">
      <w:pPr>
        <w:rPr>
          <w:rFonts w:ascii="Times New Roman" w:hAnsi="Times New Roman" w:cs="Times New Roman"/>
          <w:b/>
          <w:bCs/>
          <w:sz w:val="28"/>
          <w:szCs w:val="28"/>
        </w:rPr>
      </w:pPr>
      <w:r w:rsidRPr="00584929">
        <w:rPr>
          <w:rFonts w:ascii="Times New Roman" w:hAnsi="Times New Roman" w:cs="Times New Roman"/>
          <w:b/>
          <w:bCs/>
          <w:sz w:val="28"/>
          <w:szCs w:val="28"/>
        </w:rPr>
        <w:t>Case History</w:t>
      </w:r>
    </w:p>
    <w:p w:rsidR="007A54BA" w:rsidRDefault="007A54BA" w:rsidP="007A54BA">
      <w:pPr>
        <w:rPr>
          <w:rFonts w:ascii="Times New Roman" w:hAnsi="Times New Roman" w:cs="Times New Roman"/>
          <w:sz w:val="24"/>
          <w:szCs w:val="24"/>
        </w:rPr>
      </w:pPr>
      <w:r w:rsidRPr="007A54BA">
        <w:rPr>
          <w:rFonts w:ascii="Times New Roman" w:hAnsi="Times New Roman" w:cs="Times New Roman"/>
          <w:sz w:val="24"/>
          <w:szCs w:val="24"/>
        </w:rPr>
        <w:t>This peripheral blood smear is from a 15-year-old boy who presented with fevers, headaches, night sewats, and</w:t>
      </w:r>
      <w:r w:rsidR="00584929">
        <w:rPr>
          <w:rFonts w:ascii="Times New Roman" w:hAnsi="Times New Roman" w:cs="Times New Roman"/>
          <w:sz w:val="24"/>
          <w:szCs w:val="24"/>
        </w:rPr>
        <w:t xml:space="preserve"> </w:t>
      </w:r>
      <w:r w:rsidRPr="007A54BA">
        <w:rPr>
          <w:rFonts w:ascii="Times New Roman" w:hAnsi="Times New Roman" w:cs="Times New Roman"/>
          <w:sz w:val="24"/>
          <w:szCs w:val="24"/>
        </w:rPr>
        <w:t>pancytopenia. He underwent a bone marrow biopsy and was subsequently diagnosed with acute</w:t>
      </w:r>
      <w:r w:rsidR="00584929">
        <w:rPr>
          <w:rFonts w:ascii="Times New Roman" w:hAnsi="Times New Roman" w:cs="Times New Roman"/>
          <w:sz w:val="24"/>
          <w:szCs w:val="24"/>
        </w:rPr>
        <w:t xml:space="preserve"> </w:t>
      </w:r>
      <w:r w:rsidRPr="007A54BA">
        <w:rPr>
          <w:rFonts w:ascii="Times New Roman" w:hAnsi="Times New Roman" w:cs="Times New Roman"/>
          <w:sz w:val="24"/>
          <w:szCs w:val="24"/>
        </w:rPr>
        <w:t>megakaryoblastic leukemia. Laboratory data include: WBC = 0.5 x 10E9/L; RBC = 2.24 x 10E12/L;</w:t>
      </w:r>
      <w:r w:rsidR="00584929">
        <w:rPr>
          <w:rFonts w:ascii="Times New Roman" w:hAnsi="Times New Roman" w:cs="Times New Roman"/>
          <w:sz w:val="24"/>
          <w:szCs w:val="24"/>
        </w:rPr>
        <w:t xml:space="preserve"> </w:t>
      </w:r>
      <w:r w:rsidRPr="007A54BA">
        <w:rPr>
          <w:rFonts w:ascii="Times New Roman" w:hAnsi="Times New Roman" w:cs="Times New Roman"/>
          <w:sz w:val="24"/>
          <w:szCs w:val="24"/>
        </w:rPr>
        <w:t>HGB = 6.3 g/dL; HCT = 18.1%; MCV = 81 fL; PLT = 7 x 10E9/L; and RDW = 18%</w:t>
      </w:r>
      <w:r w:rsidR="00584929">
        <w:rPr>
          <w:rFonts w:ascii="Times New Roman" w:hAnsi="Times New Roman" w:cs="Times New Roman"/>
          <w:sz w:val="24"/>
          <w:szCs w:val="24"/>
        </w:rPr>
        <w:t>.</w:t>
      </w:r>
    </w:p>
    <w:p w:rsidR="00584929" w:rsidRDefault="00584929" w:rsidP="007A54BA">
      <w:pPr>
        <w:rPr>
          <w:rFonts w:ascii="Times New Roman" w:hAnsi="Times New Roman" w:cs="Times New Roman"/>
          <w:sz w:val="24"/>
          <w:szCs w:val="24"/>
        </w:rPr>
      </w:pPr>
    </w:p>
    <w:p w:rsidR="00584929" w:rsidRPr="00584929" w:rsidRDefault="00584929" w:rsidP="007A54BA">
      <w:pPr>
        <w:rPr>
          <w:rFonts w:ascii="Times New Roman" w:hAnsi="Times New Roman" w:cs="Times New Roman"/>
          <w:b/>
          <w:sz w:val="28"/>
          <w:szCs w:val="28"/>
        </w:rPr>
      </w:pPr>
      <w:r w:rsidRPr="00584929">
        <w:rPr>
          <w:rFonts w:ascii="Times New Roman" w:hAnsi="Times New Roman" w:cs="Times New Roman"/>
          <w:b/>
          <w:sz w:val="28"/>
          <w:szCs w:val="28"/>
        </w:rPr>
        <w:t>Explanation</w:t>
      </w:r>
    </w:p>
    <w:p w:rsidR="00584929" w:rsidRPr="00584929" w:rsidRDefault="00584929" w:rsidP="00584929">
      <w:pPr>
        <w:rPr>
          <w:rFonts w:ascii="Times New Roman" w:hAnsi="Times New Roman" w:cs="Times New Roman"/>
          <w:sz w:val="24"/>
          <w:szCs w:val="24"/>
        </w:rPr>
      </w:pPr>
      <w:r w:rsidRPr="00584929">
        <w:rPr>
          <w:rFonts w:ascii="Times New Roman" w:hAnsi="Times New Roman" w:cs="Times New Roman"/>
          <w:sz w:val="24"/>
          <w:szCs w:val="24"/>
        </w:rPr>
        <w:t>The arrowed cells are blasts, as correctly identified by 40.2% of the referees and 33.2% of participants. Blasts are</w:t>
      </w:r>
      <w:r>
        <w:rPr>
          <w:rFonts w:ascii="Times New Roman" w:hAnsi="Times New Roman" w:cs="Times New Roman"/>
          <w:sz w:val="24"/>
          <w:szCs w:val="24"/>
        </w:rPr>
        <w:t xml:space="preserve"> </w:t>
      </w:r>
      <w:r w:rsidRPr="00584929">
        <w:rPr>
          <w:rFonts w:ascii="Times New Roman" w:hAnsi="Times New Roman" w:cs="Times New Roman"/>
          <w:sz w:val="24"/>
          <w:szCs w:val="24"/>
        </w:rPr>
        <w:t>large, round-to-oval cells, with high nuclear-to-cytoplasmic ratios, often with large nuclei demonstrating lacy</w:t>
      </w:r>
      <w:r>
        <w:rPr>
          <w:rFonts w:ascii="Times New Roman" w:hAnsi="Times New Roman" w:cs="Times New Roman"/>
          <w:sz w:val="24"/>
          <w:szCs w:val="24"/>
        </w:rPr>
        <w:t xml:space="preserve"> </w:t>
      </w:r>
      <w:r w:rsidRPr="00584929">
        <w:rPr>
          <w:rFonts w:ascii="Times New Roman" w:hAnsi="Times New Roman" w:cs="Times New Roman"/>
          <w:sz w:val="24"/>
          <w:szCs w:val="24"/>
        </w:rPr>
        <w:t>or reticular (immature) chromatin.</w:t>
      </w:r>
    </w:p>
    <w:p w:rsidR="00584929" w:rsidRDefault="00584929" w:rsidP="00584929">
      <w:pPr>
        <w:rPr>
          <w:rFonts w:ascii="Times New Roman" w:hAnsi="Times New Roman" w:cs="Times New Roman"/>
          <w:sz w:val="24"/>
          <w:szCs w:val="24"/>
        </w:rPr>
      </w:pPr>
      <w:r w:rsidRPr="00584929">
        <w:rPr>
          <w:rFonts w:ascii="Times New Roman" w:hAnsi="Times New Roman" w:cs="Times New Roman"/>
          <w:sz w:val="24"/>
          <w:szCs w:val="24"/>
        </w:rPr>
        <w:lastRenderedPageBreak/>
        <w:t>The arrowed cells were incorrectly identified as a megakaryocyte (normal, abnormal or nuclear fragment) by</w:t>
      </w:r>
      <w:r>
        <w:rPr>
          <w:rFonts w:ascii="Times New Roman" w:hAnsi="Times New Roman" w:cs="Times New Roman"/>
          <w:sz w:val="24"/>
          <w:szCs w:val="24"/>
        </w:rPr>
        <w:t xml:space="preserve"> </w:t>
      </w:r>
      <w:r w:rsidRPr="00584929">
        <w:rPr>
          <w:rFonts w:ascii="Times New Roman" w:hAnsi="Times New Roman" w:cs="Times New Roman"/>
          <w:sz w:val="24"/>
          <w:szCs w:val="24"/>
        </w:rPr>
        <w:t>42.0% of the referees and 46.6% of the participants. While the arrowed cells do demonstrate features suggestive</w:t>
      </w:r>
      <w:r>
        <w:rPr>
          <w:rFonts w:ascii="Times New Roman" w:hAnsi="Times New Roman" w:cs="Times New Roman"/>
          <w:sz w:val="24"/>
          <w:szCs w:val="24"/>
        </w:rPr>
        <w:t xml:space="preserve"> </w:t>
      </w:r>
      <w:r w:rsidRPr="00584929">
        <w:rPr>
          <w:rFonts w:ascii="Times New Roman" w:hAnsi="Times New Roman" w:cs="Times New Roman"/>
          <w:sz w:val="24"/>
          <w:szCs w:val="24"/>
        </w:rPr>
        <w:t>of megakaryocytic lineage, namely the cytoplasmic coloration and blebbing, the immaturity of the nuclear</w:t>
      </w:r>
      <w:r>
        <w:rPr>
          <w:rFonts w:ascii="Times New Roman" w:hAnsi="Times New Roman" w:cs="Times New Roman"/>
          <w:sz w:val="24"/>
          <w:szCs w:val="24"/>
        </w:rPr>
        <w:t xml:space="preserve"> </w:t>
      </w:r>
      <w:r w:rsidRPr="00584929">
        <w:rPr>
          <w:rFonts w:ascii="Times New Roman" w:hAnsi="Times New Roman" w:cs="Times New Roman"/>
          <w:sz w:val="24"/>
          <w:szCs w:val="24"/>
        </w:rPr>
        <w:t xml:space="preserve">chromatin and prominence of the nucleoli suggest immaturity. As such, the </w:t>
      </w:r>
      <w:r>
        <w:rPr>
          <w:rFonts w:ascii="Times New Roman" w:hAnsi="Times New Roman" w:cs="Times New Roman"/>
          <w:sz w:val="24"/>
          <w:szCs w:val="24"/>
        </w:rPr>
        <w:t xml:space="preserve">classification as blast is more </w:t>
      </w:r>
      <w:r w:rsidRPr="00584929">
        <w:rPr>
          <w:rFonts w:ascii="Times New Roman" w:hAnsi="Times New Roman" w:cs="Times New Roman"/>
          <w:sz w:val="24"/>
          <w:szCs w:val="24"/>
        </w:rPr>
        <w:t>appropriate than megakaryocyte (normal, abnormal or nuclear fragment)</w:t>
      </w:r>
      <w:r w:rsidR="00EA0CF8">
        <w:rPr>
          <w:rStyle w:val="FootnoteReference"/>
          <w:rFonts w:ascii="Times New Roman" w:hAnsi="Times New Roman" w:cs="Times New Roman"/>
          <w:sz w:val="24"/>
          <w:szCs w:val="24"/>
        </w:rPr>
        <w:footnoteReference w:id="1"/>
      </w:r>
      <w:r w:rsidRPr="00584929">
        <w:rPr>
          <w:rFonts w:ascii="Times New Roman" w:hAnsi="Times New Roman" w:cs="Times New Roman"/>
          <w:sz w:val="24"/>
          <w:szCs w:val="24"/>
        </w:rPr>
        <w:t>.</w:t>
      </w:r>
    </w:p>
    <w:p w:rsidR="00584929" w:rsidRDefault="00584929" w:rsidP="00584929">
      <w:pPr>
        <w:rPr>
          <w:rFonts w:ascii="Times New Roman" w:hAnsi="Times New Roman" w:cs="Times New Roman"/>
          <w:sz w:val="24"/>
          <w:szCs w:val="24"/>
        </w:rPr>
      </w:pPr>
    </w:p>
    <w:p w:rsidR="00584929" w:rsidRDefault="00584929" w:rsidP="00584929">
      <w:pPr>
        <w:rPr>
          <w:rFonts w:ascii="Times New Roman" w:hAnsi="Times New Roman" w:cs="Times New Roman"/>
          <w:sz w:val="24"/>
          <w:szCs w:val="24"/>
        </w:rPr>
      </w:pPr>
      <w:r w:rsidRPr="00584929">
        <w:rPr>
          <w:rFonts w:ascii="Times New Roman" w:hAnsi="Times New Roman" w:cs="Times New Roman"/>
          <w:b/>
          <w:sz w:val="28"/>
          <w:szCs w:val="28"/>
        </w:rPr>
        <w:t>Further Notes</w:t>
      </w:r>
    </w:p>
    <w:p w:rsidR="00584929" w:rsidRDefault="00B555DB" w:rsidP="00584929">
      <w:pPr>
        <w:rPr>
          <w:rFonts w:ascii="Times New Roman" w:hAnsi="Times New Roman" w:cs="Times New Roman"/>
          <w:sz w:val="24"/>
          <w:szCs w:val="24"/>
        </w:rPr>
      </w:pPr>
      <w:r>
        <w:rPr>
          <w:rFonts w:ascii="Times New Roman" w:hAnsi="Times New Roman" w:cs="Times New Roman"/>
          <w:sz w:val="24"/>
          <w:szCs w:val="24"/>
        </w:rPr>
        <w:t xml:space="preserve">Blebbing - </w:t>
      </w:r>
      <w:r w:rsidRPr="00B555DB">
        <w:rPr>
          <w:rFonts w:ascii="Times New Roman" w:hAnsi="Times New Roman" w:cs="Times New Roman"/>
          <w:sz w:val="24"/>
          <w:szCs w:val="24"/>
        </w:rPr>
        <w:t xml:space="preserve">The bulging out of a part of a cell below the plasma </w:t>
      </w:r>
      <w:r w:rsidRPr="00B26853">
        <w:rPr>
          <w:rFonts w:ascii="Times New Roman" w:hAnsi="Times New Roman" w:cs="Times New Roman"/>
          <w:sz w:val="24"/>
          <w:szCs w:val="24"/>
        </w:rPr>
        <w:t>membrane</w:t>
      </w:r>
      <w:r w:rsidR="00B26853">
        <w:rPr>
          <w:rStyle w:val="FootnoteReference"/>
          <w:rFonts w:ascii="Times New Roman" w:hAnsi="Times New Roman" w:cs="Times New Roman"/>
          <w:sz w:val="24"/>
          <w:szCs w:val="24"/>
        </w:rPr>
        <w:footnoteReference w:id="2"/>
      </w:r>
      <w:r w:rsidR="00B26853" w:rsidRPr="00B26853">
        <w:rPr>
          <w:rFonts w:ascii="Times New Roman" w:hAnsi="Times New Roman" w:cs="Times New Roman"/>
          <w:sz w:val="24"/>
          <w:szCs w:val="24"/>
        </w:rPr>
        <w:t>, characterized by a spherical, bulky morphology</w:t>
      </w:r>
      <w:r w:rsidR="00B26853">
        <w:rPr>
          <w:rFonts w:ascii="Times New Roman" w:hAnsi="Times New Roman" w:cs="Times New Roman"/>
          <w:sz w:val="24"/>
          <w:szCs w:val="24"/>
        </w:rPr>
        <w:t>.</w:t>
      </w:r>
      <w:r w:rsidR="00B26853">
        <w:rPr>
          <w:rStyle w:val="FootnoteReference"/>
          <w:rFonts w:ascii="Times New Roman" w:hAnsi="Times New Roman" w:cs="Times New Roman"/>
          <w:sz w:val="24"/>
          <w:szCs w:val="24"/>
        </w:rPr>
        <w:footnoteReference w:id="3"/>
      </w:r>
      <w:r w:rsidR="00B26853">
        <w:rPr>
          <w:rFonts w:ascii="Times New Roman" w:hAnsi="Times New Roman" w:cs="Times New Roman"/>
          <w:sz w:val="24"/>
          <w:szCs w:val="24"/>
        </w:rPr>
        <w:t xml:space="preserve"> </w:t>
      </w:r>
    </w:p>
    <w:p w:rsidR="004A1757" w:rsidRDefault="004A1757" w:rsidP="00584929">
      <w:pPr>
        <w:rPr>
          <w:rFonts w:ascii="Times New Roman" w:hAnsi="Times New Roman" w:cs="Times New Roman"/>
          <w:sz w:val="24"/>
          <w:szCs w:val="24"/>
        </w:rPr>
      </w:pPr>
      <w:r>
        <w:rPr>
          <w:rFonts w:ascii="Times New Roman" w:hAnsi="Times New Roman" w:cs="Times New Roman"/>
          <w:sz w:val="24"/>
          <w:szCs w:val="24"/>
        </w:rPr>
        <w:t>Below are some pictures of megakaryocytes. You will notice that some have the blebbing like the cells in the photos from the CAP survey image. All of the nuclei, though, are more mature looking. They are less fine and with no distinctly noticeable nucleoli.</w:t>
      </w:r>
    </w:p>
    <w:p w:rsidR="004A1757" w:rsidRDefault="004A1757" w:rsidP="0058492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52165" cy="38290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optotic_cell_disassembly (1).png"/>
                    <pic:cNvPicPr/>
                  </pic:nvPicPr>
                  <pic:blipFill>
                    <a:blip r:embed="rId10">
                      <a:extLst>
                        <a:ext uri="{28A0092B-C50C-407E-A947-70E740481C1C}">
                          <a14:useLocalDpi xmlns:a14="http://schemas.microsoft.com/office/drawing/2010/main" val="0"/>
                        </a:ext>
                      </a:extLst>
                    </a:blip>
                    <a:stretch>
                      <a:fillRect/>
                    </a:stretch>
                  </pic:blipFill>
                  <pic:spPr>
                    <a:xfrm>
                      <a:off x="0" y="0"/>
                      <a:ext cx="3393610" cy="3876391"/>
                    </a:xfrm>
                    <a:prstGeom prst="rect">
                      <a:avLst/>
                    </a:prstGeom>
                  </pic:spPr>
                </pic:pic>
              </a:graphicData>
            </a:graphic>
          </wp:inline>
        </w:drawing>
      </w:r>
    </w:p>
    <w:p w:rsidR="004A1757" w:rsidRDefault="004A1757" w:rsidP="00584929">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191125" cy="39088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gakaryocyte (bare).png"/>
                    <pic:cNvPicPr/>
                  </pic:nvPicPr>
                  <pic:blipFill>
                    <a:blip r:embed="rId11">
                      <a:extLst>
                        <a:ext uri="{28A0092B-C50C-407E-A947-70E740481C1C}">
                          <a14:useLocalDpi xmlns:a14="http://schemas.microsoft.com/office/drawing/2010/main" val="0"/>
                        </a:ext>
                      </a:extLst>
                    </a:blip>
                    <a:stretch>
                      <a:fillRect/>
                    </a:stretch>
                  </pic:blipFill>
                  <pic:spPr>
                    <a:xfrm>
                      <a:off x="0" y="0"/>
                      <a:ext cx="5214870" cy="3926753"/>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65773F9" wp14:editId="0408EFE0">
            <wp:extent cx="5610225" cy="420766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3e864da36d527b4aa649e91797c17cf.jpg"/>
                    <pic:cNvPicPr/>
                  </pic:nvPicPr>
                  <pic:blipFill>
                    <a:blip r:embed="rId12">
                      <a:extLst>
                        <a:ext uri="{28A0092B-C50C-407E-A947-70E740481C1C}">
                          <a14:useLocalDpi xmlns:a14="http://schemas.microsoft.com/office/drawing/2010/main" val="0"/>
                        </a:ext>
                      </a:extLst>
                    </a:blip>
                    <a:stretch>
                      <a:fillRect/>
                    </a:stretch>
                  </pic:blipFill>
                  <pic:spPr>
                    <a:xfrm>
                      <a:off x="0" y="0"/>
                      <a:ext cx="5612222" cy="4209167"/>
                    </a:xfrm>
                    <a:prstGeom prst="rect">
                      <a:avLst/>
                    </a:prstGeom>
                  </pic:spPr>
                </pic:pic>
              </a:graphicData>
            </a:graphic>
          </wp:inline>
        </w:drawing>
      </w:r>
    </w:p>
    <w:p w:rsidR="004A1757" w:rsidRDefault="004A1757" w:rsidP="00584929">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686425" cy="55827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me3g17rduf31.jpg"/>
                    <pic:cNvPicPr/>
                  </pic:nvPicPr>
                  <pic:blipFill>
                    <a:blip r:embed="rId13">
                      <a:extLst>
                        <a:ext uri="{28A0092B-C50C-407E-A947-70E740481C1C}">
                          <a14:useLocalDpi xmlns:a14="http://schemas.microsoft.com/office/drawing/2010/main" val="0"/>
                        </a:ext>
                      </a:extLst>
                    </a:blip>
                    <a:stretch>
                      <a:fillRect/>
                    </a:stretch>
                  </pic:blipFill>
                  <pic:spPr>
                    <a:xfrm>
                      <a:off x="0" y="0"/>
                      <a:ext cx="5716463" cy="5612252"/>
                    </a:xfrm>
                    <a:prstGeom prst="rect">
                      <a:avLst/>
                    </a:prstGeom>
                  </pic:spPr>
                </pic:pic>
              </a:graphicData>
            </a:graphic>
          </wp:inline>
        </w:drawing>
      </w:r>
    </w:p>
    <w:p w:rsidR="00042ECA" w:rsidRDefault="00042ECA" w:rsidP="00584929">
      <w:pPr>
        <w:rPr>
          <w:rFonts w:ascii="Times New Roman" w:hAnsi="Times New Roman" w:cs="Times New Roman"/>
          <w:sz w:val="24"/>
          <w:szCs w:val="24"/>
        </w:rPr>
      </w:pPr>
    </w:p>
    <w:p w:rsidR="00042ECA" w:rsidRDefault="00042ECA" w:rsidP="00584929">
      <w:pPr>
        <w:rPr>
          <w:rFonts w:ascii="Times New Roman" w:hAnsi="Times New Roman" w:cs="Times New Roman"/>
          <w:sz w:val="24"/>
          <w:szCs w:val="24"/>
        </w:rPr>
      </w:pPr>
    </w:p>
    <w:p w:rsidR="00042ECA" w:rsidRDefault="00042ECA" w:rsidP="00584929">
      <w:pPr>
        <w:rPr>
          <w:rFonts w:ascii="Times New Roman" w:hAnsi="Times New Roman" w:cs="Times New Roman"/>
          <w:sz w:val="24"/>
          <w:szCs w:val="24"/>
        </w:rPr>
      </w:pPr>
    </w:p>
    <w:p w:rsidR="00042ECA" w:rsidRDefault="00042ECA" w:rsidP="00584929">
      <w:pPr>
        <w:rPr>
          <w:rFonts w:ascii="Times New Roman" w:hAnsi="Times New Roman" w:cs="Times New Roman"/>
          <w:sz w:val="24"/>
          <w:szCs w:val="24"/>
        </w:rPr>
      </w:pPr>
    </w:p>
    <w:p w:rsidR="00042ECA" w:rsidRDefault="00042ECA" w:rsidP="00584929">
      <w:pPr>
        <w:rPr>
          <w:rFonts w:ascii="Times New Roman" w:hAnsi="Times New Roman" w:cs="Times New Roman"/>
          <w:sz w:val="24"/>
          <w:szCs w:val="24"/>
        </w:rPr>
      </w:pPr>
    </w:p>
    <w:p w:rsidR="00042ECA" w:rsidRDefault="00042ECA" w:rsidP="00584929">
      <w:pPr>
        <w:rPr>
          <w:rFonts w:ascii="Times New Roman" w:hAnsi="Times New Roman" w:cs="Times New Roman"/>
          <w:sz w:val="24"/>
          <w:szCs w:val="24"/>
        </w:rPr>
      </w:pPr>
    </w:p>
    <w:p w:rsidR="00042ECA" w:rsidRDefault="00042ECA" w:rsidP="00584929">
      <w:pPr>
        <w:rPr>
          <w:rFonts w:ascii="Times New Roman" w:hAnsi="Times New Roman" w:cs="Times New Roman"/>
          <w:sz w:val="24"/>
          <w:szCs w:val="24"/>
        </w:rPr>
      </w:pPr>
    </w:p>
    <w:p w:rsidR="00042ECA" w:rsidRDefault="00042ECA" w:rsidP="00584929">
      <w:pPr>
        <w:rPr>
          <w:rFonts w:ascii="Times New Roman" w:hAnsi="Times New Roman" w:cs="Times New Roman"/>
          <w:sz w:val="24"/>
          <w:szCs w:val="24"/>
        </w:rPr>
      </w:pPr>
    </w:p>
    <w:p w:rsidR="00042ECA" w:rsidRDefault="00042ECA" w:rsidP="00584929">
      <w:pPr>
        <w:rPr>
          <w:rFonts w:ascii="Times New Roman" w:hAnsi="Times New Roman" w:cs="Times New Roman"/>
          <w:sz w:val="24"/>
          <w:szCs w:val="24"/>
        </w:rPr>
      </w:pPr>
    </w:p>
    <w:p w:rsidR="00042ECA" w:rsidRDefault="00042ECA" w:rsidP="00584929">
      <w:pPr>
        <w:rPr>
          <w:rFonts w:ascii="Times New Roman" w:hAnsi="Times New Roman" w:cs="Times New Roman"/>
          <w:sz w:val="24"/>
          <w:szCs w:val="24"/>
        </w:rPr>
      </w:pPr>
      <w:r>
        <w:rPr>
          <w:rFonts w:ascii="Times New Roman" w:hAnsi="Times New Roman" w:cs="Times New Roman"/>
          <w:sz w:val="24"/>
          <w:szCs w:val="24"/>
        </w:rPr>
        <w:lastRenderedPageBreak/>
        <w:t>Here is one more picture of a BLAST with blebs. It is blurry, but notice the nucleus to cytoplasm ratio and the prominent nucleoli.</w:t>
      </w:r>
      <w:bookmarkStart w:id="0" w:name="_GoBack"/>
      <w:bookmarkEnd w:id="0"/>
    </w:p>
    <w:p w:rsidR="004A1757" w:rsidRPr="00B26853" w:rsidRDefault="00042ECA" w:rsidP="0058492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51197" cy="279082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lasts-with-cytoplasmic-blebs-MGG-stain-x40.png"/>
                    <pic:cNvPicPr/>
                  </pic:nvPicPr>
                  <pic:blipFill>
                    <a:blip r:embed="rId14">
                      <a:extLst>
                        <a:ext uri="{28A0092B-C50C-407E-A947-70E740481C1C}">
                          <a14:useLocalDpi xmlns:a14="http://schemas.microsoft.com/office/drawing/2010/main" val="0"/>
                        </a:ext>
                      </a:extLst>
                    </a:blip>
                    <a:stretch>
                      <a:fillRect/>
                    </a:stretch>
                  </pic:blipFill>
                  <pic:spPr>
                    <a:xfrm>
                      <a:off x="0" y="0"/>
                      <a:ext cx="4074133" cy="2806625"/>
                    </a:xfrm>
                    <a:prstGeom prst="rect">
                      <a:avLst/>
                    </a:prstGeom>
                  </pic:spPr>
                </pic:pic>
              </a:graphicData>
            </a:graphic>
          </wp:inline>
        </w:drawing>
      </w:r>
    </w:p>
    <w:sectPr w:rsidR="004A1757" w:rsidRPr="00B268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55DB" w:rsidRDefault="00B555DB" w:rsidP="00B555DB">
      <w:pPr>
        <w:spacing w:after="0" w:line="240" w:lineRule="auto"/>
      </w:pPr>
      <w:r>
        <w:separator/>
      </w:r>
    </w:p>
  </w:endnote>
  <w:endnote w:type="continuationSeparator" w:id="0">
    <w:p w:rsidR="00B555DB" w:rsidRDefault="00B555DB" w:rsidP="00B555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55DB" w:rsidRDefault="00B555DB" w:rsidP="00B555DB">
      <w:pPr>
        <w:spacing w:after="0" w:line="240" w:lineRule="auto"/>
      </w:pPr>
      <w:r>
        <w:separator/>
      </w:r>
    </w:p>
  </w:footnote>
  <w:footnote w:type="continuationSeparator" w:id="0">
    <w:p w:rsidR="00B555DB" w:rsidRDefault="00B555DB" w:rsidP="00B555DB">
      <w:pPr>
        <w:spacing w:after="0" w:line="240" w:lineRule="auto"/>
      </w:pPr>
      <w:r>
        <w:continuationSeparator/>
      </w:r>
    </w:p>
  </w:footnote>
  <w:footnote w:id="1">
    <w:p w:rsidR="00EA0CF8" w:rsidRPr="00EA0CF8" w:rsidRDefault="00EA0CF8" w:rsidP="00EA0CF8">
      <w:pPr>
        <w:pStyle w:val="FootnoteText"/>
      </w:pPr>
      <w:r>
        <w:rPr>
          <w:rStyle w:val="FootnoteReference"/>
        </w:rPr>
        <w:footnoteRef/>
      </w:r>
      <w:r>
        <w:t xml:space="preserve"> </w:t>
      </w:r>
      <w:r w:rsidRPr="00EA0CF8">
        <w:fldChar w:fldCharType="begin"/>
      </w:r>
      <w:r w:rsidRPr="00EA0CF8">
        <w:instrText xml:space="preserve"> BIBLIOGRAPHY  \l 1033 </w:instrText>
      </w:r>
      <w:r w:rsidRPr="00EA0CF8">
        <w:fldChar w:fldCharType="separate"/>
      </w:r>
      <w:r w:rsidRPr="00EA0CF8">
        <w:t xml:space="preserve">College of American Pathologists. "Comprehensive Hematology with Automated Differential FH9-B 2020 Participant Summary." </w:t>
      </w:r>
      <w:r w:rsidRPr="00EA0CF8">
        <w:rPr>
          <w:i/>
          <w:iCs/>
        </w:rPr>
        <w:t>Surveys and Anatomic Pathology Education Program</w:t>
      </w:r>
      <w:r w:rsidRPr="00EA0CF8">
        <w:t xml:space="preserve"> (2020): 32. Document.</w:t>
      </w:r>
    </w:p>
    <w:p w:rsidR="00EA0CF8" w:rsidRDefault="00EA0CF8" w:rsidP="00EA0CF8">
      <w:pPr>
        <w:pStyle w:val="FootnoteText"/>
      </w:pPr>
      <w:r w:rsidRPr="00EA0CF8">
        <w:fldChar w:fldCharType="end"/>
      </w:r>
    </w:p>
  </w:footnote>
  <w:footnote w:id="2">
    <w:p w:rsidR="00B26853" w:rsidRDefault="00B26853">
      <w:pPr>
        <w:pStyle w:val="FootnoteText"/>
      </w:pPr>
      <w:r>
        <w:rPr>
          <w:rStyle w:val="FootnoteReference"/>
        </w:rPr>
        <w:footnoteRef/>
      </w:r>
      <w:r>
        <w:t xml:space="preserve"> </w:t>
      </w:r>
      <w:r w:rsidRPr="00B26853">
        <w:t xml:space="preserve">“blebbing." </w:t>
      </w:r>
      <w:r w:rsidRPr="00B26853">
        <w:rPr>
          <w:u w:val="single"/>
        </w:rPr>
        <w:t>Segen's Medical Dictionary</w:t>
      </w:r>
      <w:r w:rsidRPr="00B26853">
        <w:t xml:space="preserve">. 2011. Farlex, Inc. 7 Jul. 2020 </w:t>
      </w:r>
      <w:hyperlink r:id="rId1" w:history="1">
        <w:r w:rsidRPr="00B26853">
          <w:rPr>
            <w:rStyle w:val="Hyperlink"/>
          </w:rPr>
          <w:t>https://medical-dictionary.thefreedictionary.com/blebbing</w:t>
        </w:r>
      </w:hyperlink>
    </w:p>
  </w:footnote>
  <w:footnote w:id="3">
    <w:p w:rsidR="00B26853" w:rsidRDefault="00B26853">
      <w:pPr>
        <w:pStyle w:val="FootnoteText"/>
      </w:pPr>
      <w:r>
        <w:rPr>
          <w:rStyle w:val="FootnoteReference"/>
        </w:rPr>
        <w:footnoteRef/>
      </w:r>
      <w:r>
        <w:t xml:space="preserve"> </w:t>
      </w:r>
      <w:hyperlink r:id="rId2" w:anchor="cite_ref-:0_2-2" w:history="1">
        <w:r w:rsidRPr="00B26853">
          <w:rPr>
            <w:rStyle w:val="Hyperlink"/>
            <w:b/>
            <w:bCs/>
            <w:i/>
            <w:iCs/>
            <w:vertAlign w:val="superscript"/>
          </w:rPr>
          <w:t>c</w:t>
        </w:r>
      </w:hyperlink>
      <w:r w:rsidRPr="00B26853">
        <w:t xml:space="preserve"> </w:t>
      </w:r>
      <w:r w:rsidRPr="00B26853">
        <w:rPr>
          <w:i/>
          <w:iCs/>
        </w:rPr>
        <w:t xml:space="preserve">Fackler OT, Grosse R (Jun 2008). </w:t>
      </w:r>
      <w:hyperlink r:id="rId3" w:history="1">
        <w:r w:rsidRPr="00B26853">
          <w:rPr>
            <w:rStyle w:val="Hyperlink"/>
            <w:i/>
            <w:iCs/>
          </w:rPr>
          <w:t>"Cell motility through plasma membrane blebbing"</w:t>
        </w:r>
      </w:hyperlink>
      <w:r w:rsidRPr="00B26853">
        <w:rPr>
          <w:i/>
          <w:iCs/>
        </w:rPr>
        <w:t xml:space="preserve">. J. Cell Biol. </w:t>
      </w:r>
      <w:r w:rsidRPr="00B26853">
        <w:rPr>
          <w:b/>
          <w:bCs/>
          <w:i/>
          <w:iCs/>
        </w:rPr>
        <w:t>181</w:t>
      </w:r>
      <w:r w:rsidRPr="00B26853">
        <w:rPr>
          <w:i/>
          <w:iCs/>
        </w:rPr>
        <w:t xml:space="preserve"> (6): 879–84. </w:t>
      </w:r>
      <w:hyperlink r:id="rId4" w:tooltip="Doi (identifier)" w:history="1">
        <w:r w:rsidRPr="00B26853">
          <w:rPr>
            <w:rStyle w:val="Hyperlink"/>
            <w:i/>
            <w:iCs/>
          </w:rPr>
          <w:t>doi</w:t>
        </w:r>
      </w:hyperlink>
      <w:r w:rsidRPr="00B26853">
        <w:rPr>
          <w:i/>
          <w:iCs/>
        </w:rPr>
        <w:t>:</w:t>
      </w:r>
      <w:hyperlink r:id="rId5" w:history="1">
        <w:r w:rsidRPr="00B26853">
          <w:rPr>
            <w:rStyle w:val="Hyperlink"/>
            <w:i/>
            <w:iCs/>
          </w:rPr>
          <w:t>10.1083/jcb.200802081</w:t>
        </w:r>
      </w:hyperlink>
      <w:r w:rsidRPr="00B26853">
        <w:rPr>
          <w:i/>
          <w:iCs/>
        </w:rPr>
        <w:t xml:space="preserve">. </w:t>
      </w:r>
      <w:hyperlink r:id="rId6" w:tooltip="PMC (identifier)" w:history="1">
        <w:r w:rsidRPr="00B26853">
          <w:rPr>
            <w:rStyle w:val="Hyperlink"/>
            <w:i/>
            <w:iCs/>
          </w:rPr>
          <w:t>PMC</w:t>
        </w:r>
      </w:hyperlink>
      <w:r w:rsidRPr="00B26853">
        <w:rPr>
          <w:i/>
          <w:iCs/>
        </w:rPr>
        <w:t> </w:t>
      </w:r>
      <w:hyperlink r:id="rId7" w:history="1">
        <w:r w:rsidRPr="00B26853">
          <w:rPr>
            <w:rStyle w:val="Hyperlink"/>
            <w:i/>
            <w:iCs/>
          </w:rPr>
          <w:t>2426937</w:t>
        </w:r>
      </w:hyperlink>
      <w:r w:rsidRPr="00B26853">
        <w:rPr>
          <w:i/>
          <w:iCs/>
        </w:rPr>
        <w:t xml:space="preserve">. </w:t>
      </w:r>
      <w:hyperlink r:id="rId8" w:tooltip="PMID (identifier)" w:history="1">
        <w:r w:rsidRPr="00B26853">
          <w:rPr>
            <w:rStyle w:val="Hyperlink"/>
            <w:i/>
            <w:iCs/>
          </w:rPr>
          <w:t>PMID</w:t>
        </w:r>
      </w:hyperlink>
      <w:r w:rsidRPr="00B26853">
        <w:rPr>
          <w:i/>
          <w:iCs/>
        </w:rPr>
        <w:t> </w:t>
      </w:r>
      <w:hyperlink r:id="rId9" w:history="1">
        <w:r w:rsidRPr="00B26853">
          <w:rPr>
            <w:rStyle w:val="Hyperlink"/>
            <w:i/>
            <w:iCs/>
          </w:rPr>
          <w:t>18541702</w:t>
        </w:r>
      </w:hyperlink>
      <w:r w:rsidRPr="00B26853">
        <w:rPr>
          <w:i/>
          <w:iCs/>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4BA"/>
    <w:rsid w:val="00042ECA"/>
    <w:rsid w:val="004A1757"/>
    <w:rsid w:val="00550FBA"/>
    <w:rsid w:val="00584929"/>
    <w:rsid w:val="007A54BA"/>
    <w:rsid w:val="00B26853"/>
    <w:rsid w:val="00B555DB"/>
    <w:rsid w:val="00EA0C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F588CE"/>
  <w15:chartTrackingRefBased/>
  <w15:docId w15:val="{95BB5966-7E76-4370-8D8B-BC7BB3F5D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55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55DB"/>
  </w:style>
  <w:style w:type="paragraph" w:styleId="Footer">
    <w:name w:val="footer"/>
    <w:basedOn w:val="Normal"/>
    <w:link w:val="FooterChar"/>
    <w:uiPriority w:val="99"/>
    <w:unhideWhenUsed/>
    <w:rsid w:val="00B555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55DB"/>
  </w:style>
  <w:style w:type="character" w:styleId="Hyperlink">
    <w:name w:val="Hyperlink"/>
    <w:basedOn w:val="DefaultParagraphFont"/>
    <w:uiPriority w:val="99"/>
    <w:unhideWhenUsed/>
    <w:rsid w:val="00B555DB"/>
    <w:rPr>
      <w:color w:val="0000FF"/>
      <w:u w:val="single"/>
    </w:rPr>
  </w:style>
  <w:style w:type="paragraph" w:styleId="FootnoteText">
    <w:name w:val="footnote text"/>
    <w:basedOn w:val="Normal"/>
    <w:link w:val="FootnoteTextChar"/>
    <w:uiPriority w:val="99"/>
    <w:semiHidden/>
    <w:unhideWhenUsed/>
    <w:rsid w:val="00B268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26853"/>
    <w:rPr>
      <w:sz w:val="20"/>
      <w:szCs w:val="20"/>
    </w:rPr>
  </w:style>
  <w:style w:type="character" w:styleId="FootnoteReference">
    <w:name w:val="footnote reference"/>
    <w:basedOn w:val="DefaultParagraphFont"/>
    <w:uiPriority w:val="99"/>
    <w:semiHidden/>
    <w:unhideWhenUsed/>
    <w:rsid w:val="00B26853"/>
    <w:rPr>
      <w:vertAlign w:val="superscript"/>
    </w:rPr>
  </w:style>
  <w:style w:type="paragraph" w:styleId="EndnoteText">
    <w:name w:val="endnote text"/>
    <w:basedOn w:val="Normal"/>
    <w:link w:val="EndnoteTextChar"/>
    <w:uiPriority w:val="99"/>
    <w:semiHidden/>
    <w:unhideWhenUsed/>
    <w:rsid w:val="00B2685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26853"/>
    <w:rPr>
      <w:sz w:val="20"/>
      <w:szCs w:val="20"/>
    </w:rPr>
  </w:style>
  <w:style w:type="character" w:styleId="EndnoteReference">
    <w:name w:val="endnote reference"/>
    <w:basedOn w:val="DefaultParagraphFont"/>
    <w:uiPriority w:val="99"/>
    <w:semiHidden/>
    <w:unhideWhenUsed/>
    <w:rsid w:val="00B26853"/>
    <w:rPr>
      <w:vertAlign w:val="superscript"/>
    </w:rPr>
  </w:style>
  <w:style w:type="paragraph" w:styleId="Bibliography">
    <w:name w:val="Bibliography"/>
    <w:basedOn w:val="Normal"/>
    <w:next w:val="Normal"/>
    <w:uiPriority w:val="37"/>
    <w:unhideWhenUsed/>
    <w:rsid w:val="00EA0C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05220">
      <w:bodyDiv w:val="1"/>
      <w:marLeft w:val="0"/>
      <w:marRight w:val="0"/>
      <w:marTop w:val="0"/>
      <w:marBottom w:val="0"/>
      <w:divBdr>
        <w:top w:val="none" w:sz="0" w:space="0" w:color="auto"/>
        <w:left w:val="none" w:sz="0" w:space="0" w:color="auto"/>
        <w:bottom w:val="none" w:sz="0" w:space="0" w:color="auto"/>
        <w:right w:val="none" w:sz="0" w:space="0" w:color="auto"/>
      </w:divBdr>
    </w:div>
    <w:div w:id="613829907">
      <w:bodyDiv w:val="1"/>
      <w:marLeft w:val="0"/>
      <w:marRight w:val="0"/>
      <w:marTop w:val="0"/>
      <w:marBottom w:val="0"/>
      <w:divBdr>
        <w:top w:val="none" w:sz="0" w:space="0" w:color="auto"/>
        <w:left w:val="none" w:sz="0" w:space="0" w:color="auto"/>
        <w:bottom w:val="none" w:sz="0" w:space="0" w:color="auto"/>
        <w:right w:val="none" w:sz="0" w:space="0" w:color="auto"/>
      </w:divBdr>
    </w:div>
    <w:div w:id="914705790">
      <w:bodyDiv w:val="1"/>
      <w:marLeft w:val="0"/>
      <w:marRight w:val="0"/>
      <w:marTop w:val="0"/>
      <w:marBottom w:val="0"/>
      <w:divBdr>
        <w:top w:val="none" w:sz="0" w:space="0" w:color="auto"/>
        <w:left w:val="none" w:sz="0" w:space="0" w:color="auto"/>
        <w:bottom w:val="none" w:sz="0" w:space="0" w:color="auto"/>
        <w:right w:val="none" w:sz="0" w:space="0" w:color="auto"/>
      </w:divBdr>
    </w:div>
    <w:div w:id="1372076546">
      <w:bodyDiv w:val="1"/>
      <w:marLeft w:val="0"/>
      <w:marRight w:val="0"/>
      <w:marTop w:val="0"/>
      <w:marBottom w:val="0"/>
      <w:divBdr>
        <w:top w:val="none" w:sz="0" w:space="0" w:color="auto"/>
        <w:left w:val="none" w:sz="0" w:space="0" w:color="auto"/>
        <w:bottom w:val="none" w:sz="0" w:space="0" w:color="auto"/>
        <w:right w:val="none" w:sz="0" w:space="0" w:color="auto"/>
      </w:divBdr>
    </w:div>
    <w:div w:id="1577781706">
      <w:bodyDiv w:val="1"/>
      <w:marLeft w:val="0"/>
      <w:marRight w:val="0"/>
      <w:marTop w:val="0"/>
      <w:marBottom w:val="0"/>
      <w:divBdr>
        <w:top w:val="none" w:sz="0" w:space="0" w:color="auto"/>
        <w:left w:val="none" w:sz="0" w:space="0" w:color="auto"/>
        <w:bottom w:val="none" w:sz="0" w:space="0" w:color="auto"/>
        <w:right w:val="none" w:sz="0" w:space="0" w:color="auto"/>
      </w:divBdr>
    </w:div>
    <w:div w:id="1794858529">
      <w:bodyDiv w:val="1"/>
      <w:marLeft w:val="0"/>
      <w:marRight w:val="0"/>
      <w:marTop w:val="0"/>
      <w:marBottom w:val="0"/>
      <w:divBdr>
        <w:top w:val="none" w:sz="0" w:space="0" w:color="auto"/>
        <w:left w:val="none" w:sz="0" w:space="0" w:color="auto"/>
        <w:bottom w:val="none" w:sz="0" w:space="0" w:color="auto"/>
        <w:right w:val="none" w:sz="0" w:space="0" w:color="auto"/>
      </w:divBdr>
    </w:div>
    <w:div w:id="2071034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8" Type="http://schemas.openxmlformats.org/officeDocument/2006/relationships/hyperlink" Target="https://en.wikipedia.org/wiki/PMID_(identifier)" TargetMode="External"/><Relationship Id="rId3" Type="http://schemas.openxmlformats.org/officeDocument/2006/relationships/hyperlink" Target="https://www.ncbi.nlm.nih.gov/pmc/articles/PMC2426937" TargetMode="External"/><Relationship Id="rId7" Type="http://schemas.openxmlformats.org/officeDocument/2006/relationships/hyperlink" Target="https://www.ncbi.nlm.nih.gov/pmc/articles/PMC2426937" TargetMode="External"/><Relationship Id="rId2" Type="http://schemas.openxmlformats.org/officeDocument/2006/relationships/hyperlink" Target="https://en.wikipedia.org/wiki/Bleb_(cell_biology)" TargetMode="External"/><Relationship Id="rId1" Type="http://schemas.openxmlformats.org/officeDocument/2006/relationships/hyperlink" Target="https://medical-dictionary.thefreedictionary.com/blebbing" TargetMode="External"/><Relationship Id="rId6" Type="http://schemas.openxmlformats.org/officeDocument/2006/relationships/hyperlink" Target="https://en.wikipedia.org/wiki/PMC_(identifier)" TargetMode="External"/><Relationship Id="rId5" Type="http://schemas.openxmlformats.org/officeDocument/2006/relationships/hyperlink" Target="https://doi.org/10.1083%2Fjcb.200802081" TargetMode="External"/><Relationship Id="rId4" Type="http://schemas.openxmlformats.org/officeDocument/2006/relationships/hyperlink" Target="https://en.wikipedia.org/wiki/Doi_(identifier)" TargetMode="External"/><Relationship Id="rId9" Type="http://schemas.openxmlformats.org/officeDocument/2006/relationships/hyperlink" Target="https://pubmed.ncbi.nlm.nih.gov/185417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b:Source>
    <b:Tag>Col20</b:Tag>
    <b:SourceType>JournalArticle</b:SourceType>
    <b:Guid>{8D848CA8-BA89-472F-B232-F114E024A006}</b:Guid>
    <b:Title>Comprehensive Hematology with Automated Differential FH9-B 2020 Participant Summary</b:Title>
    <b:Year>2020</b:Year>
    <b:Medium>Document</b:Medium>
    <b:Author>
      <b:Author>
        <b:Corporate>College of American Pathologists</b:Corporate>
      </b:Author>
    </b:Author>
    <b:JournalName>Surveys and Anatomic Pathology Education Program</b:JournalName>
    <b:Pages>32</b:Pages>
    <b:RefOrder>1</b:RefOrder>
  </b:Source>
</b:Sources>
</file>

<file path=customXml/itemProps1.xml><?xml version="1.0" encoding="utf-8"?>
<ds:datastoreItem xmlns:ds="http://schemas.openxmlformats.org/officeDocument/2006/customXml" ds:itemID="{ECEBAA62-41E7-4212-8931-F78144200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5</Pages>
  <Words>332</Words>
  <Characters>1897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Sentara Healthcare</Company>
  <LinksUpToDate>false</LinksUpToDate>
  <CharactersWithSpaces>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BRADLEY G BOHANNON</dc:creator>
  <cp:keywords/>
  <dc:description/>
  <cp:lastModifiedBy>BRADLEY G BOHANNON</cp:lastModifiedBy>
  <cp:revision>1</cp:revision>
  <dcterms:created xsi:type="dcterms:W3CDTF">2020-07-07T15:21:00Z</dcterms:created>
  <dcterms:modified xsi:type="dcterms:W3CDTF">2020-07-07T16:29:00Z</dcterms:modified>
</cp:coreProperties>
</file>