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0"/>
      </w:tblGrid>
      <w:tr w:rsidR="00FE6421">
        <w:trPr>
          <w:cantSplit/>
        </w:trPr>
        <w:tc>
          <w:tcPr>
            <w:tcW w:w="10800" w:type="dxa"/>
            <w:gridSpan w:val="2"/>
            <w:tcBorders>
              <w:top w:val="nil"/>
              <w:left w:val="nil"/>
              <w:bottom w:val="nil"/>
              <w:right w:val="nil"/>
            </w:tcBorders>
          </w:tcPr>
          <w:p w:rsidR="00FE6421" w:rsidRDefault="00FE6421">
            <w:pPr>
              <w:pStyle w:val="BodyText"/>
              <w:rPr>
                <w:rFonts w:ascii="Arial" w:hAnsi="Arial" w:cs="Arial"/>
                <w:sz w:val="24"/>
              </w:rPr>
            </w:pPr>
          </w:p>
          <w:p w:rsidR="00FE6421" w:rsidRPr="001A1C8C" w:rsidRDefault="00522322">
            <w:pPr>
              <w:pStyle w:val="BodyText"/>
              <w:rPr>
                <w:rFonts w:ascii="Arial" w:hAnsi="Arial" w:cs="Arial"/>
                <w:b/>
                <w:bCs w:val="0"/>
                <w:color w:val="0000FF"/>
                <w:sz w:val="32"/>
                <w:szCs w:val="32"/>
              </w:rPr>
            </w:pPr>
            <w:r>
              <w:rPr>
                <w:rFonts w:ascii="Arial" w:hAnsi="Arial" w:cs="Arial"/>
                <w:b/>
                <w:bCs w:val="0"/>
                <w:color w:val="0000FF"/>
                <w:sz w:val="32"/>
                <w:szCs w:val="32"/>
              </w:rPr>
              <w:t xml:space="preserve">Laboratory Education </w:t>
            </w:r>
            <w:r w:rsidR="001A1C8C">
              <w:rPr>
                <w:rFonts w:ascii="Arial" w:hAnsi="Arial" w:cs="Arial"/>
                <w:b/>
                <w:bCs w:val="0"/>
                <w:color w:val="0000FF"/>
                <w:sz w:val="32"/>
                <w:szCs w:val="32"/>
              </w:rPr>
              <w:t xml:space="preserve">Reimbursement </w:t>
            </w:r>
            <w:r>
              <w:rPr>
                <w:rFonts w:ascii="Arial" w:hAnsi="Arial" w:cs="Arial"/>
                <w:b/>
                <w:bCs w:val="0"/>
                <w:color w:val="0000FF"/>
                <w:sz w:val="32"/>
                <w:szCs w:val="32"/>
              </w:rPr>
              <w:t>Policy</w:t>
            </w:r>
          </w:p>
          <w:p w:rsidR="00FE6421" w:rsidRDefault="00FE6421">
            <w:pPr>
              <w:pStyle w:val="BodyText"/>
              <w:rPr>
                <w:rFonts w:ascii="Arial" w:hAnsi="Arial" w:cs="Arial"/>
              </w:rPr>
            </w:pPr>
          </w:p>
        </w:tc>
      </w:tr>
      <w:tr w:rsidR="00FE6421">
        <w:trPr>
          <w:cantSplit/>
          <w:trHeight w:val="1025"/>
        </w:trPr>
        <w:tc>
          <w:tcPr>
            <w:tcW w:w="1800" w:type="dxa"/>
            <w:tcBorders>
              <w:top w:val="nil"/>
              <w:left w:val="nil"/>
              <w:bottom w:val="nil"/>
              <w:right w:val="nil"/>
            </w:tcBorders>
          </w:tcPr>
          <w:p w:rsidR="00FE6421" w:rsidRDefault="00FE6421">
            <w:pPr>
              <w:pStyle w:val="Header"/>
              <w:tabs>
                <w:tab w:val="clear" w:pos="4320"/>
                <w:tab w:val="clear" w:pos="8640"/>
              </w:tabs>
              <w:jc w:val="left"/>
              <w:rPr>
                <w:rFonts w:ascii="Arial" w:hAnsi="Arial" w:cs="Arial"/>
                <w:b/>
                <w:color w:val="0000FF"/>
              </w:rPr>
            </w:pPr>
          </w:p>
          <w:p w:rsidR="00FE6421" w:rsidRDefault="006B163D">
            <w:pPr>
              <w:pStyle w:val="Header"/>
              <w:tabs>
                <w:tab w:val="clear" w:pos="4320"/>
                <w:tab w:val="clear" w:pos="8640"/>
              </w:tabs>
              <w:jc w:val="left"/>
              <w:rPr>
                <w:rFonts w:ascii="Arial" w:hAnsi="Arial" w:cs="Arial"/>
                <w:b/>
                <w:color w:val="0000FF"/>
              </w:rPr>
            </w:pPr>
            <w:r>
              <w:rPr>
                <w:rFonts w:ascii="Arial" w:hAnsi="Arial" w:cs="Arial"/>
                <w:b/>
                <w:color w:val="0000FF"/>
              </w:rPr>
              <w:t>Purpose</w:t>
            </w:r>
          </w:p>
        </w:tc>
        <w:tc>
          <w:tcPr>
            <w:tcW w:w="9000" w:type="dxa"/>
            <w:tcBorders>
              <w:top w:val="single" w:sz="4" w:space="0" w:color="auto"/>
              <w:left w:val="nil"/>
              <w:bottom w:val="single" w:sz="4" w:space="0" w:color="auto"/>
              <w:right w:val="nil"/>
            </w:tcBorders>
          </w:tcPr>
          <w:p w:rsidR="00522322" w:rsidRDefault="00522322" w:rsidP="00473862">
            <w:pPr>
              <w:pStyle w:val="Default"/>
              <w:jc w:val="both"/>
            </w:pPr>
          </w:p>
          <w:p w:rsidR="00FE6421" w:rsidRPr="00FE6421" w:rsidRDefault="00522322" w:rsidP="00473862">
            <w:pPr>
              <w:rPr>
                <w:rFonts w:ascii="Arial" w:hAnsi="Arial" w:cs="Arial"/>
                <w:sz w:val="20"/>
                <w:szCs w:val="20"/>
              </w:rPr>
            </w:pPr>
            <w:r w:rsidRPr="00FE6421">
              <w:rPr>
                <w:rFonts w:ascii="Arial" w:hAnsi="Arial" w:cs="Arial"/>
                <w:sz w:val="20"/>
                <w:szCs w:val="20"/>
              </w:rPr>
              <w:t xml:space="preserve">It is the policy of Children’s Hospital and Clinics of Minnesota to encourage and assist its employees to increase their skills and knowledge through education that will contribute to maintenance of competency and improvement of job performance and/or potential advancement.  In accordance with this policy, an Education Reimbursement Program has been established to reimburse employees who enroll in job-related courses which are sponsored by accredited or well-recognized institutions and professional organizations. </w:t>
            </w:r>
          </w:p>
          <w:p w:rsidR="00522322" w:rsidRDefault="00522322" w:rsidP="00473862">
            <w:pPr>
              <w:rPr>
                <w:rFonts w:ascii="Arial" w:hAnsi="Arial" w:cs="Arial"/>
                <w:iCs/>
                <w:color w:val="0000FF"/>
                <w:sz w:val="20"/>
              </w:rPr>
            </w:pPr>
          </w:p>
        </w:tc>
      </w:tr>
      <w:tr w:rsidR="00FE6421">
        <w:trPr>
          <w:cantSplit/>
          <w:trHeight w:val="233"/>
        </w:trPr>
        <w:tc>
          <w:tcPr>
            <w:tcW w:w="1800" w:type="dxa"/>
            <w:tcBorders>
              <w:top w:val="nil"/>
              <w:left w:val="nil"/>
              <w:bottom w:val="nil"/>
              <w:right w:val="nil"/>
            </w:tcBorders>
          </w:tcPr>
          <w:p w:rsidR="00FE6421" w:rsidRDefault="00FE6421">
            <w:pPr>
              <w:pStyle w:val="Header"/>
              <w:jc w:val="left"/>
              <w:rPr>
                <w:rFonts w:ascii="Arial" w:hAnsi="Arial" w:cs="Arial"/>
                <w:b/>
                <w:color w:val="0000FF"/>
              </w:rPr>
            </w:pPr>
          </w:p>
          <w:p w:rsidR="00FE6421" w:rsidRDefault="006B163D">
            <w:pPr>
              <w:pStyle w:val="Header"/>
              <w:jc w:val="left"/>
              <w:rPr>
                <w:rFonts w:ascii="Arial" w:hAnsi="Arial" w:cs="Arial"/>
                <w:b/>
                <w:color w:val="0000FF"/>
              </w:rPr>
            </w:pPr>
            <w:r>
              <w:rPr>
                <w:rFonts w:ascii="Arial" w:hAnsi="Arial" w:cs="Arial"/>
                <w:b/>
                <w:color w:val="0000FF"/>
              </w:rPr>
              <w:t>Policy</w:t>
            </w:r>
          </w:p>
          <w:p w:rsidR="00FE6421" w:rsidRDefault="00FE6421">
            <w:pPr>
              <w:pStyle w:val="Header"/>
              <w:jc w:val="left"/>
              <w:rPr>
                <w:rFonts w:ascii="Arial" w:hAnsi="Arial" w:cs="Arial"/>
                <w:b/>
                <w:color w:val="0000FF"/>
              </w:rPr>
            </w:pPr>
          </w:p>
        </w:tc>
        <w:tc>
          <w:tcPr>
            <w:tcW w:w="9000" w:type="dxa"/>
            <w:tcBorders>
              <w:top w:val="single" w:sz="4" w:space="0" w:color="auto"/>
              <w:left w:val="nil"/>
              <w:bottom w:val="single" w:sz="4" w:space="0" w:color="auto"/>
              <w:right w:val="nil"/>
            </w:tcBorders>
          </w:tcPr>
          <w:p w:rsidR="00FE6421" w:rsidRDefault="00FE6421" w:rsidP="00473862">
            <w:pPr>
              <w:rPr>
                <w:rFonts w:ascii="Arial" w:hAnsi="Arial" w:cs="Arial"/>
                <w:sz w:val="20"/>
              </w:rPr>
            </w:pPr>
          </w:p>
          <w:p w:rsidR="00FE6421" w:rsidRPr="005627C9" w:rsidRDefault="00FE6421" w:rsidP="00473862">
            <w:pPr>
              <w:numPr>
                <w:ilvl w:val="0"/>
                <w:numId w:val="16"/>
              </w:numPr>
              <w:rPr>
                <w:rFonts w:ascii="Arial" w:hAnsi="Arial" w:cs="Arial"/>
                <w:iCs/>
                <w:color w:val="0000FF"/>
                <w:sz w:val="20"/>
              </w:rPr>
            </w:pPr>
            <w:r>
              <w:rPr>
                <w:rFonts w:ascii="Arial" w:hAnsi="Arial" w:cs="Arial"/>
                <w:sz w:val="20"/>
              </w:rPr>
              <w:t>Eligibility</w:t>
            </w:r>
          </w:p>
          <w:p w:rsidR="005627C9" w:rsidRPr="00FE6421" w:rsidRDefault="005627C9" w:rsidP="00473862">
            <w:pPr>
              <w:ind w:left="1080"/>
              <w:rPr>
                <w:rFonts w:ascii="Arial" w:hAnsi="Arial" w:cs="Arial"/>
                <w:iCs/>
                <w:color w:val="0000FF"/>
                <w:sz w:val="20"/>
              </w:rPr>
            </w:pPr>
          </w:p>
          <w:p w:rsidR="00FE6421" w:rsidRPr="00FE6421" w:rsidRDefault="00FE6421" w:rsidP="00473862">
            <w:pPr>
              <w:numPr>
                <w:ilvl w:val="0"/>
                <w:numId w:val="17"/>
              </w:numPr>
              <w:rPr>
                <w:rFonts w:ascii="Arial" w:hAnsi="Arial" w:cs="Arial"/>
                <w:iCs/>
                <w:color w:val="0000FF"/>
                <w:sz w:val="20"/>
              </w:rPr>
            </w:pPr>
            <w:r>
              <w:rPr>
                <w:rFonts w:ascii="Arial" w:hAnsi="Arial" w:cs="Arial"/>
                <w:sz w:val="20"/>
              </w:rPr>
              <w:t>All laboratory employees are eligible to receive education reimbursement</w:t>
            </w:r>
            <w:r w:rsidR="00F17360">
              <w:rPr>
                <w:rFonts w:ascii="Arial" w:hAnsi="Arial" w:cs="Arial"/>
                <w:sz w:val="20"/>
              </w:rPr>
              <w:t xml:space="preserve"> each year.  The Administrative D</w:t>
            </w:r>
            <w:r>
              <w:rPr>
                <w:rFonts w:ascii="Arial" w:hAnsi="Arial" w:cs="Arial"/>
                <w:sz w:val="20"/>
              </w:rPr>
              <w:t>irector will determine final approval for individual reimbursement. Decisions to approve education reimbursement will be based on available funds, the education expenses of the previous year, and the budget of the department/fund.</w:t>
            </w:r>
          </w:p>
          <w:p w:rsidR="00FE6421" w:rsidRPr="00FE6421" w:rsidRDefault="00FE6421" w:rsidP="00473862">
            <w:pPr>
              <w:numPr>
                <w:ilvl w:val="0"/>
                <w:numId w:val="17"/>
              </w:numPr>
              <w:rPr>
                <w:rFonts w:ascii="Arial" w:hAnsi="Arial" w:cs="Arial"/>
                <w:iCs/>
                <w:color w:val="0000FF"/>
                <w:sz w:val="20"/>
              </w:rPr>
            </w:pPr>
            <w:r>
              <w:rPr>
                <w:rFonts w:ascii="Arial" w:hAnsi="Arial" w:cs="Arial"/>
                <w:sz w:val="20"/>
              </w:rPr>
              <w:t xml:space="preserve">Employees have an equal opportunity to participate in the Education Reimbursement Program and employees receiving education reimbursements will be rotated each year. </w:t>
            </w:r>
          </w:p>
          <w:p w:rsidR="00FE6421" w:rsidRPr="00FE6421" w:rsidRDefault="00FE6421" w:rsidP="00473862">
            <w:pPr>
              <w:numPr>
                <w:ilvl w:val="0"/>
                <w:numId w:val="17"/>
              </w:numPr>
              <w:rPr>
                <w:rFonts w:ascii="Arial" w:hAnsi="Arial" w:cs="Arial"/>
                <w:iCs/>
                <w:color w:val="0000FF"/>
                <w:sz w:val="20"/>
              </w:rPr>
            </w:pPr>
            <w:r>
              <w:rPr>
                <w:rFonts w:ascii="Arial" w:hAnsi="Arial" w:cs="Arial"/>
                <w:sz w:val="20"/>
              </w:rPr>
              <w:t>Eligibility for the Education Reimbursement Program is based on the following criteria:</w:t>
            </w:r>
          </w:p>
          <w:p w:rsidR="00FE6421" w:rsidRPr="00FE6421" w:rsidRDefault="00FE6421" w:rsidP="00473862">
            <w:pPr>
              <w:numPr>
                <w:ilvl w:val="0"/>
                <w:numId w:val="18"/>
              </w:numPr>
              <w:rPr>
                <w:rFonts w:ascii="Arial" w:hAnsi="Arial" w:cs="Arial"/>
                <w:iCs/>
                <w:color w:val="0000FF"/>
                <w:sz w:val="20"/>
              </w:rPr>
            </w:pPr>
            <w:r>
              <w:rPr>
                <w:rFonts w:ascii="Arial" w:hAnsi="Arial" w:cs="Arial"/>
                <w:sz w:val="20"/>
              </w:rPr>
              <w:t xml:space="preserve">Employees shall </w:t>
            </w:r>
            <w:r w:rsidR="006B163D">
              <w:rPr>
                <w:rFonts w:ascii="Arial" w:hAnsi="Arial" w:cs="Arial"/>
                <w:sz w:val="20"/>
              </w:rPr>
              <w:t>have accrued one year of</w:t>
            </w:r>
            <w:r>
              <w:rPr>
                <w:rFonts w:ascii="Arial" w:hAnsi="Arial" w:cs="Arial"/>
                <w:sz w:val="20"/>
              </w:rPr>
              <w:t xml:space="preserve"> satisfactory employment prior to eligibilit</w:t>
            </w:r>
            <w:r w:rsidR="006B163D">
              <w:rPr>
                <w:rFonts w:ascii="Arial" w:hAnsi="Arial" w:cs="Arial"/>
                <w:sz w:val="20"/>
              </w:rPr>
              <w:t>y for the laboratory</w:t>
            </w:r>
            <w:r>
              <w:rPr>
                <w:rFonts w:ascii="Arial" w:hAnsi="Arial" w:cs="Arial"/>
                <w:sz w:val="20"/>
              </w:rPr>
              <w:t xml:space="preserve"> education reimbursement program.  </w:t>
            </w:r>
            <w:r w:rsidR="008A0900">
              <w:rPr>
                <w:rFonts w:ascii="Arial" w:hAnsi="Arial" w:cs="Arial"/>
                <w:sz w:val="20"/>
              </w:rPr>
              <w:t>Temporary</w:t>
            </w:r>
            <w:r>
              <w:rPr>
                <w:rFonts w:ascii="Arial" w:hAnsi="Arial" w:cs="Arial"/>
                <w:sz w:val="20"/>
              </w:rPr>
              <w:t xml:space="preserve"> and probationary employees are not eligible for education reimbursement.</w:t>
            </w:r>
          </w:p>
          <w:p w:rsidR="00FE6421" w:rsidRPr="00FE6421" w:rsidRDefault="00FE6421" w:rsidP="00473862">
            <w:pPr>
              <w:numPr>
                <w:ilvl w:val="0"/>
                <w:numId w:val="18"/>
              </w:numPr>
              <w:rPr>
                <w:rFonts w:ascii="Arial" w:hAnsi="Arial" w:cs="Arial"/>
                <w:iCs/>
                <w:color w:val="0000FF"/>
                <w:sz w:val="20"/>
              </w:rPr>
            </w:pPr>
            <w:r>
              <w:rPr>
                <w:rFonts w:ascii="Arial" w:hAnsi="Arial" w:cs="Arial"/>
                <w:sz w:val="20"/>
              </w:rPr>
              <w:t xml:space="preserve">Education programs that are eligible for education reimbursement must be directly related to the employee’s immediate work, or to work </w:t>
            </w:r>
            <w:r w:rsidR="0076461C">
              <w:rPr>
                <w:rFonts w:ascii="Arial" w:hAnsi="Arial" w:cs="Arial"/>
                <w:sz w:val="20"/>
              </w:rPr>
              <w:t>that the employee may reasonably</w:t>
            </w:r>
            <w:r>
              <w:rPr>
                <w:rFonts w:ascii="Arial" w:hAnsi="Arial" w:cs="Arial"/>
                <w:sz w:val="20"/>
              </w:rPr>
              <w:t xml:space="preserve"> be expecte</w:t>
            </w:r>
            <w:r w:rsidR="0076461C">
              <w:rPr>
                <w:rFonts w:ascii="Arial" w:hAnsi="Arial" w:cs="Arial"/>
                <w:sz w:val="20"/>
              </w:rPr>
              <w:t>d to advance within the laboratory</w:t>
            </w:r>
            <w:r>
              <w:rPr>
                <w:rFonts w:ascii="Arial" w:hAnsi="Arial" w:cs="Arial"/>
                <w:sz w:val="20"/>
              </w:rPr>
              <w:t>.  Examples of acceptable education programs include, but are not limited to, seminars, workshops, lectures and professional meetings.</w:t>
            </w:r>
          </w:p>
          <w:p w:rsidR="00FE6421" w:rsidRPr="00C1230D" w:rsidRDefault="00FE6421" w:rsidP="00473862">
            <w:pPr>
              <w:numPr>
                <w:ilvl w:val="0"/>
                <w:numId w:val="18"/>
              </w:numPr>
              <w:rPr>
                <w:rFonts w:ascii="Arial" w:hAnsi="Arial" w:cs="Arial"/>
                <w:iCs/>
                <w:color w:val="0000FF"/>
                <w:sz w:val="20"/>
              </w:rPr>
            </w:pPr>
            <w:r>
              <w:rPr>
                <w:rFonts w:ascii="Arial" w:hAnsi="Arial" w:cs="Arial"/>
                <w:sz w:val="20"/>
              </w:rPr>
              <w:t>Education Reimbursement Program</w:t>
            </w:r>
            <w:r w:rsidR="00994FA7">
              <w:rPr>
                <w:rFonts w:ascii="Arial" w:hAnsi="Arial" w:cs="Arial"/>
                <w:sz w:val="20"/>
              </w:rPr>
              <w:t xml:space="preserve"> request forms must be approved</w:t>
            </w:r>
            <w:r>
              <w:rPr>
                <w:rFonts w:ascii="Arial" w:hAnsi="Arial" w:cs="Arial"/>
                <w:sz w:val="20"/>
              </w:rPr>
              <w:t xml:space="preserve"> at least three weeks prior </w:t>
            </w:r>
            <w:r w:rsidR="00AE4D5F">
              <w:rPr>
                <w:rFonts w:ascii="Arial" w:hAnsi="Arial" w:cs="Arial"/>
                <w:sz w:val="20"/>
              </w:rPr>
              <w:t xml:space="preserve">to the beginning of the educational program </w:t>
            </w:r>
            <w:r>
              <w:rPr>
                <w:rFonts w:ascii="Arial" w:hAnsi="Arial" w:cs="Arial"/>
                <w:sz w:val="20"/>
              </w:rPr>
              <w:t>or before the “</w:t>
            </w:r>
            <w:r w:rsidR="0076461C">
              <w:rPr>
                <w:rFonts w:ascii="Arial" w:hAnsi="Arial" w:cs="Arial"/>
                <w:sz w:val="20"/>
              </w:rPr>
              <w:t xml:space="preserve">early bird” registration, </w:t>
            </w:r>
            <w:r w:rsidR="00994FA7">
              <w:rPr>
                <w:rFonts w:ascii="Arial" w:hAnsi="Arial" w:cs="Arial"/>
                <w:sz w:val="20"/>
              </w:rPr>
              <w:t>which</w:t>
            </w:r>
            <w:r>
              <w:rPr>
                <w:rFonts w:ascii="Arial" w:hAnsi="Arial" w:cs="Arial"/>
                <w:sz w:val="20"/>
              </w:rPr>
              <w:t>ever comes first</w:t>
            </w:r>
            <w:r w:rsidR="00AE4D5F">
              <w:rPr>
                <w:rFonts w:ascii="Arial" w:hAnsi="Arial" w:cs="Arial"/>
                <w:sz w:val="20"/>
              </w:rPr>
              <w:t>.  National conferences require an eight week notice prior to the beginning of</w:t>
            </w:r>
            <w:r w:rsidR="00944F54">
              <w:rPr>
                <w:rFonts w:ascii="Arial" w:hAnsi="Arial" w:cs="Arial"/>
                <w:sz w:val="20"/>
              </w:rPr>
              <w:t xml:space="preserve"> the program.  It is up to the manager and/or Administrative D</w:t>
            </w:r>
            <w:r w:rsidR="00AE4D5F">
              <w:rPr>
                <w:rFonts w:ascii="Arial" w:hAnsi="Arial" w:cs="Arial"/>
                <w:sz w:val="20"/>
              </w:rPr>
              <w:t>irector to approve requests received less than three weeks from the beginning of an education program.</w:t>
            </w:r>
          </w:p>
          <w:p w:rsidR="00C1230D" w:rsidRPr="00473862" w:rsidRDefault="00C1230D" w:rsidP="00473862">
            <w:pPr>
              <w:numPr>
                <w:ilvl w:val="0"/>
                <w:numId w:val="18"/>
              </w:numPr>
              <w:rPr>
                <w:rFonts w:ascii="Arial" w:hAnsi="Arial" w:cs="Arial"/>
                <w:iCs/>
                <w:sz w:val="20"/>
              </w:rPr>
            </w:pPr>
            <w:r>
              <w:rPr>
                <w:rFonts w:ascii="Arial" w:hAnsi="Arial" w:cs="Arial"/>
                <w:sz w:val="20"/>
              </w:rPr>
              <w:t xml:space="preserve">Certificates of course completion and other required documentation </w:t>
            </w:r>
            <w:r w:rsidR="005627C9">
              <w:rPr>
                <w:rFonts w:ascii="Arial" w:hAnsi="Arial" w:cs="Arial"/>
                <w:sz w:val="20"/>
              </w:rPr>
              <w:t xml:space="preserve">(including a schedule date for the oral presentation) </w:t>
            </w:r>
            <w:r>
              <w:rPr>
                <w:rFonts w:ascii="Arial" w:hAnsi="Arial" w:cs="Arial"/>
                <w:sz w:val="20"/>
              </w:rPr>
              <w:t xml:space="preserve">must be submitted within </w:t>
            </w:r>
            <w:r w:rsidR="005627C9">
              <w:rPr>
                <w:rFonts w:ascii="Arial" w:hAnsi="Arial" w:cs="Arial"/>
                <w:sz w:val="20"/>
              </w:rPr>
              <w:t xml:space="preserve">60 days of course </w:t>
            </w:r>
            <w:r w:rsidR="005627C9" w:rsidRPr="00473862">
              <w:rPr>
                <w:rFonts w:ascii="Arial" w:hAnsi="Arial" w:cs="Arial"/>
                <w:sz w:val="20"/>
              </w:rPr>
              <w:t>completion in order to be considered eligible for reimbursement.</w:t>
            </w:r>
          </w:p>
          <w:p w:rsidR="00DD532D" w:rsidRPr="00473862" w:rsidRDefault="00DD532D" w:rsidP="00473862">
            <w:pPr>
              <w:rPr>
                <w:rFonts w:ascii="Arial" w:hAnsi="Arial" w:cs="Arial"/>
                <w:sz w:val="20"/>
              </w:rPr>
            </w:pPr>
          </w:p>
          <w:p w:rsidR="00DD532D" w:rsidRPr="00473862" w:rsidRDefault="00DD532D" w:rsidP="00473862">
            <w:pPr>
              <w:numPr>
                <w:ilvl w:val="0"/>
                <w:numId w:val="16"/>
              </w:numPr>
              <w:rPr>
                <w:rFonts w:ascii="Arial" w:hAnsi="Arial" w:cs="Arial"/>
                <w:iCs/>
                <w:sz w:val="20"/>
              </w:rPr>
            </w:pPr>
            <w:r w:rsidRPr="00473862">
              <w:rPr>
                <w:rFonts w:ascii="Arial" w:hAnsi="Arial" w:cs="Arial"/>
                <w:sz w:val="20"/>
              </w:rPr>
              <w:t>General Policies</w:t>
            </w:r>
          </w:p>
          <w:p w:rsidR="00DD532D" w:rsidRPr="00473862" w:rsidRDefault="00DD532D" w:rsidP="00473862">
            <w:pPr>
              <w:ind w:left="1080"/>
              <w:rPr>
                <w:rFonts w:ascii="Arial" w:hAnsi="Arial" w:cs="Arial"/>
                <w:iCs/>
                <w:sz w:val="20"/>
              </w:rPr>
            </w:pPr>
          </w:p>
          <w:p w:rsidR="00DD532D" w:rsidRDefault="00DD532D" w:rsidP="00473862">
            <w:pPr>
              <w:numPr>
                <w:ilvl w:val="0"/>
                <w:numId w:val="20"/>
              </w:numPr>
              <w:rPr>
                <w:rFonts w:ascii="Arial" w:hAnsi="Arial" w:cs="Arial"/>
                <w:iCs/>
                <w:sz w:val="20"/>
              </w:rPr>
            </w:pPr>
            <w:r w:rsidRPr="00473862">
              <w:rPr>
                <w:rFonts w:ascii="Arial" w:hAnsi="Arial" w:cs="Arial"/>
                <w:iCs/>
                <w:sz w:val="20"/>
              </w:rPr>
              <w:t>This policy covers educational programs that occur within the continental United States.  Attendance</w:t>
            </w:r>
            <w:r>
              <w:rPr>
                <w:rFonts w:ascii="Arial" w:hAnsi="Arial" w:cs="Arial"/>
                <w:iCs/>
                <w:sz w:val="20"/>
              </w:rPr>
              <w:t xml:space="preserve"> at international meetings requires approval from the Administrative Director.</w:t>
            </w:r>
          </w:p>
          <w:p w:rsidR="002D019B" w:rsidRPr="005627C9" w:rsidRDefault="00DD532D" w:rsidP="00473862">
            <w:pPr>
              <w:numPr>
                <w:ilvl w:val="0"/>
                <w:numId w:val="20"/>
              </w:numPr>
              <w:rPr>
                <w:rFonts w:ascii="Arial" w:hAnsi="Arial" w:cs="Arial"/>
                <w:iCs/>
                <w:sz w:val="20"/>
              </w:rPr>
            </w:pPr>
            <w:r>
              <w:rPr>
                <w:rFonts w:ascii="Arial" w:hAnsi="Arial" w:cs="Arial"/>
                <w:iCs/>
                <w:sz w:val="20"/>
              </w:rPr>
              <w:t>All employees are strongly encouraged to participate in the CHC Grand Round conferences, teleconferences and other free or cost-effective methods of continuing education.</w:t>
            </w:r>
          </w:p>
          <w:p w:rsidR="00944F54" w:rsidRPr="005627C9" w:rsidRDefault="00944F54" w:rsidP="00473862">
            <w:pPr>
              <w:ind w:left="1440"/>
              <w:rPr>
                <w:rFonts w:ascii="Arial" w:hAnsi="Arial" w:cs="Arial"/>
                <w:iCs/>
                <w:sz w:val="20"/>
              </w:rPr>
            </w:pPr>
          </w:p>
        </w:tc>
      </w:tr>
    </w:tbl>
    <w:p w:rsidR="00473862" w:rsidRDefault="00473862"/>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2700"/>
        <w:gridCol w:w="1620"/>
        <w:gridCol w:w="3600"/>
      </w:tblGrid>
      <w:tr w:rsidR="00FE6421" w:rsidTr="00614639">
        <w:trPr>
          <w:cantSplit/>
          <w:trHeight w:val="13049"/>
        </w:trPr>
        <w:tc>
          <w:tcPr>
            <w:tcW w:w="1800" w:type="dxa"/>
            <w:tcBorders>
              <w:top w:val="nil"/>
              <w:left w:val="nil"/>
              <w:bottom w:val="nil"/>
              <w:right w:val="nil"/>
            </w:tcBorders>
          </w:tcPr>
          <w:p w:rsidR="00FE6421" w:rsidRDefault="00FE6421">
            <w:pPr>
              <w:jc w:val="left"/>
              <w:rPr>
                <w:rFonts w:ascii="Arial" w:hAnsi="Arial" w:cs="Arial"/>
                <w:b/>
                <w:color w:val="0000FF"/>
              </w:rPr>
            </w:pPr>
          </w:p>
          <w:p w:rsidR="00FE6421" w:rsidRDefault="00EC043B">
            <w:pPr>
              <w:jc w:val="left"/>
              <w:rPr>
                <w:rFonts w:ascii="Arial" w:hAnsi="Arial" w:cs="Arial"/>
                <w:b/>
                <w:color w:val="0000FF"/>
              </w:rPr>
            </w:pPr>
            <w:r>
              <w:rPr>
                <w:rFonts w:ascii="Arial" w:hAnsi="Arial" w:cs="Arial"/>
                <w:b/>
                <w:color w:val="0000FF"/>
              </w:rPr>
              <w:t>Policy</w:t>
            </w:r>
            <w:r w:rsidR="00A34097">
              <w:rPr>
                <w:rFonts w:ascii="Arial" w:hAnsi="Arial" w:cs="Arial"/>
                <w:b/>
                <w:color w:val="0000FF"/>
              </w:rPr>
              <w:t xml:space="preserve"> C</w:t>
            </w:r>
            <w:r w:rsidR="00DD532D">
              <w:rPr>
                <w:rFonts w:ascii="Arial" w:hAnsi="Arial" w:cs="Arial"/>
                <w:b/>
                <w:color w:val="0000FF"/>
              </w:rPr>
              <w:t>on’t</w:t>
            </w:r>
          </w:p>
          <w:p w:rsidR="00FE6421" w:rsidRDefault="00FE6421">
            <w:pPr>
              <w:jc w:val="left"/>
              <w:rPr>
                <w:rFonts w:ascii="Arial" w:hAnsi="Arial" w:cs="Arial"/>
                <w:b/>
                <w:color w:val="0000FF"/>
              </w:rPr>
            </w:pPr>
          </w:p>
          <w:p w:rsidR="00FE6421" w:rsidRDefault="00FE6421">
            <w:pP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473862" w:rsidRDefault="00473862" w:rsidP="00473862">
            <w:pPr>
              <w:ind w:left="1080"/>
              <w:rPr>
                <w:rFonts w:ascii="Arial" w:hAnsi="Arial" w:cs="Arial"/>
                <w:iCs/>
                <w:sz w:val="20"/>
              </w:rPr>
            </w:pPr>
          </w:p>
          <w:p w:rsidR="002D019B" w:rsidRPr="00E7015D" w:rsidRDefault="002D019B" w:rsidP="00473862">
            <w:pPr>
              <w:numPr>
                <w:ilvl w:val="0"/>
                <w:numId w:val="20"/>
              </w:numPr>
              <w:rPr>
                <w:rFonts w:ascii="Arial" w:hAnsi="Arial" w:cs="Arial"/>
                <w:iCs/>
                <w:sz w:val="20"/>
              </w:rPr>
            </w:pPr>
            <w:r w:rsidRPr="00E7015D">
              <w:rPr>
                <w:rFonts w:ascii="Arial" w:hAnsi="Arial" w:cs="Arial"/>
                <w:iCs/>
                <w:sz w:val="20"/>
              </w:rPr>
              <w:t>Decisions to approve a request for education reimbursement reside with the manager a</w:t>
            </w:r>
            <w:r w:rsidR="00473862">
              <w:rPr>
                <w:rFonts w:ascii="Arial" w:hAnsi="Arial" w:cs="Arial"/>
                <w:iCs/>
                <w:sz w:val="20"/>
              </w:rPr>
              <w:t>nd the Administrative Director.</w:t>
            </w:r>
            <w:r w:rsidRPr="00E7015D">
              <w:rPr>
                <w:rFonts w:ascii="Arial" w:hAnsi="Arial" w:cs="Arial"/>
                <w:iCs/>
                <w:sz w:val="20"/>
              </w:rPr>
              <w:t xml:space="preserve"> </w:t>
            </w:r>
            <w:r w:rsidR="006B53D0" w:rsidRPr="00E7015D">
              <w:rPr>
                <w:rFonts w:ascii="Arial" w:hAnsi="Arial" w:cs="Arial"/>
                <w:iCs/>
                <w:sz w:val="20"/>
              </w:rPr>
              <w:t>If a request is approve</w:t>
            </w:r>
            <w:r w:rsidR="0072647F">
              <w:rPr>
                <w:rFonts w:ascii="Arial" w:hAnsi="Arial" w:cs="Arial"/>
                <w:iCs/>
                <w:sz w:val="20"/>
              </w:rPr>
              <w:t>d</w:t>
            </w:r>
            <w:r w:rsidR="006B53D0" w:rsidRPr="00E7015D">
              <w:rPr>
                <w:rFonts w:ascii="Arial" w:hAnsi="Arial" w:cs="Arial"/>
                <w:iCs/>
                <w:sz w:val="20"/>
              </w:rPr>
              <w:t xml:space="preserve"> or denied the manager will provide a notification to the employee.</w:t>
            </w:r>
          </w:p>
          <w:p w:rsidR="002D019B" w:rsidRPr="002D019B" w:rsidRDefault="002D019B" w:rsidP="00473862">
            <w:pPr>
              <w:numPr>
                <w:ilvl w:val="0"/>
                <w:numId w:val="20"/>
              </w:numPr>
              <w:rPr>
                <w:rFonts w:ascii="Arial" w:hAnsi="Arial" w:cs="Arial"/>
                <w:iCs/>
                <w:sz w:val="20"/>
              </w:rPr>
            </w:pPr>
            <w:r w:rsidRPr="002D019B">
              <w:rPr>
                <w:rFonts w:ascii="Arial" w:hAnsi="Arial" w:cs="Arial"/>
                <w:iCs/>
                <w:sz w:val="20"/>
              </w:rPr>
              <w:t>Managers, supervisors</w:t>
            </w:r>
            <w:r w:rsidR="008A0900">
              <w:rPr>
                <w:rFonts w:ascii="Arial" w:hAnsi="Arial" w:cs="Arial"/>
                <w:iCs/>
                <w:sz w:val="20"/>
              </w:rPr>
              <w:t>,</w:t>
            </w:r>
            <w:r w:rsidRPr="002D019B">
              <w:rPr>
                <w:rFonts w:ascii="Arial" w:hAnsi="Arial" w:cs="Arial"/>
                <w:iCs/>
                <w:sz w:val="20"/>
              </w:rPr>
              <w:t xml:space="preserve"> education coordinator</w:t>
            </w:r>
            <w:r w:rsidR="008A0900">
              <w:rPr>
                <w:rFonts w:ascii="Arial" w:hAnsi="Arial" w:cs="Arial"/>
                <w:iCs/>
                <w:sz w:val="20"/>
              </w:rPr>
              <w:t xml:space="preserve"> and</w:t>
            </w:r>
            <w:r w:rsidRPr="002D019B">
              <w:rPr>
                <w:rFonts w:ascii="Arial" w:hAnsi="Arial" w:cs="Arial"/>
                <w:iCs/>
                <w:sz w:val="20"/>
              </w:rPr>
              <w:t xml:space="preserve"> </w:t>
            </w:r>
            <w:r w:rsidR="0077323E">
              <w:rPr>
                <w:rFonts w:ascii="Arial" w:hAnsi="Arial" w:cs="Arial"/>
                <w:iCs/>
                <w:sz w:val="20"/>
              </w:rPr>
              <w:t xml:space="preserve">technical specialists </w:t>
            </w:r>
            <w:r w:rsidRPr="002D019B">
              <w:rPr>
                <w:rFonts w:ascii="Arial" w:hAnsi="Arial" w:cs="Arial"/>
                <w:iCs/>
                <w:sz w:val="20"/>
              </w:rPr>
              <w:t>should be supportive of staff attendance at educational programs.  Responsibilities include, but are not limited to, circulating education program brochures and announcements, identifying and recommending education programs and opportunities, supporting bench coverage when appropriate, and scheduling and approving staff members’ requests.</w:t>
            </w:r>
          </w:p>
          <w:p w:rsidR="00F97659" w:rsidRDefault="00DD532D" w:rsidP="00473862">
            <w:pPr>
              <w:numPr>
                <w:ilvl w:val="0"/>
                <w:numId w:val="20"/>
              </w:numPr>
              <w:rPr>
                <w:rFonts w:ascii="Arial" w:hAnsi="Arial" w:cs="Arial"/>
                <w:iCs/>
                <w:sz w:val="20"/>
              </w:rPr>
            </w:pPr>
            <w:r w:rsidRPr="00DD532D">
              <w:rPr>
                <w:rFonts w:ascii="Arial" w:hAnsi="Arial" w:cs="Arial"/>
                <w:iCs/>
                <w:sz w:val="20"/>
              </w:rPr>
              <w:t xml:space="preserve">Employees receiving education reimbursements or paid educational leave are required to share educational materials with the department and should present informational summaries to their colleagues.  </w:t>
            </w:r>
          </w:p>
          <w:p w:rsidR="00F97659" w:rsidRPr="00F97659" w:rsidRDefault="004D286A" w:rsidP="00473862">
            <w:pPr>
              <w:numPr>
                <w:ilvl w:val="0"/>
                <w:numId w:val="32"/>
              </w:numPr>
              <w:rPr>
                <w:rFonts w:ascii="Arial" w:hAnsi="Arial" w:cs="Arial"/>
                <w:iCs/>
                <w:sz w:val="20"/>
              </w:rPr>
            </w:pPr>
            <w:r>
              <w:rPr>
                <w:rFonts w:ascii="Arial" w:hAnsi="Arial" w:cs="Arial"/>
                <w:iCs/>
                <w:sz w:val="20"/>
              </w:rPr>
              <w:t>For a full day</w:t>
            </w:r>
            <w:r w:rsidR="00DD532D" w:rsidRPr="00DD532D">
              <w:rPr>
                <w:rFonts w:ascii="Arial" w:hAnsi="Arial" w:cs="Arial"/>
                <w:iCs/>
                <w:sz w:val="20"/>
              </w:rPr>
              <w:t xml:space="preserve"> seminar attended</w:t>
            </w:r>
            <w:r w:rsidR="008E3CFA">
              <w:rPr>
                <w:rFonts w:ascii="Arial" w:hAnsi="Arial" w:cs="Arial"/>
                <w:iCs/>
                <w:sz w:val="20"/>
              </w:rPr>
              <w:t xml:space="preserve"> (or more)</w:t>
            </w:r>
            <w:r w:rsidR="00DD532D" w:rsidRPr="00DD532D">
              <w:rPr>
                <w:rFonts w:ascii="Arial" w:hAnsi="Arial" w:cs="Arial"/>
                <w:sz w:val="20"/>
              </w:rPr>
              <w:t xml:space="preserve"> </w:t>
            </w:r>
            <w:r w:rsidR="000978F9">
              <w:rPr>
                <w:rFonts w:ascii="Arial" w:hAnsi="Arial" w:cs="Arial"/>
                <w:sz w:val="20"/>
              </w:rPr>
              <w:t>a live, oral presentation at a continuing education session must be scheduled with the education co</w:t>
            </w:r>
            <w:r w:rsidR="00F97659">
              <w:rPr>
                <w:rFonts w:ascii="Arial" w:hAnsi="Arial" w:cs="Arial"/>
                <w:sz w:val="20"/>
              </w:rPr>
              <w:t>ordinator and completed within 3</w:t>
            </w:r>
            <w:r w:rsidR="000978F9">
              <w:rPr>
                <w:rFonts w:ascii="Arial" w:hAnsi="Arial" w:cs="Arial"/>
                <w:sz w:val="20"/>
              </w:rPr>
              <w:t xml:space="preserve"> months.  Should multiple staff members attend </w:t>
            </w:r>
            <w:r w:rsidR="008E3CFA">
              <w:rPr>
                <w:rFonts w:ascii="Arial" w:hAnsi="Arial" w:cs="Arial"/>
                <w:sz w:val="20"/>
              </w:rPr>
              <w:t>a seminar</w:t>
            </w:r>
            <w:r w:rsidR="000978F9">
              <w:rPr>
                <w:rFonts w:ascii="Arial" w:hAnsi="Arial" w:cs="Arial"/>
                <w:sz w:val="20"/>
              </w:rPr>
              <w:t>, a team presentation will be acceptable.</w:t>
            </w:r>
            <w:r w:rsidR="002A2322">
              <w:rPr>
                <w:rFonts w:ascii="Arial" w:hAnsi="Arial" w:cs="Arial"/>
                <w:sz w:val="20"/>
              </w:rPr>
              <w:t xml:space="preserve">  </w:t>
            </w:r>
          </w:p>
          <w:p w:rsidR="00F97659" w:rsidRPr="00F97659" w:rsidRDefault="002A2322" w:rsidP="00473862">
            <w:pPr>
              <w:numPr>
                <w:ilvl w:val="0"/>
                <w:numId w:val="32"/>
              </w:numPr>
              <w:rPr>
                <w:rFonts w:ascii="Arial" w:hAnsi="Arial" w:cs="Arial"/>
                <w:iCs/>
                <w:sz w:val="20"/>
              </w:rPr>
            </w:pPr>
            <w:r>
              <w:rPr>
                <w:rFonts w:ascii="Arial" w:hAnsi="Arial" w:cs="Arial"/>
                <w:sz w:val="20"/>
              </w:rPr>
              <w:t xml:space="preserve">A </w:t>
            </w:r>
            <w:r w:rsidR="006B53D0">
              <w:rPr>
                <w:rFonts w:ascii="Arial" w:hAnsi="Arial" w:cs="Arial"/>
                <w:sz w:val="20"/>
              </w:rPr>
              <w:t>copy or</w:t>
            </w:r>
            <w:r>
              <w:rPr>
                <w:rFonts w:ascii="Arial" w:hAnsi="Arial" w:cs="Arial"/>
                <w:sz w:val="20"/>
              </w:rPr>
              <w:t xml:space="preserve"> synopsis of the handouts plus a one-page summary of the seminar</w:t>
            </w:r>
            <w:r w:rsidR="008E3CFA">
              <w:rPr>
                <w:rFonts w:ascii="Arial" w:hAnsi="Arial" w:cs="Arial"/>
                <w:sz w:val="20"/>
              </w:rPr>
              <w:t>, with approval from the Education Coordinator,</w:t>
            </w:r>
            <w:r>
              <w:rPr>
                <w:rFonts w:ascii="Arial" w:hAnsi="Arial" w:cs="Arial"/>
                <w:sz w:val="20"/>
              </w:rPr>
              <w:t xml:space="preserve"> may be accepted</w:t>
            </w:r>
            <w:r w:rsidR="00F97659">
              <w:rPr>
                <w:rFonts w:ascii="Arial" w:hAnsi="Arial" w:cs="Arial"/>
                <w:sz w:val="20"/>
              </w:rPr>
              <w:t xml:space="preserve"> as a substitute for the oral</w:t>
            </w:r>
            <w:r>
              <w:rPr>
                <w:rFonts w:ascii="Arial" w:hAnsi="Arial" w:cs="Arial"/>
                <w:sz w:val="20"/>
              </w:rPr>
              <w:t xml:space="preserve"> requirements.  </w:t>
            </w:r>
          </w:p>
          <w:p w:rsidR="00FE6421" w:rsidRPr="002A2322" w:rsidRDefault="002A2322" w:rsidP="00473862">
            <w:pPr>
              <w:numPr>
                <w:ilvl w:val="0"/>
                <w:numId w:val="32"/>
              </w:numPr>
              <w:rPr>
                <w:rFonts w:ascii="Arial" w:hAnsi="Arial" w:cs="Arial"/>
                <w:iCs/>
                <w:sz w:val="20"/>
              </w:rPr>
            </w:pPr>
            <w:r>
              <w:rPr>
                <w:rFonts w:ascii="Arial" w:hAnsi="Arial" w:cs="Arial"/>
                <w:sz w:val="20"/>
              </w:rPr>
              <w:t>The certificate of completion must be submitted and oral presentation scheduled or written materials completed within 60 days of course completion.</w:t>
            </w:r>
          </w:p>
          <w:p w:rsidR="002A2322" w:rsidRDefault="002A2322" w:rsidP="00473862">
            <w:pPr>
              <w:rPr>
                <w:rFonts w:ascii="Arial" w:hAnsi="Arial" w:cs="Arial"/>
                <w:sz w:val="20"/>
              </w:rPr>
            </w:pPr>
          </w:p>
          <w:p w:rsidR="002A2322" w:rsidRPr="00132723" w:rsidRDefault="002A2322" w:rsidP="00473862">
            <w:pPr>
              <w:numPr>
                <w:ilvl w:val="0"/>
                <w:numId w:val="16"/>
              </w:numPr>
              <w:rPr>
                <w:rFonts w:ascii="Arial" w:hAnsi="Arial" w:cs="Arial"/>
                <w:iCs/>
                <w:sz w:val="20"/>
              </w:rPr>
            </w:pPr>
            <w:r>
              <w:rPr>
                <w:rFonts w:ascii="Arial" w:hAnsi="Arial" w:cs="Arial"/>
                <w:sz w:val="20"/>
              </w:rPr>
              <w:t>Fund Allocation</w:t>
            </w:r>
          </w:p>
          <w:p w:rsidR="00132723" w:rsidRPr="002A2322" w:rsidRDefault="00132723" w:rsidP="00473862">
            <w:pPr>
              <w:ind w:left="1080"/>
              <w:rPr>
                <w:rFonts w:ascii="Arial" w:hAnsi="Arial" w:cs="Arial"/>
                <w:iCs/>
                <w:sz w:val="20"/>
              </w:rPr>
            </w:pPr>
          </w:p>
          <w:p w:rsidR="002A2322" w:rsidRPr="00EC043B" w:rsidRDefault="002A2322" w:rsidP="00473862">
            <w:pPr>
              <w:numPr>
                <w:ilvl w:val="0"/>
                <w:numId w:val="21"/>
              </w:numPr>
              <w:rPr>
                <w:rFonts w:ascii="Arial" w:hAnsi="Arial" w:cs="Arial"/>
                <w:iCs/>
                <w:sz w:val="20"/>
              </w:rPr>
            </w:pPr>
            <w:r>
              <w:rPr>
                <w:rFonts w:ascii="Arial" w:hAnsi="Arial" w:cs="Arial"/>
                <w:sz w:val="20"/>
              </w:rPr>
              <w:t>The total laboratory education fund will be determined at the beginning of the year.  Fifty percent of the total fund may be allocated out</w:t>
            </w:r>
            <w:r w:rsidR="007D7082">
              <w:rPr>
                <w:rFonts w:ascii="Arial" w:hAnsi="Arial" w:cs="Arial"/>
                <w:sz w:val="20"/>
              </w:rPr>
              <w:t xml:space="preserve"> by June 30</w:t>
            </w:r>
            <w:r w:rsidR="007D7082" w:rsidRPr="007D7082">
              <w:rPr>
                <w:rFonts w:ascii="Arial" w:hAnsi="Arial" w:cs="Arial"/>
                <w:sz w:val="20"/>
                <w:vertAlign w:val="superscript"/>
              </w:rPr>
              <w:t>th</w:t>
            </w:r>
            <w:r w:rsidR="007D7082">
              <w:rPr>
                <w:rFonts w:ascii="Arial" w:hAnsi="Arial" w:cs="Arial"/>
                <w:sz w:val="20"/>
              </w:rPr>
              <w:t>.  The remaining fifty percent and any carry over will be reserved for requests after June 30</w:t>
            </w:r>
            <w:r w:rsidR="007D7082" w:rsidRPr="007D7082">
              <w:rPr>
                <w:rFonts w:ascii="Arial" w:hAnsi="Arial" w:cs="Arial"/>
                <w:sz w:val="20"/>
                <w:vertAlign w:val="superscript"/>
              </w:rPr>
              <w:t>th</w:t>
            </w:r>
            <w:r w:rsidR="007D7082">
              <w:rPr>
                <w:rFonts w:ascii="Arial" w:hAnsi="Arial" w:cs="Arial"/>
                <w:sz w:val="20"/>
              </w:rPr>
              <w:t>.</w:t>
            </w:r>
          </w:p>
          <w:p w:rsidR="00EC043B" w:rsidRPr="00EC043B" w:rsidRDefault="00EC043B" w:rsidP="00473862">
            <w:pPr>
              <w:numPr>
                <w:ilvl w:val="0"/>
                <w:numId w:val="21"/>
              </w:numPr>
              <w:rPr>
                <w:rFonts w:ascii="Arial" w:hAnsi="Arial" w:cs="Arial"/>
                <w:iCs/>
                <w:sz w:val="20"/>
              </w:rPr>
            </w:pPr>
            <w:r>
              <w:rPr>
                <w:rFonts w:ascii="Arial" w:hAnsi="Arial" w:cs="Arial"/>
                <w:sz w:val="20"/>
              </w:rPr>
              <w:t>Funds sources are obtained from:</w:t>
            </w:r>
          </w:p>
          <w:p w:rsidR="00EC043B" w:rsidRPr="00EC043B" w:rsidRDefault="00EC043B" w:rsidP="00473862">
            <w:pPr>
              <w:numPr>
                <w:ilvl w:val="0"/>
                <w:numId w:val="30"/>
              </w:numPr>
              <w:rPr>
                <w:rFonts w:ascii="Arial" w:hAnsi="Arial" w:cs="Arial"/>
                <w:iCs/>
                <w:sz w:val="20"/>
              </w:rPr>
            </w:pPr>
            <w:r>
              <w:rPr>
                <w:rFonts w:ascii="Arial" w:hAnsi="Arial" w:cs="Arial"/>
                <w:sz w:val="20"/>
              </w:rPr>
              <w:t xml:space="preserve">Dr. Jarvis Lab Education Endowment; Annual interest from this fund is provided to the laboratory for educational use. </w:t>
            </w:r>
          </w:p>
          <w:p w:rsidR="00EC043B" w:rsidRPr="00A17820" w:rsidRDefault="00EC043B" w:rsidP="00473862">
            <w:pPr>
              <w:numPr>
                <w:ilvl w:val="0"/>
                <w:numId w:val="30"/>
              </w:numPr>
              <w:rPr>
                <w:rFonts w:ascii="Arial" w:hAnsi="Arial" w:cs="Arial"/>
                <w:iCs/>
                <w:sz w:val="20"/>
              </w:rPr>
            </w:pPr>
            <w:r>
              <w:rPr>
                <w:rFonts w:ascii="Arial" w:hAnsi="Arial" w:cs="Arial"/>
                <w:sz w:val="20"/>
              </w:rPr>
              <w:t>Laboratory Education Fund; Funds are provided through the employee giving campaign and/or direct donations from employees</w:t>
            </w:r>
          </w:p>
          <w:p w:rsidR="00A17820" w:rsidRPr="007D63AA" w:rsidRDefault="00A17820" w:rsidP="00473862">
            <w:pPr>
              <w:numPr>
                <w:ilvl w:val="0"/>
                <w:numId w:val="30"/>
              </w:numPr>
              <w:rPr>
                <w:rFonts w:ascii="Arial" w:hAnsi="Arial" w:cs="Arial"/>
                <w:iCs/>
                <w:sz w:val="20"/>
              </w:rPr>
            </w:pPr>
            <w:r>
              <w:rPr>
                <w:rFonts w:ascii="Arial" w:hAnsi="Arial" w:cs="Arial"/>
                <w:sz w:val="20"/>
              </w:rPr>
              <w:t>Laboratory Operational Budget; Funds are budgeted and approved annually</w:t>
            </w:r>
          </w:p>
          <w:p w:rsidR="007D63AA" w:rsidRPr="007D63AA" w:rsidRDefault="007D63AA" w:rsidP="00473862">
            <w:pPr>
              <w:ind w:left="1800"/>
              <w:rPr>
                <w:rFonts w:ascii="Arial" w:hAnsi="Arial" w:cs="Arial"/>
                <w:iCs/>
                <w:sz w:val="20"/>
              </w:rPr>
            </w:pPr>
          </w:p>
          <w:p w:rsidR="007D63AA" w:rsidRPr="00132723" w:rsidRDefault="007D63AA" w:rsidP="00473862">
            <w:pPr>
              <w:numPr>
                <w:ilvl w:val="0"/>
                <w:numId w:val="16"/>
              </w:numPr>
              <w:rPr>
                <w:rFonts w:ascii="Arial" w:hAnsi="Arial" w:cs="Arial"/>
                <w:iCs/>
                <w:sz w:val="20"/>
              </w:rPr>
            </w:pPr>
            <w:r>
              <w:rPr>
                <w:rFonts w:ascii="Arial" w:hAnsi="Arial" w:cs="Arial"/>
                <w:sz w:val="20"/>
              </w:rPr>
              <w:t>Approval Process</w:t>
            </w:r>
          </w:p>
          <w:p w:rsidR="00132723" w:rsidRPr="007D63AA" w:rsidRDefault="00132723" w:rsidP="00473862">
            <w:pPr>
              <w:ind w:left="1080"/>
              <w:rPr>
                <w:rFonts w:ascii="Arial" w:hAnsi="Arial" w:cs="Arial"/>
                <w:iCs/>
                <w:sz w:val="20"/>
              </w:rPr>
            </w:pPr>
          </w:p>
          <w:p w:rsidR="007D63AA" w:rsidRPr="00BE4B74" w:rsidRDefault="007D63AA" w:rsidP="00473862">
            <w:pPr>
              <w:numPr>
                <w:ilvl w:val="0"/>
                <w:numId w:val="24"/>
              </w:numPr>
              <w:rPr>
                <w:rFonts w:ascii="Arial" w:hAnsi="Arial" w:cs="Arial"/>
                <w:iCs/>
                <w:sz w:val="20"/>
              </w:rPr>
            </w:pPr>
            <w:r w:rsidRPr="00BE4B74">
              <w:rPr>
                <w:rFonts w:ascii="Arial" w:hAnsi="Arial" w:cs="Arial"/>
                <w:sz w:val="20"/>
              </w:rPr>
              <w:t xml:space="preserve">The following criteria </w:t>
            </w:r>
            <w:r w:rsidR="009B3B94" w:rsidRPr="00BE4B74">
              <w:rPr>
                <w:rFonts w:ascii="Arial" w:hAnsi="Arial" w:cs="Arial"/>
                <w:sz w:val="20"/>
              </w:rPr>
              <w:t xml:space="preserve">will </w:t>
            </w:r>
            <w:r w:rsidRPr="00BE4B74">
              <w:rPr>
                <w:rFonts w:ascii="Arial" w:hAnsi="Arial" w:cs="Arial"/>
                <w:sz w:val="20"/>
              </w:rPr>
              <w:t>be used when approving requests:</w:t>
            </w:r>
          </w:p>
          <w:p w:rsidR="007D63AA" w:rsidRPr="00BE4B74" w:rsidRDefault="001C2C2C" w:rsidP="00473862">
            <w:pPr>
              <w:numPr>
                <w:ilvl w:val="0"/>
                <w:numId w:val="25"/>
              </w:numPr>
              <w:rPr>
                <w:rFonts w:ascii="Arial" w:hAnsi="Arial" w:cs="Arial"/>
                <w:iCs/>
                <w:sz w:val="20"/>
              </w:rPr>
            </w:pPr>
            <w:r w:rsidRPr="00BE4B74">
              <w:rPr>
                <w:rFonts w:ascii="Arial" w:hAnsi="Arial" w:cs="Arial"/>
                <w:sz w:val="20"/>
              </w:rPr>
              <w:t>Numb</w:t>
            </w:r>
            <w:r w:rsidR="000B2B3E">
              <w:rPr>
                <w:rFonts w:ascii="Arial" w:hAnsi="Arial" w:cs="Arial"/>
                <w:sz w:val="20"/>
              </w:rPr>
              <w:t>er of eligible applications</w:t>
            </w:r>
          </w:p>
          <w:p w:rsidR="001B5DDB" w:rsidRPr="00BE4B74" w:rsidRDefault="000B2B3E" w:rsidP="00473862">
            <w:pPr>
              <w:numPr>
                <w:ilvl w:val="0"/>
                <w:numId w:val="25"/>
              </w:numPr>
              <w:rPr>
                <w:rFonts w:ascii="Arial" w:hAnsi="Arial" w:cs="Arial"/>
                <w:iCs/>
                <w:sz w:val="20"/>
              </w:rPr>
            </w:pPr>
            <w:r>
              <w:rPr>
                <w:rFonts w:ascii="Arial" w:hAnsi="Arial" w:cs="Arial"/>
                <w:sz w:val="20"/>
              </w:rPr>
              <w:t>Available funds</w:t>
            </w:r>
          </w:p>
          <w:p w:rsidR="00AD2988" w:rsidRPr="005C6495" w:rsidRDefault="000B2B3E" w:rsidP="00473862">
            <w:pPr>
              <w:numPr>
                <w:ilvl w:val="0"/>
                <w:numId w:val="25"/>
              </w:numPr>
              <w:rPr>
                <w:rFonts w:ascii="Arial" w:hAnsi="Arial" w:cs="Arial"/>
                <w:iCs/>
                <w:sz w:val="20"/>
              </w:rPr>
            </w:pPr>
            <w:r>
              <w:rPr>
                <w:rFonts w:ascii="Arial" w:hAnsi="Arial" w:cs="Arial"/>
                <w:sz w:val="20"/>
              </w:rPr>
              <w:t xml:space="preserve">Course quality and content. </w:t>
            </w:r>
          </w:p>
          <w:p w:rsidR="007D63AA" w:rsidRPr="007B1A3D" w:rsidRDefault="000B2B3E" w:rsidP="007B1A3D">
            <w:pPr>
              <w:numPr>
                <w:ilvl w:val="0"/>
                <w:numId w:val="25"/>
              </w:numPr>
              <w:rPr>
                <w:rFonts w:ascii="Arial" w:hAnsi="Arial" w:cs="Arial"/>
                <w:iCs/>
                <w:sz w:val="20"/>
              </w:rPr>
            </w:pPr>
            <w:r>
              <w:rPr>
                <w:rFonts w:ascii="Arial" w:hAnsi="Arial" w:cs="Arial"/>
                <w:sz w:val="20"/>
              </w:rPr>
              <w:t>Relevance of educational program to applicant’s work assignment</w:t>
            </w:r>
          </w:p>
          <w:p w:rsidR="007D63AA" w:rsidRPr="00BE4B74" w:rsidRDefault="000B2B3E" w:rsidP="00473862">
            <w:pPr>
              <w:numPr>
                <w:ilvl w:val="0"/>
                <w:numId w:val="25"/>
              </w:numPr>
              <w:rPr>
                <w:rFonts w:ascii="Arial" w:hAnsi="Arial" w:cs="Arial"/>
                <w:iCs/>
                <w:sz w:val="20"/>
              </w:rPr>
            </w:pPr>
            <w:r>
              <w:rPr>
                <w:rFonts w:ascii="Arial" w:hAnsi="Arial" w:cs="Arial"/>
                <w:sz w:val="20"/>
              </w:rPr>
              <w:t>Availability of less expensive education alternatives, such as participation by telephone or video conferencing and the availability of local substitutes.</w:t>
            </w:r>
          </w:p>
          <w:p w:rsidR="007D63AA" w:rsidRPr="006704F9" w:rsidRDefault="00AD2988" w:rsidP="00473862">
            <w:pPr>
              <w:numPr>
                <w:ilvl w:val="0"/>
                <w:numId w:val="25"/>
              </w:numPr>
              <w:rPr>
                <w:rFonts w:ascii="Arial" w:hAnsi="Arial" w:cs="Arial"/>
                <w:iCs/>
                <w:sz w:val="20"/>
              </w:rPr>
            </w:pPr>
            <w:r>
              <w:rPr>
                <w:rFonts w:ascii="Arial" w:hAnsi="Arial" w:cs="Arial"/>
                <w:sz w:val="20"/>
              </w:rPr>
              <w:t>Applicant’s</w:t>
            </w:r>
            <w:r w:rsidR="000B2B3E" w:rsidRPr="006704F9">
              <w:rPr>
                <w:rFonts w:ascii="Arial" w:hAnsi="Arial" w:cs="Arial"/>
                <w:sz w:val="20"/>
              </w:rPr>
              <w:t xml:space="preserve"> eligibi</w:t>
            </w:r>
            <w:r>
              <w:rPr>
                <w:rFonts w:ascii="Arial" w:hAnsi="Arial" w:cs="Arial"/>
                <w:sz w:val="20"/>
              </w:rPr>
              <w:t>li</w:t>
            </w:r>
            <w:r w:rsidR="000B2B3E" w:rsidRPr="006704F9">
              <w:rPr>
                <w:rFonts w:ascii="Arial" w:hAnsi="Arial" w:cs="Arial"/>
                <w:sz w:val="20"/>
              </w:rPr>
              <w:t>ty</w:t>
            </w:r>
            <w:r>
              <w:rPr>
                <w:rFonts w:ascii="Arial" w:hAnsi="Arial" w:cs="Arial"/>
                <w:sz w:val="20"/>
              </w:rPr>
              <w:t>.</w:t>
            </w:r>
          </w:p>
          <w:p w:rsidR="00BE4B74" w:rsidRPr="007B1A3D" w:rsidRDefault="00BE4B74" w:rsidP="00BE4B74">
            <w:pPr>
              <w:numPr>
                <w:ilvl w:val="0"/>
                <w:numId w:val="25"/>
              </w:numPr>
              <w:rPr>
                <w:rFonts w:ascii="Arial" w:hAnsi="Arial" w:cs="Arial"/>
                <w:iCs/>
                <w:sz w:val="20"/>
              </w:rPr>
            </w:pPr>
            <w:r>
              <w:rPr>
                <w:rFonts w:ascii="Arial" w:hAnsi="Arial" w:cs="Arial"/>
                <w:sz w:val="20"/>
              </w:rPr>
              <w:t>I</w:t>
            </w:r>
            <w:r w:rsidRPr="00A34097">
              <w:rPr>
                <w:rFonts w:ascii="Arial" w:hAnsi="Arial" w:cs="Arial"/>
                <w:sz w:val="20"/>
              </w:rPr>
              <w:t>mpact of the applicant’s absence on staffing</w:t>
            </w:r>
            <w:r>
              <w:rPr>
                <w:rFonts w:ascii="Arial" w:hAnsi="Arial" w:cs="Arial"/>
                <w:sz w:val="20"/>
              </w:rPr>
              <w:t>.</w:t>
            </w:r>
          </w:p>
          <w:p w:rsidR="007B1A3D" w:rsidRPr="00A34097" w:rsidRDefault="007B1A3D" w:rsidP="007B1A3D">
            <w:pPr>
              <w:ind w:left="1800"/>
              <w:rPr>
                <w:rFonts w:ascii="Arial" w:hAnsi="Arial" w:cs="Arial"/>
                <w:iCs/>
                <w:sz w:val="20"/>
              </w:rPr>
            </w:pPr>
          </w:p>
          <w:p w:rsidR="00BE4B74" w:rsidRPr="00BE4B74" w:rsidRDefault="00BE4B74" w:rsidP="00BE4B74">
            <w:pPr>
              <w:pStyle w:val="ListParagraph"/>
              <w:numPr>
                <w:ilvl w:val="0"/>
                <w:numId w:val="24"/>
              </w:numPr>
              <w:rPr>
                <w:rFonts w:ascii="Arial" w:hAnsi="Arial" w:cs="Arial"/>
                <w:iCs/>
                <w:sz w:val="20"/>
              </w:rPr>
            </w:pPr>
            <w:r w:rsidRPr="00BE4B74">
              <w:rPr>
                <w:rFonts w:ascii="Arial" w:hAnsi="Arial" w:cs="Arial"/>
                <w:sz w:val="20"/>
              </w:rPr>
              <w:t>Indicate the reimbursement funds used during the current fiscal year to determine maximum allowance available.</w:t>
            </w:r>
          </w:p>
          <w:p w:rsidR="00856429" w:rsidRDefault="00751A4E">
            <w:pPr>
              <w:pStyle w:val="ListParagraph"/>
              <w:numPr>
                <w:ilvl w:val="0"/>
                <w:numId w:val="24"/>
              </w:numPr>
              <w:rPr>
                <w:rFonts w:ascii="Arial" w:hAnsi="Arial" w:cs="Arial"/>
                <w:iCs/>
                <w:sz w:val="20"/>
              </w:rPr>
            </w:pPr>
            <w:r w:rsidRPr="00751A4E">
              <w:rPr>
                <w:rFonts w:ascii="Arial" w:hAnsi="Arial" w:cs="Arial"/>
                <w:sz w:val="20"/>
              </w:rPr>
              <w:t>If request is approved or denied, notification will be given to the requestor.</w:t>
            </w:r>
          </w:p>
          <w:p w:rsidR="00A34097" w:rsidRDefault="00A34097" w:rsidP="00473862">
            <w:pPr>
              <w:ind w:left="1800"/>
              <w:rPr>
                <w:rFonts w:ascii="Arial" w:hAnsi="Arial" w:cs="Arial"/>
                <w:iCs/>
                <w:sz w:val="20"/>
              </w:rPr>
            </w:pPr>
          </w:p>
          <w:p w:rsidR="005F2E7C" w:rsidRPr="00303B2E" w:rsidRDefault="005F2E7C" w:rsidP="00473862">
            <w:pPr>
              <w:ind w:left="1800"/>
              <w:rPr>
                <w:rFonts w:ascii="Arial" w:hAnsi="Arial" w:cs="Arial"/>
                <w:iCs/>
                <w:sz w:val="20"/>
              </w:rPr>
            </w:pPr>
          </w:p>
        </w:tc>
      </w:tr>
      <w:tr w:rsidR="00FE642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FE6421" w:rsidRDefault="00FE6421">
            <w:pPr>
              <w:rPr>
                <w:rFonts w:ascii="Arial" w:hAnsi="Arial" w:cs="Arial"/>
                <w:b/>
                <w:bCs/>
                <w:color w:val="0000FF"/>
              </w:rPr>
            </w:pPr>
          </w:p>
          <w:p w:rsidR="00FE6421" w:rsidRDefault="00473862">
            <w:pPr>
              <w:rPr>
                <w:rFonts w:ascii="Arial" w:hAnsi="Arial" w:cs="Arial"/>
                <w:b/>
                <w:bCs/>
                <w:color w:val="0000FF"/>
              </w:rPr>
            </w:pPr>
            <w:r>
              <w:rPr>
                <w:rFonts w:ascii="Arial" w:hAnsi="Arial" w:cs="Arial"/>
                <w:b/>
                <w:bCs/>
                <w:color w:val="0000FF"/>
              </w:rPr>
              <w:t>Procedure</w:t>
            </w:r>
          </w:p>
        </w:tc>
        <w:tc>
          <w:tcPr>
            <w:tcW w:w="9000" w:type="dxa"/>
            <w:gridSpan w:val="4"/>
            <w:tcBorders>
              <w:top w:val="single" w:sz="4" w:space="0" w:color="auto"/>
              <w:left w:val="nil"/>
              <w:bottom w:val="single" w:sz="4" w:space="0" w:color="auto"/>
              <w:right w:val="nil"/>
            </w:tcBorders>
          </w:tcPr>
          <w:p w:rsidR="00473862" w:rsidRPr="00473862" w:rsidRDefault="00473862" w:rsidP="00473862">
            <w:pPr>
              <w:ind w:left="360"/>
              <w:jc w:val="left"/>
              <w:rPr>
                <w:rFonts w:ascii="Arial" w:hAnsi="Arial" w:cs="Arial"/>
                <w:iCs/>
                <w:sz w:val="20"/>
              </w:rPr>
            </w:pPr>
          </w:p>
          <w:p w:rsidR="003749C1" w:rsidRPr="00132723" w:rsidRDefault="003749C1" w:rsidP="00697E33">
            <w:pPr>
              <w:numPr>
                <w:ilvl w:val="0"/>
                <w:numId w:val="34"/>
              </w:numPr>
              <w:jc w:val="left"/>
              <w:rPr>
                <w:rFonts w:ascii="Arial" w:hAnsi="Arial" w:cs="Arial"/>
                <w:iCs/>
                <w:sz w:val="20"/>
              </w:rPr>
            </w:pPr>
            <w:r>
              <w:rPr>
                <w:rFonts w:ascii="Arial" w:hAnsi="Arial" w:cs="Arial"/>
                <w:sz w:val="20"/>
              </w:rPr>
              <w:t>Request Procedure</w:t>
            </w:r>
          </w:p>
          <w:p w:rsidR="00132723" w:rsidRPr="003749C1" w:rsidRDefault="00132723" w:rsidP="00132723">
            <w:pPr>
              <w:ind w:left="1080"/>
              <w:jc w:val="left"/>
              <w:rPr>
                <w:rFonts w:ascii="Arial" w:hAnsi="Arial" w:cs="Arial"/>
                <w:iCs/>
                <w:sz w:val="20"/>
              </w:rPr>
            </w:pPr>
          </w:p>
          <w:p w:rsidR="003749C1" w:rsidRPr="00697E33" w:rsidRDefault="003749C1" w:rsidP="00697E33">
            <w:pPr>
              <w:pStyle w:val="ListParagraph"/>
              <w:numPr>
                <w:ilvl w:val="0"/>
                <w:numId w:val="35"/>
              </w:numPr>
              <w:jc w:val="left"/>
              <w:rPr>
                <w:rFonts w:ascii="Arial" w:hAnsi="Arial" w:cs="Arial"/>
                <w:iCs/>
                <w:sz w:val="20"/>
              </w:rPr>
            </w:pPr>
            <w:r w:rsidRPr="00697E33">
              <w:rPr>
                <w:rFonts w:ascii="Arial" w:hAnsi="Arial" w:cs="Arial"/>
                <w:sz w:val="20"/>
              </w:rPr>
              <w:t>Complete the Education Reimbursement Request Form</w:t>
            </w:r>
          </w:p>
          <w:p w:rsidR="003749C1" w:rsidRPr="00303B2E" w:rsidRDefault="003749C1" w:rsidP="00697E33">
            <w:pPr>
              <w:numPr>
                <w:ilvl w:val="0"/>
                <w:numId w:val="35"/>
              </w:numPr>
              <w:jc w:val="left"/>
              <w:rPr>
                <w:rFonts w:ascii="Arial" w:hAnsi="Arial" w:cs="Arial"/>
                <w:iCs/>
                <w:sz w:val="20"/>
              </w:rPr>
            </w:pPr>
            <w:r>
              <w:rPr>
                <w:rFonts w:ascii="Arial" w:hAnsi="Arial" w:cs="Arial"/>
                <w:sz w:val="20"/>
              </w:rPr>
              <w:t>Attach a copy of the brochure, announcement or descriptions and fee schedules of the sessions to be attended.</w:t>
            </w:r>
          </w:p>
          <w:p w:rsidR="003749C1" w:rsidRPr="003749C1" w:rsidRDefault="003749C1" w:rsidP="00697E33">
            <w:pPr>
              <w:numPr>
                <w:ilvl w:val="0"/>
                <w:numId w:val="35"/>
              </w:numPr>
              <w:jc w:val="left"/>
              <w:rPr>
                <w:rFonts w:ascii="Arial" w:hAnsi="Arial" w:cs="Arial"/>
                <w:iCs/>
                <w:sz w:val="20"/>
              </w:rPr>
            </w:pPr>
            <w:r>
              <w:rPr>
                <w:rFonts w:ascii="Arial" w:hAnsi="Arial" w:cs="Arial"/>
                <w:sz w:val="20"/>
              </w:rPr>
              <w:t>Submit request form and supporting documents to th</w:t>
            </w:r>
            <w:r w:rsidR="00B64E6A">
              <w:rPr>
                <w:rFonts w:ascii="Arial" w:hAnsi="Arial" w:cs="Arial"/>
                <w:sz w:val="20"/>
              </w:rPr>
              <w:t>e manager.  The manager will</w:t>
            </w:r>
            <w:r>
              <w:rPr>
                <w:rFonts w:ascii="Arial" w:hAnsi="Arial" w:cs="Arial"/>
                <w:sz w:val="20"/>
              </w:rPr>
              <w:t xml:space="preserve"> pass the request form to the Administrative Director for further approval.</w:t>
            </w:r>
            <w:r>
              <w:rPr>
                <w:rFonts w:ascii="Arial" w:hAnsi="Arial" w:cs="Arial"/>
                <w:iCs/>
                <w:sz w:val="20"/>
              </w:rPr>
              <w:t xml:space="preserve"> </w:t>
            </w:r>
          </w:p>
          <w:p w:rsidR="003749C1" w:rsidRDefault="003749C1" w:rsidP="003749C1">
            <w:pPr>
              <w:jc w:val="left"/>
              <w:rPr>
                <w:rFonts w:ascii="Arial" w:hAnsi="Arial" w:cs="Arial"/>
                <w:sz w:val="20"/>
              </w:rPr>
            </w:pPr>
          </w:p>
          <w:p w:rsidR="003749C1" w:rsidRPr="00132723" w:rsidRDefault="003749C1" w:rsidP="00697E33">
            <w:pPr>
              <w:numPr>
                <w:ilvl w:val="0"/>
                <w:numId w:val="34"/>
              </w:numPr>
              <w:jc w:val="left"/>
              <w:rPr>
                <w:rFonts w:ascii="Arial" w:hAnsi="Arial" w:cs="Arial"/>
                <w:iCs/>
                <w:sz w:val="20"/>
              </w:rPr>
            </w:pPr>
            <w:r>
              <w:rPr>
                <w:rFonts w:ascii="Arial" w:hAnsi="Arial" w:cs="Arial"/>
                <w:sz w:val="20"/>
              </w:rPr>
              <w:t>Reimbursements</w:t>
            </w:r>
          </w:p>
          <w:p w:rsidR="00132723" w:rsidRPr="007D7082" w:rsidRDefault="00132723" w:rsidP="00132723">
            <w:pPr>
              <w:ind w:left="1080"/>
              <w:jc w:val="left"/>
              <w:rPr>
                <w:rFonts w:ascii="Arial" w:hAnsi="Arial" w:cs="Arial"/>
                <w:iCs/>
                <w:sz w:val="20"/>
              </w:rPr>
            </w:pPr>
          </w:p>
          <w:p w:rsidR="003749C1" w:rsidRPr="007D7082" w:rsidRDefault="003749C1" w:rsidP="003749C1">
            <w:pPr>
              <w:numPr>
                <w:ilvl w:val="0"/>
                <w:numId w:val="22"/>
              </w:numPr>
              <w:jc w:val="left"/>
              <w:rPr>
                <w:rFonts w:ascii="Arial" w:hAnsi="Arial" w:cs="Arial"/>
                <w:iCs/>
                <w:sz w:val="20"/>
              </w:rPr>
            </w:pPr>
            <w:r>
              <w:rPr>
                <w:rFonts w:ascii="Arial" w:hAnsi="Arial" w:cs="Arial"/>
                <w:sz w:val="20"/>
              </w:rPr>
              <w:t>Eligible employees may receive reimbursement for travel, lodging, meals and miscellaneous expenses related to pre-approved educational activities.  .</w:t>
            </w:r>
          </w:p>
          <w:p w:rsidR="003749C1" w:rsidRPr="003749C1" w:rsidRDefault="003749C1" w:rsidP="003749C1">
            <w:pPr>
              <w:numPr>
                <w:ilvl w:val="0"/>
                <w:numId w:val="22"/>
              </w:numPr>
              <w:jc w:val="left"/>
              <w:rPr>
                <w:rFonts w:ascii="Arial" w:hAnsi="Arial" w:cs="Arial"/>
                <w:iCs/>
                <w:sz w:val="20"/>
              </w:rPr>
            </w:pPr>
            <w:r>
              <w:rPr>
                <w:rFonts w:ascii="Arial" w:hAnsi="Arial" w:cs="Arial"/>
                <w:sz w:val="20"/>
              </w:rPr>
              <w:t>Any employee asked to present at scientific events and/or for special circumstances, as identified by a manager and approved by the director, may also receive reimbursement for the expenses associated with participation.</w:t>
            </w:r>
          </w:p>
          <w:p w:rsidR="003749C1" w:rsidRPr="003749C1" w:rsidRDefault="003749C1" w:rsidP="003749C1">
            <w:pPr>
              <w:numPr>
                <w:ilvl w:val="0"/>
                <w:numId w:val="22"/>
              </w:numPr>
              <w:jc w:val="left"/>
              <w:rPr>
                <w:rFonts w:ascii="Arial" w:hAnsi="Arial" w:cs="Arial"/>
                <w:iCs/>
                <w:sz w:val="20"/>
              </w:rPr>
            </w:pPr>
            <w:r w:rsidRPr="00EC043B">
              <w:rPr>
                <w:rFonts w:ascii="Arial" w:hAnsi="Arial" w:cs="Arial"/>
                <w:sz w:val="20"/>
              </w:rPr>
              <w:t>Travel and per diem expenses are subject to the maximum allowances established by the hospital policy 1404.09 (</w:t>
            </w:r>
            <w:hyperlink r:id="rId8" w:history="1">
              <w:r w:rsidR="00AB74AA" w:rsidRPr="00AB74AA">
                <w:rPr>
                  <w:rStyle w:val="Hyperlink"/>
                </w:rPr>
                <w:t>Children’s of Minnesota, Reimbursement – Travel/Business Policy</w:t>
              </w:r>
            </w:hyperlink>
            <w:r w:rsidRPr="00EC043B">
              <w:rPr>
                <w:rFonts w:ascii="Arial" w:hAnsi="Arial" w:cs="Arial"/>
                <w:sz w:val="20"/>
              </w:rPr>
              <w:t>)</w:t>
            </w:r>
          </w:p>
          <w:p w:rsidR="00A34097" w:rsidRDefault="00A34097" w:rsidP="005B2081">
            <w:pPr>
              <w:jc w:val="left"/>
              <w:rPr>
                <w:rFonts w:ascii="Arial" w:hAnsi="Arial" w:cs="Arial"/>
                <w:sz w:val="20"/>
              </w:rPr>
            </w:pPr>
          </w:p>
          <w:p w:rsidR="005B2081" w:rsidRPr="00132723" w:rsidRDefault="005B2081" w:rsidP="00697E33">
            <w:pPr>
              <w:numPr>
                <w:ilvl w:val="0"/>
                <w:numId w:val="34"/>
              </w:numPr>
              <w:jc w:val="left"/>
              <w:rPr>
                <w:rFonts w:ascii="Arial" w:hAnsi="Arial" w:cs="Arial"/>
                <w:iCs/>
                <w:sz w:val="20"/>
              </w:rPr>
            </w:pPr>
            <w:r>
              <w:rPr>
                <w:rFonts w:ascii="Arial" w:hAnsi="Arial" w:cs="Arial"/>
                <w:sz w:val="20"/>
              </w:rPr>
              <w:t>Submission of Evidence of Completion</w:t>
            </w:r>
          </w:p>
          <w:p w:rsidR="00132723" w:rsidRPr="005B2081" w:rsidRDefault="00132723" w:rsidP="00132723">
            <w:pPr>
              <w:ind w:left="1080"/>
              <w:jc w:val="left"/>
              <w:rPr>
                <w:rFonts w:ascii="Arial" w:hAnsi="Arial" w:cs="Arial"/>
                <w:iCs/>
                <w:sz w:val="20"/>
              </w:rPr>
            </w:pPr>
          </w:p>
          <w:p w:rsidR="00A34097" w:rsidRPr="00430421" w:rsidRDefault="005B2081" w:rsidP="005B2081">
            <w:pPr>
              <w:numPr>
                <w:ilvl w:val="0"/>
                <w:numId w:val="27"/>
              </w:numPr>
              <w:jc w:val="left"/>
              <w:rPr>
                <w:rFonts w:ascii="Arial" w:hAnsi="Arial" w:cs="Arial"/>
                <w:iCs/>
                <w:sz w:val="20"/>
              </w:rPr>
            </w:pPr>
            <w:r>
              <w:rPr>
                <w:rFonts w:ascii="Arial" w:hAnsi="Arial" w:cs="Arial"/>
                <w:sz w:val="20"/>
              </w:rPr>
              <w:t xml:space="preserve">Within sixty (60) days of completion of the education activity, the employee must </w:t>
            </w:r>
            <w:r w:rsidR="00430421">
              <w:rPr>
                <w:rFonts w:ascii="Arial" w:hAnsi="Arial" w:cs="Arial"/>
                <w:sz w:val="20"/>
              </w:rPr>
              <w:t>submit to the manager:</w:t>
            </w:r>
          </w:p>
          <w:p w:rsidR="005B2081" w:rsidRPr="00430421" w:rsidRDefault="00430421" w:rsidP="00430421">
            <w:pPr>
              <w:numPr>
                <w:ilvl w:val="0"/>
                <w:numId w:val="33"/>
              </w:numPr>
              <w:jc w:val="left"/>
              <w:rPr>
                <w:rFonts w:ascii="Arial" w:hAnsi="Arial" w:cs="Arial"/>
                <w:iCs/>
                <w:sz w:val="20"/>
              </w:rPr>
            </w:pPr>
            <w:r>
              <w:rPr>
                <w:rFonts w:ascii="Arial" w:hAnsi="Arial" w:cs="Arial"/>
                <w:sz w:val="20"/>
              </w:rPr>
              <w:t>P</w:t>
            </w:r>
            <w:r w:rsidR="005B2081" w:rsidRPr="00430421">
              <w:rPr>
                <w:rFonts w:ascii="Arial" w:hAnsi="Arial" w:cs="Arial"/>
                <w:sz w:val="20"/>
              </w:rPr>
              <w:t>roof of payment for registration fees, schedule</w:t>
            </w:r>
            <w:r>
              <w:rPr>
                <w:rFonts w:ascii="Arial" w:hAnsi="Arial" w:cs="Arial"/>
                <w:sz w:val="20"/>
              </w:rPr>
              <w:t>d date for the</w:t>
            </w:r>
            <w:r w:rsidR="005B2081" w:rsidRPr="00430421">
              <w:rPr>
                <w:rFonts w:ascii="Arial" w:hAnsi="Arial" w:cs="Arial"/>
                <w:sz w:val="20"/>
              </w:rPr>
              <w:t xml:space="preserve"> oral presentation with the education coordinator or written synopsis completed and certificate of attendance to the employee’s manager.</w:t>
            </w:r>
          </w:p>
          <w:p w:rsidR="005B2081" w:rsidRPr="00430421" w:rsidRDefault="005B2081" w:rsidP="00430421">
            <w:pPr>
              <w:numPr>
                <w:ilvl w:val="0"/>
                <w:numId w:val="33"/>
              </w:numPr>
              <w:jc w:val="left"/>
              <w:rPr>
                <w:rFonts w:ascii="Arial" w:hAnsi="Arial" w:cs="Arial"/>
                <w:iCs/>
                <w:sz w:val="20"/>
              </w:rPr>
            </w:pPr>
            <w:r w:rsidRPr="00430421">
              <w:rPr>
                <w:rFonts w:ascii="Arial" w:hAnsi="Arial" w:cs="Arial"/>
                <w:sz w:val="20"/>
              </w:rPr>
              <w:t xml:space="preserve">Also within sixty (60) days, a daily travel log including receipts for travel and per diem </w:t>
            </w:r>
            <w:r w:rsidR="00430421">
              <w:rPr>
                <w:rFonts w:ascii="Arial" w:hAnsi="Arial" w:cs="Arial"/>
                <w:sz w:val="20"/>
              </w:rPr>
              <w:t>expenses</w:t>
            </w:r>
            <w:r w:rsidRPr="00430421">
              <w:rPr>
                <w:rFonts w:ascii="Arial" w:hAnsi="Arial" w:cs="Arial"/>
                <w:sz w:val="20"/>
              </w:rPr>
              <w:t>.</w:t>
            </w:r>
          </w:p>
          <w:p w:rsidR="005B2081" w:rsidRPr="00303B2E" w:rsidRDefault="005B2081" w:rsidP="005B2081">
            <w:pPr>
              <w:numPr>
                <w:ilvl w:val="0"/>
                <w:numId w:val="27"/>
              </w:numPr>
              <w:jc w:val="left"/>
              <w:rPr>
                <w:rFonts w:ascii="Arial" w:hAnsi="Arial" w:cs="Arial"/>
                <w:iCs/>
                <w:sz w:val="20"/>
              </w:rPr>
            </w:pPr>
            <w:r>
              <w:rPr>
                <w:rFonts w:ascii="Arial" w:hAnsi="Arial" w:cs="Arial"/>
                <w:sz w:val="20"/>
              </w:rPr>
              <w:t>Failure to submit education expenses according to this procedure may result in forfeiture of the reimbursement.</w:t>
            </w:r>
          </w:p>
          <w:p w:rsidR="00FE6421" w:rsidRDefault="00FE6421">
            <w:pPr>
              <w:jc w:val="left"/>
              <w:rPr>
                <w:rFonts w:ascii="Arial" w:hAnsi="Arial" w:cs="Arial"/>
                <w:color w:val="000000"/>
                <w:sz w:val="20"/>
              </w:rPr>
            </w:pPr>
          </w:p>
          <w:p w:rsidR="00FE6421" w:rsidRDefault="00FE6421">
            <w:pPr>
              <w:jc w:val="left"/>
              <w:rPr>
                <w:rFonts w:ascii="Arial" w:hAnsi="Arial"/>
                <w:color w:val="0000FF"/>
                <w:sz w:val="20"/>
                <w:u w:val="single"/>
              </w:rPr>
            </w:pPr>
          </w:p>
          <w:p w:rsidR="00FE6421" w:rsidRDefault="00FE6421">
            <w:pPr>
              <w:jc w:val="left"/>
              <w:rPr>
                <w:rFonts w:ascii="Arial" w:hAnsi="Arial" w:cs="Arial"/>
                <w:sz w:val="20"/>
              </w:rPr>
            </w:pPr>
          </w:p>
        </w:tc>
      </w:tr>
      <w:tr w:rsidR="00FE6421">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rsidR="00FE6421" w:rsidRDefault="00FE6421">
            <w:pPr>
              <w:jc w:val="left"/>
              <w:rPr>
                <w:rFonts w:ascii="Arial" w:hAnsi="Arial" w:cs="Arial"/>
                <w:b/>
                <w:bCs/>
                <w:color w:val="0000FF"/>
                <w:sz w:val="20"/>
              </w:rPr>
            </w:pPr>
          </w:p>
          <w:p w:rsidR="00FE6421" w:rsidRDefault="00FE6421">
            <w:pPr>
              <w:jc w:val="left"/>
              <w:rPr>
                <w:rFonts w:ascii="Arial" w:hAnsi="Arial" w:cs="Arial"/>
                <w:b/>
                <w:bCs/>
                <w:color w:val="0000FF"/>
              </w:rPr>
            </w:pPr>
            <w:r>
              <w:rPr>
                <w:rFonts w:ascii="Arial" w:hAnsi="Arial" w:cs="Arial"/>
                <w:b/>
                <w:bCs/>
                <w:color w:val="0000FF"/>
              </w:rPr>
              <w:t>References</w:t>
            </w:r>
          </w:p>
        </w:tc>
        <w:tc>
          <w:tcPr>
            <w:tcW w:w="9000" w:type="dxa"/>
            <w:gridSpan w:val="4"/>
            <w:tcBorders>
              <w:top w:val="single" w:sz="4" w:space="0" w:color="auto"/>
              <w:bottom w:val="single" w:sz="4" w:space="0" w:color="auto"/>
              <w:right w:val="nil"/>
            </w:tcBorders>
          </w:tcPr>
          <w:p w:rsidR="00FE6421" w:rsidRDefault="00FE6421">
            <w:pPr>
              <w:jc w:val="left"/>
              <w:rPr>
                <w:rFonts w:ascii="Arial" w:hAnsi="Arial" w:cs="Arial"/>
                <w:iCs/>
                <w:sz w:val="20"/>
              </w:rPr>
            </w:pPr>
          </w:p>
          <w:p w:rsidR="00FE6421" w:rsidRDefault="00E7015D">
            <w:pPr>
              <w:rPr>
                <w:rFonts w:ascii="Arial" w:hAnsi="Arial" w:cs="Arial"/>
                <w:sz w:val="20"/>
              </w:rPr>
            </w:pPr>
            <w:r>
              <w:rPr>
                <w:rFonts w:ascii="Arial" w:hAnsi="Arial" w:cs="Arial"/>
                <w:sz w:val="20"/>
              </w:rPr>
              <w:t>H</w:t>
            </w:r>
            <w:r w:rsidRPr="00EC043B">
              <w:rPr>
                <w:rFonts w:ascii="Arial" w:hAnsi="Arial" w:cs="Arial"/>
                <w:sz w:val="20"/>
              </w:rPr>
              <w:t xml:space="preserve">ospital </w:t>
            </w:r>
            <w:r>
              <w:rPr>
                <w:rFonts w:ascii="Arial" w:hAnsi="Arial" w:cs="Arial"/>
                <w:sz w:val="20"/>
              </w:rPr>
              <w:t>P</w:t>
            </w:r>
            <w:r w:rsidRPr="00EC043B">
              <w:rPr>
                <w:rFonts w:ascii="Arial" w:hAnsi="Arial" w:cs="Arial"/>
                <w:sz w:val="20"/>
              </w:rPr>
              <w:t>olicy 1404.09 (</w:t>
            </w:r>
            <w:hyperlink r:id="rId9" w:history="1">
              <w:r w:rsidR="00AB74AA" w:rsidRPr="00AB74AA">
                <w:rPr>
                  <w:rStyle w:val="Hyperlink"/>
                </w:rPr>
                <w:t>Children’s of Minnesota, Reimbursement – Travel/Business Policy</w:t>
              </w:r>
            </w:hyperlink>
            <w:r w:rsidRPr="00EC043B">
              <w:rPr>
                <w:rFonts w:ascii="Arial" w:hAnsi="Arial" w:cs="Arial"/>
                <w:sz w:val="20"/>
              </w:rPr>
              <w:t>)</w:t>
            </w:r>
          </w:p>
          <w:p w:rsidR="00E7015D" w:rsidRDefault="00E7015D">
            <w:pPr>
              <w:rPr>
                <w:rFonts w:ascii="Arial" w:hAnsi="Arial" w:cs="Arial"/>
                <w:color w:val="000000"/>
                <w:sz w:val="20"/>
              </w:rPr>
            </w:pPr>
          </w:p>
          <w:p w:rsidR="00FE6421" w:rsidRDefault="00FE6421">
            <w:pPr>
              <w:rPr>
                <w:rFonts w:ascii="Arial" w:hAnsi="Arial" w:cs="Arial"/>
                <w:iCs/>
                <w:sz w:val="20"/>
              </w:rPr>
            </w:pPr>
          </w:p>
        </w:tc>
      </w:tr>
      <w:tr w:rsidR="00FE642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0800" w:type="dxa"/>
            <w:gridSpan w:val="5"/>
            <w:tcBorders>
              <w:top w:val="nil"/>
              <w:left w:val="nil"/>
              <w:bottom w:val="nil"/>
              <w:right w:val="nil"/>
            </w:tcBorders>
          </w:tcPr>
          <w:p w:rsidR="00FE6421" w:rsidRDefault="00FE6421">
            <w:pPr>
              <w:rPr>
                <w:rFonts w:ascii="Arial" w:hAnsi="Arial" w:cs="Arial"/>
                <w:iCs/>
                <w:sz w:val="20"/>
              </w:rPr>
            </w:pPr>
          </w:p>
        </w:tc>
      </w:tr>
      <w:tr w:rsidR="00FE642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bottom w:val="nil"/>
              <w:right w:val="single" w:sz="4" w:space="0" w:color="auto"/>
            </w:tcBorders>
          </w:tcPr>
          <w:p w:rsidR="00FE6421" w:rsidRDefault="00FE6421">
            <w:pPr>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FE6421" w:rsidRDefault="00FE6421">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FE6421" w:rsidRDefault="00FE6421">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FE6421" w:rsidRDefault="00FE6421">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FE6421" w:rsidRDefault="00FE6421">
            <w:pPr>
              <w:rPr>
                <w:rFonts w:ascii="Arial" w:hAnsi="Arial" w:cs="Arial"/>
                <w:b/>
                <w:bCs/>
                <w:iCs/>
                <w:sz w:val="20"/>
              </w:rPr>
            </w:pPr>
            <w:r>
              <w:rPr>
                <w:rFonts w:ascii="Arial" w:hAnsi="Arial" w:cs="Arial"/>
                <w:b/>
                <w:bCs/>
                <w:iCs/>
                <w:sz w:val="20"/>
              </w:rPr>
              <w:t>Summary of Revisions</w:t>
            </w:r>
          </w:p>
        </w:tc>
      </w:tr>
      <w:tr w:rsidR="00FE642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rsidR="00FE6421" w:rsidRDefault="00FE6421">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FE6421" w:rsidRDefault="00FE6421">
            <w:pPr>
              <w:pStyle w:val="Header"/>
              <w:tabs>
                <w:tab w:val="clear" w:pos="4320"/>
                <w:tab w:val="clear" w:pos="8640"/>
              </w:tabs>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FE6421" w:rsidRDefault="000E4E9E">
            <w:pPr>
              <w:rPr>
                <w:rFonts w:ascii="Arial" w:hAnsi="Arial" w:cs="Arial"/>
                <w:sz w:val="20"/>
              </w:rPr>
            </w:pPr>
            <w:r>
              <w:rPr>
                <w:rFonts w:ascii="Arial" w:hAnsi="Arial" w:cs="Arial"/>
                <w:sz w:val="20"/>
              </w:rPr>
              <w:t>Jennifer Heimkes</w:t>
            </w:r>
          </w:p>
        </w:tc>
        <w:tc>
          <w:tcPr>
            <w:tcW w:w="1620" w:type="dxa"/>
            <w:tcBorders>
              <w:top w:val="single" w:sz="4" w:space="0" w:color="auto"/>
              <w:left w:val="single" w:sz="4" w:space="0" w:color="auto"/>
              <w:bottom w:val="single" w:sz="4" w:space="0" w:color="auto"/>
              <w:right w:val="single" w:sz="4" w:space="0" w:color="auto"/>
            </w:tcBorders>
          </w:tcPr>
          <w:p w:rsidR="00FE6421" w:rsidRDefault="00884B16">
            <w:pPr>
              <w:rPr>
                <w:rFonts w:ascii="Arial" w:hAnsi="Arial" w:cs="Arial"/>
                <w:sz w:val="20"/>
              </w:rPr>
            </w:pPr>
            <w:r>
              <w:rPr>
                <w:rFonts w:ascii="Arial" w:hAnsi="Arial" w:cs="Arial"/>
                <w:sz w:val="20"/>
              </w:rPr>
              <w:t>5</w:t>
            </w:r>
            <w:r w:rsidR="000E4E9E">
              <w:rPr>
                <w:rFonts w:ascii="Arial" w:hAnsi="Arial" w:cs="Arial"/>
                <w:sz w:val="20"/>
              </w:rPr>
              <w:t>/</w:t>
            </w:r>
            <w:r>
              <w:rPr>
                <w:rFonts w:ascii="Arial" w:hAnsi="Arial" w:cs="Arial"/>
                <w:sz w:val="20"/>
              </w:rPr>
              <w:t>09</w:t>
            </w:r>
            <w:r w:rsidR="000E4E9E">
              <w:rPr>
                <w:rFonts w:ascii="Arial" w:hAnsi="Arial" w:cs="Arial"/>
                <w:sz w:val="20"/>
              </w:rPr>
              <w:t>/201</w:t>
            </w:r>
            <w:r>
              <w:rPr>
                <w:rFonts w:ascii="Arial" w:hAnsi="Arial" w:cs="Arial"/>
                <w:sz w:val="20"/>
              </w:rPr>
              <w:t>6</w:t>
            </w:r>
          </w:p>
        </w:tc>
        <w:tc>
          <w:tcPr>
            <w:tcW w:w="3600" w:type="dxa"/>
            <w:tcBorders>
              <w:top w:val="single" w:sz="4" w:space="0" w:color="auto"/>
              <w:left w:val="single" w:sz="4" w:space="0" w:color="auto"/>
              <w:bottom w:val="single" w:sz="4" w:space="0" w:color="auto"/>
              <w:right w:val="single" w:sz="4" w:space="0" w:color="auto"/>
            </w:tcBorders>
          </w:tcPr>
          <w:p w:rsidR="00FE6421" w:rsidRDefault="00FE6421">
            <w:pPr>
              <w:pStyle w:val="Header"/>
              <w:tabs>
                <w:tab w:val="clear" w:pos="4320"/>
                <w:tab w:val="clear" w:pos="8640"/>
              </w:tabs>
              <w:jc w:val="left"/>
              <w:rPr>
                <w:rFonts w:ascii="Arial" w:hAnsi="Arial" w:cs="Arial"/>
                <w:iCs/>
                <w:sz w:val="20"/>
              </w:rPr>
            </w:pPr>
            <w:r>
              <w:rPr>
                <w:rFonts w:ascii="Arial" w:hAnsi="Arial" w:cs="Arial"/>
                <w:iCs/>
                <w:sz w:val="20"/>
              </w:rPr>
              <w:t xml:space="preserve">Initial </w:t>
            </w:r>
          </w:p>
        </w:tc>
      </w:tr>
    </w:tbl>
    <w:p w:rsidR="00FE6421" w:rsidRDefault="00FE6421">
      <w:pPr>
        <w:rPr>
          <w:rFonts w:ascii="Arial" w:hAnsi="Arial" w:cs="Arial"/>
        </w:rPr>
      </w:pPr>
    </w:p>
    <w:sectPr w:rsidR="00FE6421" w:rsidSect="00A41C33">
      <w:headerReference w:type="default" r:id="rId10"/>
      <w:footerReference w:type="even" r:id="rId11"/>
      <w:footerReference w:type="default" r:id="rId12"/>
      <w:pgSz w:w="12240" w:h="15840"/>
      <w:pgMar w:top="1008"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728" w:rsidRDefault="00520728">
      <w:r>
        <w:separator/>
      </w:r>
    </w:p>
  </w:endnote>
  <w:endnote w:type="continuationSeparator" w:id="0">
    <w:p w:rsidR="00520728" w:rsidRDefault="005207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28" w:rsidRDefault="005207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0728" w:rsidRDefault="005207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28" w:rsidRDefault="00520728">
    <w:pPr>
      <w:ind w:left="-720" w:right="360"/>
      <w:rPr>
        <w:rFonts w:ascii="Arial" w:hAnsi="Arial" w:cs="Arial"/>
        <w:sz w:val="16"/>
      </w:rPr>
    </w:pPr>
    <w:r>
      <w:rPr>
        <w:rFonts w:ascii="Arial" w:hAnsi="Arial" w:cs="Arial"/>
        <w:sz w:val="16"/>
      </w:rPr>
      <w:t>Children’s Hospitals and Clinics of Minnesota Laboratory, Minneapolis/St. Paul, MN</w:t>
    </w:r>
  </w:p>
  <w:p w:rsidR="00520728" w:rsidRDefault="00520728">
    <w:pPr>
      <w:ind w:left="-720" w:right="3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B74AA">
      <w:rPr>
        <w:rFonts w:ascii="Arial" w:hAnsi="Arial" w:cs="Arial"/>
        <w:noProof/>
        <w:sz w:val="16"/>
      </w:rPr>
      <w:t>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B74AA">
      <w:rPr>
        <w:rFonts w:ascii="Arial" w:hAnsi="Arial" w:cs="Arial"/>
        <w:noProof/>
        <w:sz w:val="16"/>
      </w:rPr>
      <w:t>3</w:t>
    </w:r>
    <w:r>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728" w:rsidRDefault="00520728">
      <w:r>
        <w:separator/>
      </w:r>
    </w:p>
  </w:footnote>
  <w:footnote w:type="continuationSeparator" w:id="0">
    <w:p w:rsidR="00520728" w:rsidRDefault="00520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28" w:rsidRDefault="00520728">
    <w:pPr>
      <w:ind w:left="-720"/>
      <w:rPr>
        <w:rFonts w:ascii="Arial" w:hAnsi="Arial" w:cs="Arial"/>
        <w:bCs/>
        <w:iCs/>
        <w:noProof/>
        <w:sz w:val="18"/>
      </w:rPr>
    </w:pPr>
    <w:r>
      <w:rPr>
        <w:rFonts w:ascii="Arial" w:hAnsi="Arial" w:cs="Arial"/>
        <w:bCs/>
        <w:iCs/>
        <w:noProof/>
        <w:sz w:val="18"/>
      </w:rPr>
      <w:t xml:space="preserve">                                                                                                                                                  </w:t>
    </w:r>
    <w:r>
      <w:rPr>
        <w:rFonts w:ascii="Arial" w:hAnsi="Arial" w:cs="Arial"/>
        <w:bCs/>
        <w:iCs/>
        <w:noProof/>
        <w:sz w:val="18"/>
      </w:rPr>
      <w:drawing>
        <wp:inline distT="0" distB="0" distL="0" distR="0">
          <wp:extent cx="1261232" cy="405516"/>
          <wp:effectExtent l="19050" t="0" r="0" b="0"/>
          <wp:docPr id="8" name="Picture 2" descr="S:\Marketing and Communications\Logos\Children's Minnesota Logo\JPGS\Childrens_MN_2015_logo_RGB_of_PMS280-PMS2925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 and Communications\Logos\Children's Minnesota Logo\JPGS\Childrens_MN_2015_logo_RGB_of_PMS280-PMS2925_800x257.jpg"/>
                  <pic:cNvPicPr>
                    <a:picLocks noChangeAspect="1" noChangeArrowheads="1"/>
                  </pic:cNvPicPr>
                </pic:nvPicPr>
                <pic:blipFill>
                  <a:blip r:embed="rId1"/>
                  <a:srcRect/>
                  <a:stretch>
                    <a:fillRect/>
                  </a:stretch>
                </pic:blipFill>
                <pic:spPr bwMode="auto">
                  <a:xfrm>
                    <a:off x="0" y="0"/>
                    <a:ext cx="1261956" cy="405749"/>
                  </a:xfrm>
                  <a:prstGeom prst="rect">
                    <a:avLst/>
                  </a:prstGeom>
                  <a:noFill/>
                  <a:ln w="9525">
                    <a:noFill/>
                    <a:miter lim="800000"/>
                    <a:headEnd/>
                    <a:tailEnd/>
                  </a:ln>
                </pic:spPr>
              </pic:pic>
            </a:graphicData>
          </a:graphic>
        </wp:inline>
      </w:drawing>
    </w:r>
  </w:p>
  <w:p w:rsidR="00520728" w:rsidRDefault="00520728">
    <w:pPr>
      <w:ind w:left="-720"/>
      <w:rPr>
        <w:rFonts w:ascii="Arial" w:hAnsi="Arial" w:cs="Arial"/>
        <w:bCs/>
        <w:sz w:val="18"/>
      </w:rPr>
    </w:pPr>
    <w:r>
      <w:rPr>
        <w:rFonts w:ascii="Arial" w:hAnsi="Arial" w:cs="Arial"/>
        <w:bCs/>
        <w:iCs/>
        <w:noProof/>
        <w:sz w:val="18"/>
      </w:rPr>
      <w:t xml:space="preserve">GL 2.2 Laboratory Education Reimbursement Policy                                    </w:t>
    </w:r>
  </w:p>
  <w:p w:rsidR="00520728" w:rsidRDefault="00520728">
    <w:pPr>
      <w:pStyle w:val="Header"/>
      <w:ind w:left="-720"/>
      <w:rPr>
        <w:rFonts w:ascii="Arial" w:hAnsi="Arial" w:cs="Arial"/>
        <w:bCs/>
        <w:sz w:val="18"/>
      </w:rPr>
    </w:pPr>
    <w:r>
      <w:rPr>
        <w:rFonts w:ascii="Arial" w:hAnsi="Arial" w:cs="Arial"/>
        <w:bCs/>
        <w:sz w:val="18"/>
      </w:rPr>
      <w:t>Version # 1</w:t>
    </w:r>
  </w:p>
  <w:p w:rsidR="00520728" w:rsidRPr="00953FE5" w:rsidRDefault="00520728" w:rsidP="00953FE5">
    <w:pPr>
      <w:pStyle w:val="Header"/>
      <w:ind w:left="-720"/>
      <w:rPr>
        <w:b/>
        <w:sz w:val="18"/>
        <w:szCs w:val="26"/>
      </w:rPr>
    </w:pPr>
    <w:r>
      <w:rPr>
        <w:rFonts w:ascii="Arial" w:hAnsi="Arial" w:cs="Arial"/>
        <w:bCs/>
        <w:sz w:val="18"/>
      </w:rPr>
      <w:t>Effective Date: 05/09</w:t>
    </w:r>
    <w:r w:rsidR="00884B16">
      <w:rPr>
        <w:rFonts w:ascii="Arial" w:hAnsi="Arial" w:cs="Arial"/>
        <w:bCs/>
        <w:sz w:val="18"/>
      </w:rPr>
      <w:t>/2016</w:t>
    </w:r>
    <w:r w:rsidRPr="00A37AE5">
      <w:rPr>
        <w:b/>
        <w:noProof/>
        <w:sz w:val="20"/>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8.25pt;margin-top:122.5pt;width:269.15pt;height:180.7pt;rotation:-1927729fd;z-index:251657216;mso-position-horizontal-relative:text;mso-position-vertical-relative:text">
          <v:shadow on="t"/>
          <v:textpath style="font-family:&quot;Arial Black&quot;;v-text-kern:t" trim="t" fitpath="t" string="&#1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D459D9"/>
    <w:multiLevelType w:val="hybridMultilevel"/>
    <w:tmpl w:val="A95CA6A0"/>
    <w:lvl w:ilvl="0" w:tplc="8FC4DD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B278D2"/>
    <w:multiLevelType w:val="hybridMultilevel"/>
    <w:tmpl w:val="6E0AD708"/>
    <w:lvl w:ilvl="0" w:tplc="4410923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112F70"/>
    <w:multiLevelType w:val="hybridMultilevel"/>
    <w:tmpl w:val="7C288D4A"/>
    <w:lvl w:ilvl="0" w:tplc="51F488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A26D7E"/>
    <w:multiLevelType w:val="hybridMultilevel"/>
    <w:tmpl w:val="D0D2BFCA"/>
    <w:lvl w:ilvl="0" w:tplc="5B2055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8F3375"/>
    <w:multiLevelType w:val="hybridMultilevel"/>
    <w:tmpl w:val="981A989A"/>
    <w:lvl w:ilvl="0" w:tplc="4F606D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8549B3"/>
    <w:multiLevelType w:val="hybridMultilevel"/>
    <w:tmpl w:val="01CA106A"/>
    <w:lvl w:ilvl="0" w:tplc="120A47E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25E3091"/>
    <w:multiLevelType w:val="hybridMultilevel"/>
    <w:tmpl w:val="01CA106A"/>
    <w:lvl w:ilvl="0" w:tplc="120A47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37202CF"/>
    <w:multiLevelType w:val="hybridMultilevel"/>
    <w:tmpl w:val="50B82D16"/>
    <w:lvl w:ilvl="0" w:tplc="85D82C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140640"/>
    <w:multiLevelType w:val="hybridMultilevel"/>
    <w:tmpl w:val="15CA349A"/>
    <w:lvl w:ilvl="0" w:tplc="C8B67FB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D19CE"/>
    <w:multiLevelType w:val="hybridMultilevel"/>
    <w:tmpl w:val="14E03DD2"/>
    <w:lvl w:ilvl="0" w:tplc="84BA5A8C">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573E36"/>
    <w:multiLevelType w:val="hybridMultilevel"/>
    <w:tmpl w:val="15CA349A"/>
    <w:lvl w:ilvl="0" w:tplc="C8B67FB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D1D1C"/>
    <w:multiLevelType w:val="hybridMultilevel"/>
    <w:tmpl w:val="A95CA6A0"/>
    <w:lvl w:ilvl="0" w:tplc="8FC4DD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243686"/>
    <w:multiLevelType w:val="hybridMultilevel"/>
    <w:tmpl w:val="48B6CA5C"/>
    <w:lvl w:ilvl="0" w:tplc="087856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03020F5"/>
    <w:multiLevelType w:val="hybridMultilevel"/>
    <w:tmpl w:val="0B5A01C8"/>
    <w:lvl w:ilvl="0" w:tplc="B7E42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DDC423B"/>
    <w:multiLevelType w:val="hybridMultilevel"/>
    <w:tmpl w:val="9F282BEA"/>
    <w:lvl w:ilvl="0" w:tplc="547C87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191224A"/>
    <w:multiLevelType w:val="hybridMultilevel"/>
    <w:tmpl w:val="C8B09092"/>
    <w:lvl w:ilvl="0" w:tplc="5B2055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5447FE9"/>
    <w:multiLevelType w:val="hybridMultilevel"/>
    <w:tmpl w:val="051450C2"/>
    <w:lvl w:ilvl="0" w:tplc="52BA21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C4A6BE5"/>
    <w:multiLevelType w:val="hybridMultilevel"/>
    <w:tmpl w:val="35EE4CDE"/>
    <w:lvl w:ilvl="0" w:tplc="CD5CCD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F0F2C90"/>
    <w:multiLevelType w:val="hybridMultilevel"/>
    <w:tmpl w:val="72189A9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982EAC"/>
    <w:multiLevelType w:val="hybridMultilevel"/>
    <w:tmpl w:val="01CA106A"/>
    <w:lvl w:ilvl="0" w:tplc="120A47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21"/>
  </w:num>
  <w:num w:numId="3">
    <w:abstractNumId w:val="29"/>
  </w:num>
  <w:num w:numId="4">
    <w:abstractNumId w:val="2"/>
  </w:num>
  <w:num w:numId="5">
    <w:abstractNumId w:val="1"/>
  </w:num>
  <w:num w:numId="6">
    <w:abstractNumId w:val="24"/>
  </w:num>
  <w:num w:numId="7">
    <w:abstractNumId w:val="7"/>
  </w:num>
  <w:num w:numId="8">
    <w:abstractNumId w:val="26"/>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19"/>
  </w:num>
  <w:num w:numId="11">
    <w:abstractNumId w:val="9"/>
  </w:num>
  <w:num w:numId="12">
    <w:abstractNumId w:val="18"/>
  </w:num>
  <w:num w:numId="13">
    <w:abstractNumId w:val="31"/>
  </w:num>
  <w:num w:numId="14">
    <w:abstractNumId w:val="27"/>
  </w:num>
  <w:num w:numId="15">
    <w:abstractNumId w:val="15"/>
  </w:num>
  <w:num w:numId="16">
    <w:abstractNumId w:val="13"/>
  </w:num>
  <w:num w:numId="17">
    <w:abstractNumId w:val="14"/>
  </w:num>
  <w:num w:numId="18">
    <w:abstractNumId w:val="4"/>
  </w:num>
  <w:num w:numId="19">
    <w:abstractNumId w:val="33"/>
  </w:num>
  <w:num w:numId="20">
    <w:abstractNumId w:val="3"/>
  </w:num>
  <w:num w:numId="21">
    <w:abstractNumId w:val="5"/>
  </w:num>
  <w:num w:numId="22">
    <w:abstractNumId w:val="32"/>
  </w:num>
  <w:num w:numId="23">
    <w:abstractNumId w:val="12"/>
  </w:num>
  <w:num w:numId="24">
    <w:abstractNumId w:val="6"/>
  </w:num>
  <w:num w:numId="25">
    <w:abstractNumId w:val="10"/>
  </w:num>
  <w:num w:numId="26">
    <w:abstractNumId w:val="34"/>
  </w:num>
  <w:num w:numId="27">
    <w:abstractNumId w:val="20"/>
  </w:num>
  <w:num w:numId="28">
    <w:abstractNumId w:val="11"/>
  </w:num>
  <w:num w:numId="29">
    <w:abstractNumId w:val="17"/>
  </w:num>
  <w:num w:numId="30">
    <w:abstractNumId w:val="8"/>
  </w:num>
  <w:num w:numId="31">
    <w:abstractNumId w:val="23"/>
  </w:num>
  <w:num w:numId="32">
    <w:abstractNumId w:val="30"/>
  </w:num>
  <w:num w:numId="33">
    <w:abstractNumId w:val="22"/>
  </w:num>
  <w:num w:numId="34">
    <w:abstractNumId w:val="16"/>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2">
      <o:colormenu v:ext="edit" strokecolor="gray"/>
    </o:shapedefaults>
    <o:shapelayout v:ext="edit">
      <o:idmap v:ext="edit" data="2"/>
    </o:shapelayout>
  </w:hdrShapeDefaults>
  <w:footnotePr>
    <w:footnote w:id="-1"/>
    <w:footnote w:id="0"/>
  </w:footnotePr>
  <w:endnotePr>
    <w:endnote w:id="-1"/>
    <w:endnote w:id="0"/>
  </w:endnotePr>
  <w:compat/>
  <w:rsids>
    <w:rsidRoot w:val="000B26C7"/>
    <w:rsid w:val="00082795"/>
    <w:rsid w:val="00093B8D"/>
    <w:rsid w:val="000978F9"/>
    <w:rsid w:val="000B26C7"/>
    <w:rsid w:val="000B2B3E"/>
    <w:rsid w:val="000E4E9E"/>
    <w:rsid w:val="001105FA"/>
    <w:rsid w:val="00132723"/>
    <w:rsid w:val="00176DD6"/>
    <w:rsid w:val="001A1C8C"/>
    <w:rsid w:val="001B5DDB"/>
    <w:rsid w:val="001C2C2C"/>
    <w:rsid w:val="00246AE5"/>
    <w:rsid w:val="002A2322"/>
    <w:rsid w:val="002D019B"/>
    <w:rsid w:val="00303B2E"/>
    <w:rsid w:val="00334062"/>
    <w:rsid w:val="003749C1"/>
    <w:rsid w:val="00375BE1"/>
    <w:rsid w:val="00430421"/>
    <w:rsid w:val="0045219A"/>
    <w:rsid w:val="004660D7"/>
    <w:rsid w:val="00473862"/>
    <w:rsid w:val="004D286A"/>
    <w:rsid w:val="00520728"/>
    <w:rsid w:val="00522322"/>
    <w:rsid w:val="005627C9"/>
    <w:rsid w:val="005B2081"/>
    <w:rsid w:val="005C6495"/>
    <w:rsid w:val="005F2E7C"/>
    <w:rsid w:val="00614639"/>
    <w:rsid w:val="006704F9"/>
    <w:rsid w:val="00681BF9"/>
    <w:rsid w:val="00697E33"/>
    <w:rsid w:val="00697EE5"/>
    <w:rsid w:val="006B163D"/>
    <w:rsid w:val="006B53D0"/>
    <w:rsid w:val="006F562D"/>
    <w:rsid w:val="0071513B"/>
    <w:rsid w:val="0072647F"/>
    <w:rsid w:val="00751A4E"/>
    <w:rsid w:val="0076461C"/>
    <w:rsid w:val="0077323E"/>
    <w:rsid w:val="007B1A3D"/>
    <w:rsid w:val="007D63AA"/>
    <w:rsid w:val="007D7082"/>
    <w:rsid w:val="00856429"/>
    <w:rsid w:val="00884B16"/>
    <w:rsid w:val="008A0900"/>
    <w:rsid w:val="008E3CFA"/>
    <w:rsid w:val="00944F54"/>
    <w:rsid w:val="00953FE5"/>
    <w:rsid w:val="00994FA7"/>
    <w:rsid w:val="009B3B94"/>
    <w:rsid w:val="009F6E54"/>
    <w:rsid w:val="00A17820"/>
    <w:rsid w:val="00A25151"/>
    <w:rsid w:val="00A34097"/>
    <w:rsid w:val="00A37AE5"/>
    <w:rsid w:val="00A41C33"/>
    <w:rsid w:val="00A66386"/>
    <w:rsid w:val="00AB74AA"/>
    <w:rsid w:val="00AD2988"/>
    <w:rsid w:val="00AD2F0A"/>
    <w:rsid w:val="00AE4D5F"/>
    <w:rsid w:val="00B64E6A"/>
    <w:rsid w:val="00B66EF5"/>
    <w:rsid w:val="00B8757F"/>
    <w:rsid w:val="00BE4B74"/>
    <w:rsid w:val="00C1230D"/>
    <w:rsid w:val="00D87CB8"/>
    <w:rsid w:val="00DB4263"/>
    <w:rsid w:val="00DD532D"/>
    <w:rsid w:val="00E7015D"/>
    <w:rsid w:val="00EC043B"/>
    <w:rsid w:val="00F17360"/>
    <w:rsid w:val="00F97659"/>
    <w:rsid w:val="00FE6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B3E"/>
    <w:pPr>
      <w:jc w:val="both"/>
    </w:pPr>
    <w:rPr>
      <w:sz w:val="22"/>
      <w:szCs w:val="24"/>
    </w:rPr>
  </w:style>
  <w:style w:type="paragraph" w:styleId="Heading1">
    <w:name w:val="heading 1"/>
    <w:basedOn w:val="Normal"/>
    <w:next w:val="Normal"/>
    <w:qFormat/>
    <w:rsid w:val="000B2B3E"/>
    <w:pPr>
      <w:keepNext/>
      <w:numPr>
        <w:numId w:val="5"/>
      </w:numPr>
      <w:outlineLvl w:val="0"/>
    </w:pPr>
    <w:rPr>
      <w:rFonts w:cs="Arial"/>
      <w:b/>
      <w:bCs/>
      <w:kern w:val="32"/>
      <w:sz w:val="26"/>
      <w:szCs w:val="32"/>
    </w:rPr>
  </w:style>
  <w:style w:type="paragraph" w:styleId="Heading2">
    <w:name w:val="heading 2"/>
    <w:basedOn w:val="Normal"/>
    <w:next w:val="Normal"/>
    <w:qFormat/>
    <w:rsid w:val="000B2B3E"/>
    <w:pPr>
      <w:keepNext/>
      <w:numPr>
        <w:ilvl w:val="1"/>
        <w:numId w:val="5"/>
      </w:numPr>
      <w:outlineLvl w:val="1"/>
    </w:pPr>
    <w:rPr>
      <w:rFonts w:cs="Arial"/>
      <w:b/>
      <w:bCs/>
      <w:iCs/>
      <w:sz w:val="24"/>
      <w:szCs w:val="28"/>
    </w:rPr>
  </w:style>
  <w:style w:type="paragraph" w:styleId="Heading3">
    <w:name w:val="heading 3"/>
    <w:basedOn w:val="Normal"/>
    <w:next w:val="Normal"/>
    <w:qFormat/>
    <w:rsid w:val="000B2B3E"/>
    <w:pPr>
      <w:keepNext/>
      <w:numPr>
        <w:ilvl w:val="2"/>
        <w:numId w:val="5"/>
      </w:numPr>
      <w:outlineLvl w:val="2"/>
    </w:pPr>
    <w:rPr>
      <w:rFonts w:cs="Arial"/>
      <w:b/>
      <w:bCs/>
      <w:szCs w:val="26"/>
    </w:rPr>
  </w:style>
  <w:style w:type="paragraph" w:styleId="Heading4">
    <w:name w:val="heading 4"/>
    <w:aliases w:val="Map Title"/>
    <w:basedOn w:val="Normal"/>
    <w:next w:val="Normal"/>
    <w:qFormat/>
    <w:rsid w:val="000B2B3E"/>
    <w:pPr>
      <w:keepNext/>
      <w:numPr>
        <w:ilvl w:val="3"/>
        <w:numId w:val="5"/>
      </w:numPr>
      <w:outlineLvl w:val="3"/>
    </w:pPr>
    <w:rPr>
      <w:bCs/>
      <w:szCs w:val="28"/>
    </w:rPr>
  </w:style>
  <w:style w:type="paragraph" w:styleId="Heading5">
    <w:name w:val="heading 5"/>
    <w:aliases w:val="Block Label"/>
    <w:basedOn w:val="Normal"/>
    <w:next w:val="Normal"/>
    <w:qFormat/>
    <w:rsid w:val="000B2B3E"/>
    <w:pPr>
      <w:keepNext/>
      <w:numPr>
        <w:ilvl w:val="4"/>
        <w:numId w:val="5"/>
      </w:numPr>
      <w:spacing w:before="20"/>
      <w:outlineLvl w:val="4"/>
    </w:pPr>
  </w:style>
  <w:style w:type="paragraph" w:styleId="Heading6">
    <w:name w:val="heading 6"/>
    <w:basedOn w:val="Normal"/>
    <w:next w:val="Normal"/>
    <w:qFormat/>
    <w:rsid w:val="000B2B3E"/>
    <w:pPr>
      <w:keepNext/>
      <w:numPr>
        <w:ilvl w:val="5"/>
        <w:numId w:val="5"/>
      </w:numPr>
      <w:outlineLvl w:val="5"/>
    </w:pPr>
    <w:rPr>
      <w:b/>
      <w:bCs/>
      <w:sz w:val="18"/>
    </w:rPr>
  </w:style>
  <w:style w:type="paragraph" w:styleId="Heading7">
    <w:name w:val="heading 7"/>
    <w:basedOn w:val="Normal"/>
    <w:next w:val="Normal"/>
    <w:qFormat/>
    <w:rsid w:val="000B2B3E"/>
    <w:pPr>
      <w:keepNext/>
      <w:numPr>
        <w:ilvl w:val="6"/>
        <w:numId w:val="5"/>
      </w:numPr>
      <w:outlineLvl w:val="6"/>
    </w:pPr>
    <w:rPr>
      <w:sz w:val="28"/>
    </w:rPr>
  </w:style>
  <w:style w:type="paragraph" w:styleId="Heading8">
    <w:name w:val="heading 8"/>
    <w:basedOn w:val="Normal"/>
    <w:next w:val="Normal"/>
    <w:qFormat/>
    <w:rsid w:val="000B2B3E"/>
    <w:pPr>
      <w:keepNext/>
      <w:numPr>
        <w:ilvl w:val="7"/>
        <w:numId w:val="5"/>
      </w:numPr>
      <w:jc w:val="center"/>
      <w:outlineLvl w:val="7"/>
    </w:pPr>
    <w:rPr>
      <w:b/>
      <w:bCs/>
    </w:rPr>
  </w:style>
  <w:style w:type="paragraph" w:styleId="Heading9">
    <w:name w:val="heading 9"/>
    <w:basedOn w:val="Normal"/>
    <w:next w:val="Normal"/>
    <w:qFormat/>
    <w:rsid w:val="000B2B3E"/>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B2B3E"/>
    <w:rPr>
      <w:bCs/>
      <w:iCs/>
      <w:color w:val="000000"/>
    </w:rPr>
  </w:style>
  <w:style w:type="paragraph" w:styleId="Header">
    <w:name w:val="header"/>
    <w:basedOn w:val="Normal"/>
    <w:semiHidden/>
    <w:rsid w:val="000B2B3E"/>
    <w:pPr>
      <w:tabs>
        <w:tab w:val="center" w:pos="4320"/>
        <w:tab w:val="right" w:pos="8640"/>
      </w:tabs>
    </w:pPr>
  </w:style>
  <w:style w:type="paragraph" w:styleId="List">
    <w:name w:val="List"/>
    <w:basedOn w:val="Normal"/>
    <w:semiHidden/>
    <w:rsid w:val="000B2B3E"/>
    <w:pPr>
      <w:ind w:left="360" w:hanging="360"/>
    </w:pPr>
  </w:style>
  <w:style w:type="paragraph" w:styleId="Title">
    <w:name w:val="Title"/>
    <w:basedOn w:val="Normal"/>
    <w:qFormat/>
    <w:rsid w:val="000B2B3E"/>
    <w:pPr>
      <w:spacing w:before="240" w:after="60"/>
      <w:jc w:val="center"/>
    </w:pPr>
    <w:rPr>
      <w:rFonts w:cs="Arial"/>
      <w:b/>
      <w:bCs/>
      <w:kern w:val="28"/>
      <w:sz w:val="28"/>
      <w:szCs w:val="32"/>
    </w:rPr>
  </w:style>
  <w:style w:type="paragraph" w:styleId="BodyText2">
    <w:name w:val="Body Text 2"/>
    <w:basedOn w:val="Normal"/>
    <w:semiHidden/>
    <w:rsid w:val="000B2B3E"/>
    <w:pPr>
      <w:jc w:val="left"/>
    </w:pPr>
    <w:rPr>
      <w:b/>
      <w:bCs/>
      <w:color w:val="0000FF"/>
    </w:rPr>
  </w:style>
  <w:style w:type="paragraph" w:styleId="Footer">
    <w:name w:val="footer"/>
    <w:basedOn w:val="Normal"/>
    <w:semiHidden/>
    <w:rsid w:val="000B2B3E"/>
    <w:pPr>
      <w:tabs>
        <w:tab w:val="center" w:pos="4320"/>
        <w:tab w:val="right" w:pos="8640"/>
      </w:tabs>
    </w:pPr>
  </w:style>
  <w:style w:type="character" w:styleId="FootnoteReference">
    <w:name w:val="footnote reference"/>
    <w:basedOn w:val="DefaultParagraphFont"/>
    <w:semiHidden/>
    <w:rsid w:val="000B2B3E"/>
    <w:rPr>
      <w:rFonts w:ascii="Times New Roman" w:hAnsi="Times New Roman"/>
      <w:sz w:val="18"/>
      <w:vertAlign w:val="superscript"/>
    </w:rPr>
  </w:style>
  <w:style w:type="paragraph" w:customStyle="1" w:styleId="Heading">
    <w:name w:val="Heading"/>
    <w:basedOn w:val="Heading1"/>
    <w:next w:val="Normal"/>
    <w:rsid w:val="000B2B3E"/>
    <w:pPr>
      <w:numPr>
        <w:numId w:val="0"/>
      </w:numPr>
    </w:pPr>
  </w:style>
  <w:style w:type="paragraph" w:customStyle="1" w:styleId="TableText">
    <w:name w:val="Table Text"/>
    <w:basedOn w:val="Normal"/>
    <w:rsid w:val="000B2B3E"/>
    <w:pPr>
      <w:autoSpaceDE w:val="0"/>
      <w:autoSpaceDN w:val="0"/>
      <w:jc w:val="left"/>
    </w:pPr>
    <w:rPr>
      <w:sz w:val="20"/>
    </w:rPr>
  </w:style>
  <w:style w:type="paragraph" w:customStyle="1" w:styleId="TableHeaderText">
    <w:name w:val="Table Header Text"/>
    <w:basedOn w:val="TableText"/>
    <w:rsid w:val="000B2B3E"/>
    <w:pPr>
      <w:jc w:val="center"/>
    </w:pPr>
    <w:rPr>
      <w:b/>
      <w:bCs/>
    </w:rPr>
  </w:style>
  <w:style w:type="paragraph" w:styleId="BodyText3">
    <w:name w:val="Body Text 3"/>
    <w:basedOn w:val="Normal"/>
    <w:semiHidden/>
    <w:rsid w:val="000B2B3E"/>
    <w:rPr>
      <w:b/>
      <w:color w:val="0000FF"/>
    </w:rPr>
  </w:style>
  <w:style w:type="paragraph" w:customStyle="1" w:styleId="Sec2Hdr1">
    <w:name w:val="Sec2 Hdr1"/>
    <w:rsid w:val="000B2B3E"/>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0B2B3E"/>
    <w:rPr>
      <w:color w:val="0000FF"/>
      <w:u w:val="single"/>
    </w:rPr>
  </w:style>
  <w:style w:type="character" w:styleId="FollowedHyperlink">
    <w:name w:val="FollowedHyperlink"/>
    <w:basedOn w:val="DefaultParagraphFont"/>
    <w:semiHidden/>
    <w:rsid w:val="000B2B3E"/>
    <w:rPr>
      <w:color w:val="800080"/>
      <w:u w:val="single"/>
    </w:rPr>
  </w:style>
  <w:style w:type="character" w:styleId="PageNumber">
    <w:name w:val="page number"/>
    <w:basedOn w:val="DefaultParagraphFont"/>
    <w:semiHidden/>
    <w:rsid w:val="000B2B3E"/>
  </w:style>
  <w:style w:type="paragraph" w:customStyle="1" w:styleId="Default">
    <w:name w:val="Default"/>
    <w:rsid w:val="00522322"/>
    <w:pPr>
      <w:autoSpaceDE w:val="0"/>
      <w:autoSpaceDN w:val="0"/>
      <w:adjustRightInd w:val="0"/>
    </w:pPr>
    <w:rPr>
      <w:color w:val="000000"/>
      <w:sz w:val="24"/>
      <w:szCs w:val="24"/>
    </w:rPr>
  </w:style>
  <w:style w:type="paragraph" w:styleId="ListParagraph">
    <w:name w:val="List Paragraph"/>
    <w:basedOn w:val="Normal"/>
    <w:uiPriority w:val="34"/>
    <w:qFormat/>
    <w:rsid w:val="00697E33"/>
    <w:pPr>
      <w:ind w:left="720"/>
      <w:contextualSpacing/>
    </w:pPr>
  </w:style>
  <w:style w:type="paragraph" w:styleId="BalloonText">
    <w:name w:val="Balloon Text"/>
    <w:basedOn w:val="Normal"/>
    <w:link w:val="BalloonTextChar"/>
    <w:uiPriority w:val="99"/>
    <w:semiHidden/>
    <w:unhideWhenUsed/>
    <w:rsid w:val="009B3B94"/>
    <w:rPr>
      <w:rFonts w:ascii="Tahoma" w:hAnsi="Tahoma" w:cs="Tahoma"/>
      <w:sz w:val="16"/>
      <w:szCs w:val="16"/>
    </w:rPr>
  </w:style>
  <w:style w:type="character" w:customStyle="1" w:styleId="BalloonTextChar">
    <w:name w:val="Balloon Text Char"/>
    <w:basedOn w:val="DefaultParagraphFont"/>
    <w:link w:val="BalloonText"/>
    <w:uiPriority w:val="99"/>
    <w:semiHidden/>
    <w:rsid w:val="009B3B94"/>
    <w:rPr>
      <w:rFonts w:ascii="Tahoma" w:hAnsi="Tahoma" w:cs="Tahoma"/>
      <w:sz w:val="16"/>
      <w:szCs w:val="16"/>
    </w:rPr>
  </w:style>
  <w:style w:type="paragraph" w:styleId="Revision">
    <w:name w:val="Revision"/>
    <w:hidden/>
    <w:uiPriority w:val="99"/>
    <w:semiHidden/>
    <w:rsid w:val="005C649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references/policy/1400/1404.09-employee-reimbursemen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han.childrensmn.org/references/policy/1400/1404.09-employee-reimbursement.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00641-86B2-431F-9F10-8DF14266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1039</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7390</CharactersWithSpaces>
  <SharedDoc>false</SharedDoc>
  <HLinks>
    <vt:vector size="12" baseType="variant">
      <vt:variant>
        <vt:i4>2949180</vt:i4>
      </vt:variant>
      <vt:variant>
        <vt:i4>3</vt:i4>
      </vt:variant>
      <vt:variant>
        <vt:i4>0</vt:i4>
      </vt:variant>
      <vt:variant>
        <vt:i4>5</vt:i4>
      </vt:variant>
      <vt:variant>
        <vt:lpwstr>http://khan.childrensmn.org/manuals/policy/1400/005704.asp</vt:lpwstr>
      </vt:variant>
      <vt:variant>
        <vt:lpwstr/>
      </vt:variant>
      <vt:variant>
        <vt:i4>2949180</vt:i4>
      </vt:variant>
      <vt:variant>
        <vt:i4>0</vt:i4>
      </vt:variant>
      <vt:variant>
        <vt:i4>0</vt:i4>
      </vt:variant>
      <vt:variant>
        <vt:i4>5</vt:i4>
      </vt:variant>
      <vt:variant>
        <vt:lpwstr>http://khan.childrensmn.org/manuals/policy/1400/005704.asp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CE080372</dc:creator>
  <cp:keywords/>
  <dc:description/>
  <cp:lastModifiedBy>CE132454</cp:lastModifiedBy>
  <cp:revision>13</cp:revision>
  <cp:lastPrinted>2016-05-03T17:46:00Z</cp:lastPrinted>
  <dcterms:created xsi:type="dcterms:W3CDTF">2014-03-13T15:36:00Z</dcterms:created>
  <dcterms:modified xsi:type="dcterms:W3CDTF">2016-05-03T19:15:00Z</dcterms:modified>
</cp:coreProperties>
</file>