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40"/>
        <w:gridCol w:w="2340"/>
        <w:gridCol w:w="1980"/>
        <w:gridCol w:w="3600"/>
      </w:tblGrid>
      <w:tr w:rsidR="009C5880" w:rsidRPr="001F1DBE">
        <w:trPr>
          <w:cantSplit/>
        </w:trPr>
        <w:tc>
          <w:tcPr>
            <w:tcW w:w="11160" w:type="dxa"/>
            <w:gridSpan w:val="5"/>
            <w:tcBorders>
              <w:top w:val="nil"/>
              <w:left w:val="nil"/>
              <w:bottom w:val="nil"/>
              <w:right w:val="nil"/>
            </w:tcBorders>
          </w:tcPr>
          <w:p w:rsidR="009C5880" w:rsidRPr="001F1DBE" w:rsidRDefault="009C5880">
            <w:pPr>
              <w:rPr>
                <w:rFonts w:ascii="Arial" w:hAnsi="Arial" w:cs="Arial"/>
                <w:b/>
                <w:bCs/>
                <w:color w:val="0000FF"/>
                <w:sz w:val="36"/>
              </w:rPr>
            </w:pPr>
            <w:r w:rsidRPr="001F1DBE">
              <w:rPr>
                <w:rFonts w:ascii="Arial" w:hAnsi="Arial" w:cs="Arial"/>
                <w:b/>
                <w:bCs/>
                <w:color w:val="0000FF"/>
                <w:sz w:val="36"/>
              </w:rPr>
              <w:t>ACTH (Adrenocorticotropic Hormone)</w:t>
            </w:r>
          </w:p>
          <w:p w:rsidR="009C5880" w:rsidRPr="001F1DBE" w:rsidRDefault="009C5880">
            <w:pPr>
              <w:pStyle w:val="BodyText"/>
              <w:rPr>
                <w:rFonts w:ascii="Arial" w:hAnsi="Arial" w:cs="Arial"/>
                <w:sz w:val="24"/>
              </w:rPr>
            </w:pPr>
          </w:p>
        </w:tc>
      </w:tr>
      <w:tr w:rsidR="009C5880" w:rsidRPr="001F1DBE">
        <w:trPr>
          <w:cantSplit/>
          <w:trHeight w:val="1025"/>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Purpose</w:t>
            </w:r>
          </w:p>
        </w:tc>
        <w:tc>
          <w:tcPr>
            <w:tcW w:w="9360" w:type="dxa"/>
            <w:gridSpan w:val="4"/>
            <w:tcBorders>
              <w:top w:val="single" w:sz="4" w:space="0" w:color="auto"/>
              <w:left w:val="nil"/>
              <w:bottom w:val="single" w:sz="4" w:space="0" w:color="auto"/>
              <w:right w:val="nil"/>
            </w:tcBorders>
          </w:tcPr>
          <w:p w:rsidR="009C5880" w:rsidRPr="001F1DBE" w:rsidRDefault="009C5880">
            <w:pPr>
              <w:pStyle w:val="BodyText"/>
              <w:jc w:val="left"/>
              <w:rPr>
                <w:rFonts w:ascii="Arial" w:hAnsi="Arial" w:cs="Arial"/>
              </w:rPr>
            </w:pPr>
          </w:p>
          <w:p w:rsidR="009C5880" w:rsidRPr="001F1DBE" w:rsidRDefault="009C5880">
            <w:pPr>
              <w:jc w:val="left"/>
              <w:rPr>
                <w:rFonts w:ascii="Arial" w:hAnsi="Arial" w:cs="Arial"/>
                <w:sz w:val="20"/>
              </w:rPr>
            </w:pPr>
            <w:r w:rsidRPr="001F1DBE">
              <w:rPr>
                <w:rFonts w:ascii="Arial" w:hAnsi="Arial" w:cs="Arial"/>
                <w:sz w:val="20"/>
              </w:rPr>
              <w:t>This procedure provides instructions for ACTH (ADRENOCORTICOTROPIC HORMONE) on the Siemens DPC Immulite ® 2000.</w:t>
            </w:r>
          </w:p>
        </w:tc>
      </w:tr>
      <w:tr w:rsidR="009C5880" w:rsidRPr="001F1DBE">
        <w:trPr>
          <w:cantSplit/>
          <w:trHeight w:val="1025"/>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rPr>
                <w:rFonts w:ascii="Arial" w:hAnsi="Arial" w:cs="Arial"/>
                <w:b/>
                <w:bCs/>
                <w:color w:val="0000FF"/>
                <w:sz w:val="20"/>
              </w:rPr>
            </w:pPr>
            <w:r w:rsidRPr="001F1DBE">
              <w:rPr>
                <w:rFonts w:ascii="Arial" w:hAnsi="Arial" w:cs="Arial"/>
                <w:b/>
                <w:bCs/>
                <w:color w:val="0000FF"/>
                <w:sz w:val="20"/>
              </w:rPr>
              <w:t>Principle</w:t>
            </w:r>
          </w:p>
          <w:p w:rsidR="009C5880" w:rsidRPr="001F1DBE" w:rsidRDefault="009C5880">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tcPr>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IMMULITE® 2000 ACTH is a solid-phase, two-site sequential chemiluminescent immunometric assay. The IMMULITE ® 2000 assay is traceable to an internal standard manufactured using qualified materials and measurement procedures.</w:t>
            </w:r>
          </w:p>
          <w:p w:rsidR="009C5880" w:rsidRPr="001F1DBE" w:rsidRDefault="009C5880">
            <w:pPr>
              <w:jc w:val="left"/>
              <w:rPr>
                <w:rFonts w:ascii="Arial" w:hAnsi="Arial" w:cs="Arial"/>
                <w:iCs/>
                <w:sz w:val="20"/>
              </w:rPr>
            </w:pPr>
          </w:p>
        </w:tc>
      </w:tr>
      <w:tr w:rsidR="009C5880" w:rsidRPr="001F1DBE" w:rsidTr="009C5880">
        <w:trPr>
          <w:cantSplit/>
          <w:trHeight w:val="647"/>
        </w:trPr>
        <w:tc>
          <w:tcPr>
            <w:tcW w:w="1800" w:type="dxa"/>
            <w:tcBorders>
              <w:top w:val="nil"/>
              <w:left w:val="nil"/>
              <w:bottom w:val="nil"/>
              <w:right w:val="nil"/>
            </w:tcBorders>
          </w:tcPr>
          <w:p w:rsidR="009C5880" w:rsidRPr="001F1DBE" w:rsidRDefault="009C5880" w:rsidP="009C5880">
            <w:pPr>
              <w:jc w:val="left"/>
              <w:rPr>
                <w:rFonts w:ascii="Arial" w:hAnsi="Arial" w:cs="Arial"/>
                <w:b/>
                <w:bCs/>
                <w:color w:val="0000FF"/>
                <w:sz w:val="20"/>
              </w:rPr>
            </w:pPr>
          </w:p>
          <w:p w:rsidR="009C5880" w:rsidRPr="001F1DBE" w:rsidRDefault="009C5880" w:rsidP="009C5880">
            <w:pPr>
              <w:jc w:val="left"/>
              <w:rPr>
                <w:rFonts w:ascii="Arial" w:hAnsi="Arial" w:cs="Arial"/>
                <w:b/>
                <w:bCs/>
                <w:color w:val="0000FF"/>
                <w:sz w:val="20"/>
              </w:rPr>
            </w:pPr>
            <w:r w:rsidRPr="001F1DBE">
              <w:rPr>
                <w:rFonts w:ascii="Arial" w:hAnsi="Arial" w:cs="Arial"/>
                <w:b/>
                <w:bCs/>
                <w:color w:val="0000FF"/>
                <w:sz w:val="20"/>
              </w:rPr>
              <w:t>Policy Statements</w:t>
            </w:r>
          </w:p>
        </w:tc>
        <w:tc>
          <w:tcPr>
            <w:tcW w:w="9360" w:type="dxa"/>
            <w:gridSpan w:val="4"/>
            <w:tcBorders>
              <w:top w:val="single" w:sz="4" w:space="0" w:color="auto"/>
              <w:left w:val="nil"/>
              <w:bottom w:val="single" w:sz="4" w:space="0" w:color="auto"/>
              <w:right w:val="nil"/>
            </w:tcBorders>
          </w:tcPr>
          <w:p w:rsidR="009C5880" w:rsidRPr="001F1DBE" w:rsidRDefault="009C5880" w:rsidP="009C5880">
            <w:pPr>
              <w:jc w:val="left"/>
              <w:rPr>
                <w:rFonts w:ascii="Arial" w:hAnsi="Arial" w:cs="Arial"/>
                <w:iCs/>
                <w:sz w:val="20"/>
              </w:rPr>
            </w:pPr>
          </w:p>
          <w:p w:rsidR="009C5880" w:rsidRPr="001F1DBE" w:rsidRDefault="009C5880" w:rsidP="009C5880">
            <w:pPr>
              <w:jc w:val="left"/>
              <w:rPr>
                <w:rFonts w:ascii="Arial" w:hAnsi="Arial" w:cs="Arial"/>
                <w:iCs/>
                <w:sz w:val="20"/>
              </w:rPr>
            </w:pPr>
            <w:r w:rsidRPr="001F1DBE">
              <w:rPr>
                <w:rFonts w:ascii="Arial" w:hAnsi="Arial" w:cs="Arial"/>
                <w:iCs/>
                <w:sz w:val="20"/>
              </w:rPr>
              <w:t>This procedure applies to all personnel who run the Immulite® 2000</w:t>
            </w:r>
            <w:r w:rsidR="001F1DBE">
              <w:rPr>
                <w:rFonts w:ascii="Arial" w:hAnsi="Arial" w:cs="Arial"/>
                <w:iCs/>
                <w:sz w:val="20"/>
              </w:rPr>
              <w:t xml:space="preserve"> and to those who process samples for testing</w:t>
            </w:r>
            <w:r w:rsidRPr="001F1DBE">
              <w:rPr>
                <w:rFonts w:ascii="Arial" w:hAnsi="Arial" w:cs="Arial"/>
                <w:iCs/>
                <w:sz w:val="20"/>
              </w:rPr>
              <w:t>.</w:t>
            </w:r>
          </w:p>
          <w:p w:rsidR="009C5880" w:rsidRPr="001F1DBE" w:rsidRDefault="009C5880" w:rsidP="009C5880">
            <w:pPr>
              <w:jc w:val="left"/>
              <w:rPr>
                <w:rFonts w:ascii="Arial" w:hAnsi="Arial" w:cs="Arial"/>
                <w:iCs/>
                <w:sz w:val="20"/>
              </w:rPr>
            </w:pPr>
          </w:p>
        </w:tc>
      </w:tr>
      <w:tr w:rsidR="009C5880" w:rsidRPr="001F1DBE">
        <w:trPr>
          <w:cantSplit/>
          <w:trHeight w:val="1025"/>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rPr>
                <w:rFonts w:ascii="Arial" w:hAnsi="Arial" w:cs="Arial"/>
                <w:b/>
                <w:bCs/>
                <w:color w:val="0000FF"/>
                <w:sz w:val="20"/>
              </w:rPr>
            </w:pPr>
            <w:r w:rsidRPr="001F1DBE">
              <w:rPr>
                <w:rFonts w:ascii="Arial" w:hAnsi="Arial" w:cs="Arial"/>
                <w:b/>
                <w:bCs/>
                <w:color w:val="0000FF"/>
                <w:sz w:val="20"/>
              </w:rPr>
              <w:t>Clinical Significance</w:t>
            </w:r>
          </w:p>
          <w:p w:rsidR="009C5880" w:rsidRPr="001F1DBE" w:rsidRDefault="009C5880">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tcPr>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Adrenocorticotropic hormone (ACTH) is a polypeptide hormone that exists principally as a chain 39 amino acids long, with a molecular mass of approximately 4,500 Daltons. It is produced in the pituitary and serves to stimulate steroid production by the adrenal cortex. ACTH secretion is in turn controlled by the hypothalamic hormone corticotrophin releasing factor and by negative feedback from cortisol.</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ACTH determinations are valuable in the differential diagnosis of adrenal insufficiency and hypersecretion. In Addison’s disease (primary adrenal insufficiency), elevated levels are typical, whereas low levels are the rule when adrenal insufficiency is secondary to pituitary dysfunction.</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ACTH can also help identify cortisol hypersecretion in Cushing’s syndrome. ACTH levels are low when this is due to lesions or hyperplasia of the adrenal cortex, and high when it is due to ectopic ACTH production or hypersecretion of ACTH by the pituitary.</w:t>
            </w:r>
          </w:p>
          <w:p w:rsidR="009C5880" w:rsidRPr="001F1DBE" w:rsidRDefault="009C5880">
            <w:pPr>
              <w:jc w:val="left"/>
              <w:rPr>
                <w:rFonts w:ascii="Arial" w:hAnsi="Arial" w:cs="Arial"/>
                <w:iCs/>
                <w:sz w:val="20"/>
              </w:rPr>
            </w:pPr>
          </w:p>
        </w:tc>
      </w:tr>
      <w:tr w:rsidR="009C5880" w:rsidRPr="001F1DBE">
        <w:trPr>
          <w:cantSplit/>
          <w:trHeight w:val="629"/>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rPr>
                <w:rFonts w:ascii="Arial" w:hAnsi="Arial" w:cs="Arial"/>
                <w:b/>
                <w:bCs/>
                <w:color w:val="0000FF"/>
                <w:sz w:val="20"/>
              </w:rPr>
            </w:pPr>
            <w:r w:rsidRPr="001F1DBE">
              <w:rPr>
                <w:rFonts w:ascii="Arial" w:hAnsi="Arial" w:cs="Arial"/>
                <w:b/>
                <w:bCs/>
                <w:color w:val="0000FF"/>
                <w:sz w:val="20"/>
              </w:rPr>
              <w:t>Instrument</w:t>
            </w:r>
          </w:p>
          <w:p w:rsidR="009C5880" w:rsidRPr="001F1DBE" w:rsidRDefault="009C5880">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tcPr>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Siemens DPC Immulite® 2000</w:t>
            </w:r>
          </w:p>
          <w:p w:rsidR="009C5880" w:rsidRPr="001F1DBE" w:rsidRDefault="009C5880">
            <w:pPr>
              <w:jc w:val="left"/>
              <w:rPr>
                <w:rFonts w:ascii="Arial" w:hAnsi="Arial" w:cs="Arial"/>
                <w:iCs/>
                <w:sz w:val="20"/>
              </w:rPr>
            </w:pPr>
          </w:p>
        </w:tc>
      </w:tr>
      <w:tr w:rsidR="009C5880" w:rsidRPr="001F1DBE" w:rsidTr="00024D01">
        <w:trPr>
          <w:cantSplit/>
          <w:trHeight w:val="1394"/>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1F1DBE">
            <w:pPr>
              <w:rPr>
                <w:rFonts w:ascii="Arial" w:hAnsi="Arial" w:cs="Arial"/>
                <w:b/>
                <w:bCs/>
                <w:color w:val="0000FF"/>
                <w:sz w:val="20"/>
              </w:rPr>
            </w:pPr>
            <w:r>
              <w:rPr>
                <w:rFonts w:ascii="Arial" w:hAnsi="Arial" w:cs="Arial"/>
                <w:b/>
                <w:bCs/>
                <w:color w:val="0000FF"/>
                <w:sz w:val="20"/>
              </w:rPr>
              <w:t xml:space="preserve">Sunquest </w:t>
            </w:r>
            <w:r w:rsidR="009C5880" w:rsidRPr="001F1DBE">
              <w:rPr>
                <w:rFonts w:ascii="Arial" w:hAnsi="Arial" w:cs="Arial"/>
                <w:b/>
                <w:bCs/>
                <w:color w:val="0000FF"/>
                <w:sz w:val="20"/>
              </w:rPr>
              <w:t>Test Code</w:t>
            </w:r>
          </w:p>
        </w:tc>
        <w:tc>
          <w:tcPr>
            <w:tcW w:w="9360" w:type="dxa"/>
            <w:gridSpan w:val="4"/>
            <w:tcBorders>
              <w:top w:val="single" w:sz="4" w:space="0" w:color="auto"/>
              <w:left w:val="nil"/>
              <w:bottom w:val="single" w:sz="4" w:space="0" w:color="auto"/>
              <w:right w:val="nil"/>
            </w:tcBorders>
            <w:vAlign w:val="center"/>
          </w:tcPr>
          <w:p w:rsidR="009C5880" w:rsidRPr="001F1DBE" w:rsidRDefault="009C5880" w:rsidP="009C5880">
            <w:pPr>
              <w:tabs>
                <w:tab w:val="left" w:pos="1260"/>
              </w:tabs>
              <w:ind w:left="113"/>
              <w:jc w:val="left"/>
              <w:rPr>
                <w:rFonts w:ascii="Arial" w:hAnsi="Arial" w:cs="Arial"/>
                <w:iCs/>
                <w:sz w:val="20"/>
                <w:szCs w:val="20"/>
              </w:rPr>
            </w:pPr>
            <w:r w:rsidRPr="001F1DBE">
              <w:rPr>
                <w:rFonts w:ascii="Arial" w:hAnsi="Arial" w:cs="Arial"/>
                <w:iCs/>
                <w:sz w:val="20"/>
                <w:szCs w:val="20"/>
              </w:rPr>
              <w:t>ADCT (Adrenocorticotropic</w:t>
            </w:r>
            <w:r w:rsidR="001F1DBE">
              <w:rPr>
                <w:rFonts w:ascii="Arial" w:hAnsi="Arial" w:cs="Arial"/>
                <w:iCs/>
                <w:sz w:val="20"/>
                <w:szCs w:val="20"/>
              </w:rPr>
              <w:t xml:space="preserve"> Hormone) </w:t>
            </w:r>
            <w:r w:rsidRPr="001F1DBE">
              <w:rPr>
                <w:rFonts w:ascii="Arial" w:hAnsi="Arial" w:cs="Arial"/>
                <w:iCs/>
                <w:sz w:val="20"/>
                <w:szCs w:val="20"/>
              </w:rPr>
              <w:t>Plasma ACTH pg/mL</w:t>
            </w:r>
          </w:p>
          <w:p w:rsidR="00AD4BE3" w:rsidRPr="001F1DBE" w:rsidRDefault="00CD44C9" w:rsidP="00AD4BE3">
            <w:pPr>
              <w:numPr>
                <w:ilvl w:val="0"/>
                <w:numId w:val="34"/>
              </w:numPr>
              <w:jc w:val="left"/>
              <w:rPr>
                <w:rFonts w:ascii="Arial" w:hAnsi="Arial" w:cs="Arial"/>
                <w:sz w:val="20"/>
              </w:rPr>
            </w:pPr>
            <w:r w:rsidRPr="001F1DBE">
              <w:rPr>
                <w:rFonts w:ascii="Arial" w:hAnsi="Arial" w:cs="Arial"/>
                <w:sz w:val="20"/>
              </w:rPr>
              <w:t>T</w:t>
            </w:r>
            <w:r w:rsidR="00AD4BE3" w:rsidRPr="001F1DBE">
              <w:rPr>
                <w:rFonts w:ascii="Arial" w:hAnsi="Arial" w:cs="Arial"/>
                <w:sz w:val="20"/>
              </w:rPr>
              <w:t>esting is performed within 12 hours of receipt</w:t>
            </w:r>
            <w:r w:rsidR="00A94BFC" w:rsidRPr="001F1DBE">
              <w:rPr>
                <w:rFonts w:ascii="Arial" w:hAnsi="Arial" w:cs="Arial"/>
                <w:sz w:val="20"/>
              </w:rPr>
              <w:t xml:space="preserve"> in St. Paul Lab</w:t>
            </w:r>
          </w:p>
          <w:p w:rsidR="00AD4BE3" w:rsidRPr="001F1DBE" w:rsidRDefault="00AD4BE3" w:rsidP="00C7061A">
            <w:pPr>
              <w:numPr>
                <w:ilvl w:val="0"/>
                <w:numId w:val="34"/>
              </w:numPr>
              <w:jc w:val="left"/>
              <w:rPr>
                <w:rFonts w:ascii="Arial" w:hAnsi="Arial" w:cs="Arial"/>
                <w:sz w:val="20"/>
              </w:rPr>
            </w:pPr>
            <w:r w:rsidRPr="001F1DBE">
              <w:rPr>
                <w:rFonts w:ascii="Arial" w:hAnsi="Arial" w:cs="Arial"/>
                <w:sz w:val="20"/>
              </w:rPr>
              <w:t xml:space="preserve">Routine testing is performed </w:t>
            </w:r>
            <w:r w:rsidR="001F1DBE">
              <w:rPr>
                <w:rFonts w:ascii="Arial" w:hAnsi="Arial" w:cs="Arial"/>
                <w:sz w:val="20"/>
              </w:rPr>
              <w:t xml:space="preserve">daily from </w:t>
            </w:r>
            <w:r w:rsidR="00C7061A" w:rsidRPr="001F1DBE">
              <w:rPr>
                <w:rFonts w:ascii="Arial" w:hAnsi="Arial" w:cs="Arial"/>
                <w:sz w:val="20"/>
              </w:rPr>
              <w:t>6:30 am to 10:00 pm.</w:t>
            </w:r>
          </w:p>
          <w:p w:rsidR="009C5880" w:rsidRPr="001F1DBE" w:rsidRDefault="009C5880" w:rsidP="009C5880">
            <w:pPr>
              <w:jc w:val="left"/>
              <w:rPr>
                <w:rFonts w:ascii="Arial" w:hAnsi="Arial" w:cs="Arial"/>
                <w:iCs/>
                <w:sz w:val="20"/>
              </w:rPr>
            </w:pPr>
          </w:p>
        </w:tc>
      </w:tr>
      <w:tr w:rsidR="009C5880" w:rsidRPr="001F1DBE" w:rsidTr="00024D01">
        <w:trPr>
          <w:trHeight w:val="935"/>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Specimen</w:t>
            </w:r>
          </w:p>
        </w:tc>
        <w:tc>
          <w:tcPr>
            <w:tcW w:w="9360" w:type="dxa"/>
            <w:gridSpan w:val="4"/>
            <w:tcBorders>
              <w:top w:val="single" w:sz="4" w:space="0" w:color="auto"/>
              <w:left w:val="nil"/>
              <w:bottom w:val="single" w:sz="4" w:space="0" w:color="auto"/>
              <w:right w:val="nil"/>
            </w:tcBorders>
          </w:tcPr>
          <w:p w:rsidR="009C5880" w:rsidRPr="001F1DBE" w:rsidRDefault="009C5880">
            <w:pPr>
              <w:jc w:val="left"/>
              <w:rPr>
                <w:rFonts w:ascii="Arial" w:hAnsi="Arial" w:cs="Arial"/>
                <w:iCs/>
                <w:sz w:val="20"/>
              </w:rPr>
            </w:pPr>
          </w:p>
          <w:p w:rsidR="009C5880" w:rsidRPr="001F1DBE" w:rsidRDefault="009C5880">
            <w:pPr>
              <w:numPr>
                <w:ilvl w:val="0"/>
                <w:numId w:val="24"/>
              </w:numPr>
              <w:tabs>
                <w:tab w:val="clear" w:pos="360"/>
              </w:tabs>
              <w:ind w:left="252" w:hanging="252"/>
              <w:jc w:val="left"/>
              <w:rPr>
                <w:rFonts w:ascii="Arial" w:hAnsi="Arial" w:cs="Arial"/>
                <w:iCs/>
                <w:sz w:val="20"/>
              </w:rPr>
            </w:pPr>
            <w:r w:rsidRPr="001F1DBE">
              <w:rPr>
                <w:rFonts w:ascii="Arial" w:hAnsi="Arial" w:cs="Arial"/>
                <w:iCs/>
                <w:sz w:val="20"/>
              </w:rPr>
              <w:t>EDTA plasma, collected in tubes without gel barriers (see special instructions for collection and processing of samples)</w:t>
            </w:r>
          </w:p>
          <w:p w:rsidR="009C5880" w:rsidRPr="001F1DBE" w:rsidRDefault="009C5880">
            <w:pPr>
              <w:numPr>
                <w:ilvl w:val="0"/>
                <w:numId w:val="24"/>
              </w:numPr>
              <w:tabs>
                <w:tab w:val="clear" w:pos="360"/>
              </w:tabs>
              <w:ind w:left="252" w:hanging="252"/>
              <w:jc w:val="left"/>
              <w:rPr>
                <w:rFonts w:ascii="Arial" w:hAnsi="Arial" w:cs="Arial"/>
                <w:iCs/>
                <w:sz w:val="20"/>
              </w:rPr>
            </w:pPr>
            <w:r w:rsidRPr="001F1DBE">
              <w:rPr>
                <w:rFonts w:ascii="Arial" w:hAnsi="Arial" w:cs="Arial"/>
                <w:iCs/>
                <w:sz w:val="20"/>
              </w:rPr>
              <w:t>Samples should be drawn between 6 AM and 10 AM for peak values.</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b/>
                <w:bCs/>
                <w:iCs/>
                <w:sz w:val="20"/>
              </w:rPr>
            </w:pPr>
            <w:r w:rsidRPr="001F1DBE">
              <w:rPr>
                <w:rFonts w:ascii="Arial" w:hAnsi="Arial" w:cs="Arial"/>
                <w:b/>
                <w:bCs/>
                <w:iCs/>
                <w:sz w:val="20"/>
              </w:rPr>
              <w:t>Minimum volume:</w:t>
            </w:r>
          </w:p>
          <w:p w:rsidR="009C5880" w:rsidRPr="001F1DBE" w:rsidRDefault="001F1DBE">
            <w:pPr>
              <w:numPr>
                <w:ilvl w:val="0"/>
                <w:numId w:val="25"/>
              </w:numPr>
              <w:jc w:val="left"/>
              <w:rPr>
                <w:rFonts w:ascii="Arial" w:hAnsi="Arial" w:cs="Arial"/>
                <w:iCs/>
                <w:sz w:val="20"/>
              </w:rPr>
            </w:pPr>
            <w:r>
              <w:rPr>
                <w:rFonts w:ascii="Arial" w:hAnsi="Arial" w:cs="Arial"/>
                <w:iCs/>
                <w:sz w:val="20"/>
              </w:rPr>
              <w:t>500µL</w:t>
            </w:r>
            <w:r w:rsidR="009C5880" w:rsidRPr="001F1DBE">
              <w:rPr>
                <w:rFonts w:ascii="Arial" w:hAnsi="Arial" w:cs="Arial"/>
                <w:iCs/>
                <w:sz w:val="20"/>
              </w:rPr>
              <w:t xml:space="preserve"> (12x75 tube) preferred</w:t>
            </w:r>
          </w:p>
          <w:p w:rsidR="009C5880" w:rsidRPr="001F1DBE" w:rsidRDefault="001F1DBE">
            <w:pPr>
              <w:numPr>
                <w:ilvl w:val="0"/>
                <w:numId w:val="25"/>
              </w:numPr>
              <w:jc w:val="left"/>
              <w:rPr>
                <w:rFonts w:ascii="Arial" w:hAnsi="Arial" w:cs="Arial"/>
                <w:iCs/>
                <w:sz w:val="20"/>
              </w:rPr>
            </w:pPr>
            <w:r>
              <w:rPr>
                <w:rFonts w:ascii="Arial" w:hAnsi="Arial" w:cs="Arial"/>
                <w:iCs/>
                <w:sz w:val="20"/>
              </w:rPr>
              <w:t>200µL</w:t>
            </w:r>
            <w:r w:rsidR="009C5880" w:rsidRPr="001F1DBE">
              <w:rPr>
                <w:rFonts w:ascii="Arial" w:hAnsi="Arial" w:cs="Arial"/>
                <w:iCs/>
                <w:sz w:val="20"/>
              </w:rPr>
              <w:t xml:space="preserve"> (micro) absolute minimum</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b/>
                <w:bCs/>
                <w:iCs/>
                <w:sz w:val="20"/>
              </w:rPr>
            </w:pPr>
            <w:r w:rsidRPr="001F1DBE">
              <w:rPr>
                <w:rFonts w:ascii="Arial" w:hAnsi="Arial" w:cs="Arial"/>
                <w:b/>
                <w:bCs/>
                <w:iCs/>
                <w:sz w:val="20"/>
              </w:rPr>
              <w:t>Stability:</w:t>
            </w:r>
          </w:p>
          <w:p w:rsidR="009C5880" w:rsidRPr="001F1DBE" w:rsidRDefault="009C5880">
            <w:pPr>
              <w:jc w:val="left"/>
              <w:rPr>
                <w:rFonts w:ascii="Arial" w:hAnsi="Arial" w:cs="Arial"/>
                <w:iCs/>
                <w:sz w:val="20"/>
              </w:rPr>
            </w:pPr>
            <w:r w:rsidRPr="001F1DBE">
              <w:rPr>
                <w:rFonts w:ascii="Arial" w:hAnsi="Arial" w:cs="Arial"/>
                <w:iCs/>
                <w:sz w:val="20"/>
              </w:rPr>
              <w:t>30 days</w:t>
            </w:r>
            <w:r w:rsidR="005D59CF">
              <w:rPr>
                <w:rFonts w:ascii="Arial" w:hAnsi="Arial" w:cs="Arial"/>
                <w:iCs/>
                <w:sz w:val="20"/>
              </w:rPr>
              <w:t xml:space="preserve"> frozen</w:t>
            </w:r>
            <w:r w:rsidRPr="001F1DBE">
              <w:rPr>
                <w:rFonts w:ascii="Arial" w:hAnsi="Arial" w:cs="Arial"/>
                <w:iCs/>
                <w:sz w:val="20"/>
              </w:rPr>
              <w:t xml:space="preserve"> at –20°C</w:t>
            </w:r>
          </w:p>
          <w:p w:rsidR="009C5880" w:rsidRPr="001F1DBE" w:rsidRDefault="009C5880">
            <w:pPr>
              <w:jc w:val="left"/>
              <w:rPr>
                <w:rFonts w:ascii="Arial" w:hAnsi="Arial" w:cs="Arial"/>
                <w:iCs/>
                <w:sz w:val="20"/>
              </w:rPr>
            </w:pPr>
            <w:r w:rsidRPr="001F1DBE">
              <w:rPr>
                <w:rFonts w:ascii="Arial" w:hAnsi="Arial" w:cs="Arial"/>
                <w:iCs/>
                <w:sz w:val="20"/>
              </w:rPr>
              <w:t>Values increase within 90 seconds of traumatic, repeated, or prolonged venipuncture.</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b/>
                <w:bCs/>
                <w:iCs/>
                <w:sz w:val="20"/>
              </w:rPr>
            </w:pPr>
            <w:r w:rsidRPr="001F1DBE">
              <w:rPr>
                <w:rFonts w:ascii="Arial" w:hAnsi="Arial" w:cs="Arial"/>
                <w:b/>
                <w:bCs/>
                <w:iCs/>
                <w:sz w:val="20"/>
              </w:rPr>
              <w:t>Special instructions for specimen collection:</w:t>
            </w:r>
          </w:p>
          <w:p w:rsidR="001F1DBE" w:rsidRDefault="001F1DBE">
            <w:pPr>
              <w:numPr>
                <w:ilvl w:val="0"/>
                <w:numId w:val="26"/>
              </w:numPr>
              <w:jc w:val="left"/>
              <w:rPr>
                <w:rFonts w:ascii="Arial" w:hAnsi="Arial" w:cs="Arial"/>
                <w:iCs/>
                <w:sz w:val="20"/>
              </w:rPr>
            </w:pPr>
            <w:r>
              <w:rPr>
                <w:rFonts w:ascii="Arial" w:hAnsi="Arial" w:cs="Arial"/>
                <w:iCs/>
                <w:sz w:val="20"/>
              </w:rPr>
              <w:t xml:space="preserve">Pre-chill EDTA tube using </w:t>
            </w:r>
            <w:r w:rsidR="005D59CF">
              <w:rPr>
                <w:rFonts w:ascii="Arial" w:hAnsi="Arial" w:cs="Arial"/>
                <w:iCs/>
                <w:sz w:val="20"/>
              </w:rPr>
              <w:t xml:space="preserve">packed </w:t>
            </w:r>
            <w:r>
              <w:rPr>
                <w:rFonts w:ascii="Arial" w:hAnsi="Arial" w:cs="Arial"/>
                <w:iCs/>
                <w:sz w:val="20"/>
              </w:rPr>
              <w:t>wet ice</w:t>
            </w:r>
          </w:p>
          <w:p w:rsidR="009C5880" w:rsidRPr="001F1DBE" w:rsidRDefault="009C5880" w:rsidP="001F1DBE">
            <w:pPr>
              <w:numPr>
                <w:ilvl w:val="0"/>
                <w:numId w:val="26"/>
              </w:numPr>
              <w:jc w:val="left"/>
              <w:rPr>
                <w:rFonts w:ascii="Arial" w:hAnsi="Arial" w:cs="Arial"/>
                <w:iCs/>
                <w:sz w:val="20"/>
              </w:rPr>
            </w:pPr>
            <w:r w:rsidRPr="001F1DBE">
              <w:rPr>
                <w:rFonts w:ascii="Arial" w:hAnsi="Arial" w:cs="Arial"/>
                <w:iCs/>
                <w:sz w:val="20"/>
              </w:rPr>
              <w:t xml:space="preserve">Collect blood by atraumatic venipuncture </w:t>
            </w:r>
          </w:p>
          <w:p w:rsidR="009C5880" w:rsidRPr="001F1DBE" w:rsidRDefault="009C5880">
            <w:pPr>
              <w:numPr>
                <w:ilvl w:val="0"/>
                <w:numId w:val="26"/>
              </w:numPr>
              <w:jc w:val="left"/>
              <w:rPr>
                <w:rFonts w:ascii="Arial" w:hAnsi="Arial" w:cs="Arial"/>
                <w:iCs/>
                <w:sz w:val="20"/>
              </w:rPr>
            </w:pPr>
            <w:r w:rsidRPr="001F1DBE">
              <w:rPr>
                <w:rFonts w:ascii="Arial" w:hAnsi="Arial" w:cs="Arial"/>
                <w:iCs/>
                <w:sz w:val="20"/>
              </w:rPr>
              <w:t>Mix 8-10 times by inversion</w:t>
            </w:r>
          </w:p>
          <w:p w:rsidR="009C5880" w:rsidRPr="001F1DBE" w:rsidRDefault="009C5880">
            <w:pPr>
              <w:numPr>
                <w:ilvl w:val="0"/>
                <w:numId w:val="26"/>
              </w:numPr>
              <w:jc w:val="left"/>
              <w:rPr>
                <w:rFonts w:ascii="Arial" w:hAnsi="Arial" w:cs="Arial"/>
                <w:iCs/>
                <w:sz w:val="20"/>
              </w:rPr>
            </w:pPr>
            <w:r w:rsidRPr="001F1DBE">
              <w:rPr>
                <w:rFonts w:ascii="Arial" w:hAnsi="Arial" w:cs="Arial"/>
                <w:iCs/>
                <w:sz w:val="20"/>
              </w:rPr>
              <w:t>Im</w:t>
            </w:r>
            <w:r w:rsidR="001F1DBE">
              <w:rPr>
                <w:rFonts w:ascii="Arial" w:hAnsi="Arial" w:cs="Arial"/>
                <w:iCs/>
                <w:sz w:val="20"/>
              </w:rPr>
              <w:t xml:space="preserve">mediately retun tube to </w:t>
            </w:r>
            <w:r w:rsidR="005D59CF">
              <w:rPr>
                <w:rFonts w:ascii="Arial" w:hAnsi="Arial" w:cs="Arial"/>
                <w:iCs/>
                <w:sz w:val="20"/>
              </w:rPr>
              <w:t xml:space="preserve">packed </w:t>
            </w:r>
            <w:r w:rsidR="001F1DBE">
              <w:rPr>
                <w:rFonts w:ascii="Arial" w:hAnsi="Arial" w:cs="Arial"/>
                <w:iCs/>
                <w:sz w:val="20"/>
              </w:rPr>
              <w:t xml:space="preserve">wet ice </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p>
        </w:tc>
      </w:tr>
      <w:tr w:rsidR="009C5880" w:rsidRPr="001F1DBE" w:rsidTr="00024D01">
        <w:trPr>
          <w:cantSplit/>
          <w:trHeight w:val="935"/>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rPr>
                <w:rFonts w:ascii="Arial" w:hAnsi="Arial" w:cs="Arial"/>
                <w:b/>
                <w:bCs/>
                <w:color w:val="0000FF"/>
                <w:sz w:val="20"/>
              </w:rPr>
            </w:pPr>
            <w:r w:rsidRPr="001F1DBE">
              <w:rPr>
                <w:rFonts w:ascii="Arial" w:hAnsi="Arial" w:cs="Arial"/>
                <w:b/>
                <w:bCs/>
                <w:color w:val="0000FF"/>
                <w:sz w:val="20"/>
              </w:rPr>
              <w:t>Specimen (cont)</w:t>
            </w:r>
          </w:p>
        </w:tc>
        <w:tc>
          <w:tcPr>
            <w:tcW w:w="9360" w:type="dxa"/>
            <w:gridSpan w:val="4"/>
            <w:tcBorders>
              <w:top w:val="single" w:sz="4" w:space="0" w:color="auto"/>
              <w:left w:val="nil"/>
              <w:bottom w:val="nil"/>
              <w:right w:val="nil"/>
            </w:tcBorders>
          </w:tcPr>
          <w:p w:rsidR="009C5880" w:rsidRPr="001F1DBE" w:rsidRDefault="009C5880">
            <w:pPr>
              <w:jc w:val="left"/>
              <w:rPr>
                <w:rFonts w:ascii="Arial" w:hAnsi="Arial" w:cs="Arial"/>
                <w:b/>
                <w:bCs/>
                <w:iCs/>
                <w:sz w:val="20"/>
              </w:rPr>
            </w:pPr>
          </w:p>
          <w:p w:rsidR="009C5880" w:rsidRPr="001F1DBE" w:rsidRDefault="009C5880">
            <w:pPr>
              <w:jc w:val="left"/>
              <w:rPr>
                <w:rFonts w:ascii="Arial" w:hAnsi="Arial" w:cs="Arial"/>
                <w:b/>
                <w:bCs/>
                <w:iCs/>
                <w:sz w:val="20"/>
              </w:rPr>
            </w:pPr>
            <w:r w:rsidRPr="001F1DBE">
              <w:rPr>
                <w:rFonts w:ascii="Arial" w:hAnsi="Arial" w:cs="Arial"/>
                <w:b/>
                <w:bCs/>
                <w:iCs/>
                <w:sz w:val="20"/>
              </w:rPr>
              <w:t>Specimen Processing:</w:t>
            </w:r>
          </w:p>
          <w:p w:rsidR="009C5880" w:rsidRPr="001F1DBE" w:rsidRDefault="009C5880">
            <w:pPr>
              <w:numPr>
                <w:ilvl w:val="0"/>
                <w:numId w:val="27"/>
              </w:numPr>
              <w:jc w:val="left"/>
              <w:rPr>
                <w:rFonts w:ascii="Arial" w:hAnsi="Arial" w:cs="Arial"/>
                <w:iCs/>
                <w:sz w:val="20"/>
              </w:rPr>
            </w:pPr>
            <w:r w:rsidRPr="001F1DBE">
              <w:rPr>
                <w:rFonts w:ascii="Arial" w:hAnsi="Arial" w:cs="Arial"/>
                <w:iCs/>
                <w:sz w:val="20"/>
              </w:rPr>
              <w:t>Separate plasma from cells as soon as possible</w:t>
            </w:r>
            <w:r w:rsidR="001F1DBE">
              <w:rPr>
                <w:rFonts w:ascii="Arial" w:hAnsi="Arial" w:cs="Arial"/>
                <w:iCs/>
                <w:sz w:val="20"/>
              </w:rPr>
              <w:t xml:space="preserve"> after collection</w:t>
            </w:r>
            <w:r w:rsidRPr="001F1DBE">
              <w:rPr>
                <w:rFonts w:ascii="Arial" w:hAnsi="Arial" w:cs="Arial"/>
                <w:iCs/>
                <w:sz w:val="20"/>
              </w:rPr>
              <w:t xml:space="preserve"> using a refrigerated centrifuge.</w:t>
            </w:r>
          </w:p>
          <w:p w:rsidR="009C5880" w:rsidRDefault="009C5880">
            <w:pPr>
              <w:numPr>
                <w:ilvl w:val="0"/>
                <w:numId w:val="27"/>
              </w:numPr>
              <w:jc w:val="left"/>
              <w:rPr>
                <w:rFonts w:ascii="Arial" w:hAnsi="Arial" w:cs="Arial"/>
                <w:iCs/>
                <w:sz w:val="20"/>
              </w:rPr>
            </w:pPr>
            <w:r w:rsidRPr="001F1DBE">
              <w:rPr>
                <w:rFonts w:ascii="Arial" w:hAnsi="Arial" w:cs="Arial"/>
                <w:iCs/>
                <w:sz w:val="20"/>
              </w:rPr>
              <w:t xml:space="preserve">Transfer plasma to labeled </w:t>
            </w:r>
            <w:r w:rsidRPr="001F1DBE">
              <w:rPr>
                <w:rFonts w:ascii="Arial" w:hAnsi="Arial" w:cs="Arial"/>
                <w:b/>
                <w:bCs/>
                <w:iCs/>
                <w:sz w:val="20"/>
              </w:rPr>
              <w:t>plastic</w:t>
            </w:r>
            <w:r w:rsidRPr="001F1DBE">
              <w:rPr>
                <w:rFonts w:ascii="Arial" w:hAnsi="Arial" w:cs="Arial"/>
                <w:iCs/>
                <w:sz w:val="20"/>
              </w:rPr>
              <w:t xml:space="preserve"> tube, and freez</w:t>
            </w:r>
            <w:r w:rsidR="001F1DBE">
              <w:rPr>
                <w:rFonts w:ascii="Arial" w:hAnsi="Arial" w:cs="Arial"/>
                <w:iCs/>
                <w:sz w:val="20"/>
              </w:rPr>
              <w:t>e immediately at -20°C or lower, unless one of the conditions are met as described below.</w:t>
            </w:r>
          </w:p>
          <w:p w:rsidR="005D59CF" w:rsidRPr="001F1DBE" w:rsidRDefault="005D59CF" w:rsidP="005D59CF">
            <w:pPr>
              <w:numPr>
                <w:ilvl w:val="0"/>
                <w:numId w:val="27"/>
              </w:numPr>
              <w:jc w:val="left"/>
              <w:rPr>
                <w:rFonts w:ascii="Arial" w:hAnsi="Arial" w:cs="Arial"/>
                <w:iCs/>
                <w:sz w:val="20"/>
              </w:rPr>
            </w:pPr>
            <w:r w:rsidRPr="001F1DBE">
              <w:rPr>
                <w:rFonts w:ascii="Arial" w:hAnsi="Arial" w:cs="Arial"/>
                <w:iCs/>
                <w:sz w:val="20"/>
              </w:rPr>
              <w:t>The use of an ultracentrifuge is recommended to clear lipemic samples with triglyceride concentrations &gt;5000 mg/dL.</w:t>
            </w:r>
          </w:p>
          <w:p w:rsidR="00C7061A" w:rsidRDefault="001F1DBE" w:rsidP="00C7061A">
            <w:pPr>
              <w:numPr>
                <w:ilvl w:val="0"/>
                <w:numId w:val="27"/>
              </w:numPr>
              <w:jc w:val="left"/>
              <w:rPr>
                <w:rFonts w:ascii="Arial" w:hAnsi="Arial" w:cs="Arial"/>
                <w:iCs/>
                <w:sz w:val="20"/>
              </w:rPr>
            </w:pPr>
            <w:r w:rsidRPr="001F1DBE">
              <w:rPr>
                <w:rFonts w:ascii="Arial" w:hAnsi="Arial" w:cs="Arial"/>
                <w:b/>
                <w:sz w:val="20"/>
                <w:szCs w:val="20"/>
              </w:rPr>
              <w:t xml:space="preserve">Minneapolis </w:t>
            </w:r>
            <w:r w:rsidR="00C67320">
              <w:rPr>
                <w:rFonts w:ascii="Arial" w:hAnsi="Arial" w:cs="Arial"/>
                <w:b/>
                <w:sz w:val="20"/>
                <w:szCs w:val="20"/>
              </w:rPr>
              <w:t xml:space="preserve">STAT </w:t>
            </w:r>
            <w:r w:rsidRPr="001F1DBE">
              <w:rPr>
                <w:rFonts w:ascii="Arial" w:hAnsi="Arial" w:cs="Arial"/>
                <w:b/>
                <w:sz w:val="20"/>
                <w:szCs w:val="20"/>
              </w:rPr>
              <w:t>specimens</w:t>
            </w:r>
            <w:r>
              <w:rPr>
                <w:rFonts w:ascii="Arial" w:hAnsi="Arial" w:cs="Arial"/>
                <w:sz w:val="20"/>
                <w:szCs w:val="20"/>
              </w:rPr>
              <w:t xml:space="preserve">: If a STAT ACTH sample is received prior to 5:15pm, follow the instructions above and send on the next available courier.  Call St. Paul to notify them a STAT ACTH sample is coming. If a sample is ordered STAT and is drawn and received between the hours of 5:30 pm and 8:15 pm, obtain packed ice from the breakroom refrigerator ice maker.  Place the processed specimen on packed wet ice in the refrigerator </w:t>
            </w:r>
            <w:r w:rsidR="00C67320">
              <w:rPr>
                <w:rFonts w:ascii="Arial" w:hAnsi="Arial" w:cs="Arial"/>
                <w:sz w:val="20"/>
                <w:szCs w:val="20"/>
              </w:rPr>
              <w:t>for transport to St. Paul</w:t>
            </w:r>
            <w:r>
              <w:rPr>
                <w:rFonts w:ascii="Arial" w:hAnsi="Arial" w:cs="Arial"/>
                <w:sz w:val="20"/>
                <w:szCs w:val="20"/>
              </w:rPr>
              <w:t xml:space="preserve"> on the 8:30 pm courier</w:t>
            </w:r>
            <w:r w:rsidR="00C7061A" w:rsidRPr="001F1DBE">
              <w:rPr>
                <w:rFonts w:ascii="Arial" w:hAnsi="Arial" w:cs="Arial"/>
                <w:sz w:val="20"/>
                <w:szCs w:val="20"/>
              </w:rPr>
              <w:t xml:space="preserve"> (maintain specimen at ≤ </w:t>
            </w:r>
            <w:r w:rsidR="00C7061A" w:rsidRPr="001F1DBE">
              <w:rPr>
                <w:rFonts w:ascii="Arial" w:hAnsi="Arial" w:cs="Arial"/>
                <w:iCs/>
                <w:sz w:val="20"/>
              </w:rPr>
              <w:t>4°C</w:t>
            </w:r>
            <w:r w:rsidR="00C67320">
              <w:rPr>
                <w:rFonts w:ascii="Arial" w:hAnsi="Arial" w:cs="Arial"/>
                <w:iCs/>
                <w:sz w:val="20"/>
              </w:rPr>
              <w:t xml:space="preserve"> on packed wet ice</w:t>
            </w:r>
            <w:r w:rsidR="00C7061A" w:rsidRPr="001F1DBE">
              <w:rPr>
                <w:rFonts w:ascii="Arial" w:hAnsi="Arial" w:cs="Arial"/>
                <w:iCs/>
                <w:sz w:val="20"/>
              </w:rPr>
              <w:t>)</w:t>
            </w:r>
            <w:r>
              <w:rPr>
                <w:rFonts w:ascii="Arial" w:hAnsi="Arial" w:cs="Arial"/>
                <w:iCs/>
                <w:sz w:val="20"/>
              </w:rPr>
              <w:t>.  For samples received after the last courier has le</w:t>
            </w:r>
            <w:r w:rsidR="005D59CF">
              <w:rPr>
                <w:rFonts w:ascii="Arial" w:hAnsi="Arial" w:cs="Arial"/>
                <w:iCs/>
                <w:sz w:val="20"/>
              </w:rPr>
              <w:t>ft, revert to steps 1 and 2</w:t>
            </w:r>
            <w:r w:rsidR="00C67320">
              <w:rPr>
                <w:rFonts w:ascii="Arial" w:hAnsi="Arial" w:cs="Arial"/>
                <w:iCs/>
                <w:sz w:val="20"/>
              </w:rPr>
              <w:t>.  Notify St. Paul they should follow step 5 for the STAT specimen.</w:t>
            </w:r>
          </w:p>
          <w:p w:rsidR="005D59CF" w:rsidRPr="001F1DBE" w:rsidRDefault="005D59CF" w:rsidP="005D59CF">
            <w:pPr>
              <w:numPr>
                <w:ilvl w:val="0"/>
                <w:numId w:val="27"/>
              </w:numPr>
              <w:jc w:val="left"/>
              <w:rPr>
                <w:rFonts w:ascii="Arial" w:hAnsi="Arial" w:cs="Arial"/>
                <w:iCs/>
                <w:sz w:val="20"/>
              </w:rPr>
            </w:pPr>
            <w:r w:rsidRPr="001F1DBE">
              <w:rPr>
                <w:rFonts w:ascii="Arial" w:hAnsi="Arial" w:cs="Arial"/>
                <w:iCs/>
                <w:sz w:val="20"/>
              </w:rPr>
              <w:t>Prior to testing, samples should be thawed in an ice bath and kept at or below 4°C.</w:t>
            </w:r>
          </w:p>
          <w:p w:rsidR="005D59CF" w:rsidRPr="005D59CF" w:rsidRDefault="005D59CF" w:rsidP="00C7061A">
            <w:pPr>
              <w:numPr>
                <w:ilvl w:val="0"/>
                <w:numId w:val="27"/>
              </w:numPr>
              <w:jc w:val="left"/>
              <w:rPr>
                <w:rFonts w:ascii="Arial" w:hAnsi="Arial" w:cs="Arial"/>
                <w:iCs/>
                <w:sz w:val="20"/>
              </w:rPr>
            </w:pPr>
            <w:r w:rsidRPr="005D59CF">
              <w:rPr>
                <w:rFonts w:ascii="Arial" w:hAnsi="Arial" w:cs="Arial"/>
                <w:b/>
                <w:iCs/>
                <w:sz w:val="20"/>
              </w:rPr>
              <w:t>St. Paul Staff</w:t>
            </w:r>
            <w:r w:rsidRPr="005D59CF">
              <w:rPr>
                <w:rFonts w:ascii="Arial" w:hAnsi="Arial" w:cs="Arial"/>
                <w:iCs/>
                <w:sz w:val="20"/>
              </w:rPr>
              <w:t>: If a STAT ACTH is received during the hours that the instrument is not operation, hang the STAT ACT</w:t>
            </w:r>
            <w:r>
              <w:rPr>
                <w:rFonts w:ascii="Arial" w:hAnsi="Arial" w:cs="Arial"/>
                <w:iCs/>
                <w:sz w:val="20"/>
              </w:rPr>
              <w:t>H sig</w:t>
            </w:r>
            <w:r w:rsidR="008E0204">
              <w:rPr>
                <w:rFonts w:ascii="Arial" w:hAnsi="Arial" w:cs="Arial"/>
                <w:iCs/>
                <w:sz w:val="20"/>
              </w:rPr>
              <w:t>n on the Immulite screen so day</w:t>
            </w:r>
            <w:r>
              <w:rPr>
                <w:rFonts w:ascii="Arial" w:hAnsi="Arial" w:cs="Arial"/>
                <w:iCs/>
                <w:sz w:val="20"/>
              </w:rPr>
              <w:t>shift chemistry know</w:t>
            </w:r>
            <w:r w:rsidR="008E0204">
              <w:rPr>
                <w:rFonts w:ascii="Arial" w:hAnsi="Arial" w:cs="Arial"/>
                <w:iCs/>
                <w:sz w:val="20"/>
              </w:rPr>
              <w:t>s</w:t>
            </w:r>
            <w:r>
              <w:rPr>
                <w:rFonts w:ascii="Arial" w:hAnsi="Arial" w:cs="Arial"/>
                <w:iCs/>
                <w:sz w:val="20"/>
              </w:rPr>
              <w:t xml:space="preserve"> to s</w:t>
            </w:r>
            <w:r w:rsidRPr="005D59CF">
              <w:rPr>
                <w:rFonts w:ascii="Arial" w:hAnsi="Arial" w:cs="Arial"/>
                <w:iCs/>
                <w:sz w:val="20"/>
              </w:rPr>
              <w:t>tart thawing STAT ACTH specimens at 6:30 am.</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Rejection criteria</w:t>
            </w:r>
            <w:r w:rsidRPr="001F1DBE">
              <w:rPr>
                <w:rFonts w:ascii="Arial" w:hAnsi="Arial" w:cs="Arial"/>
                <w:iCs/>
                <w:sz w:val="20"/>
              </w:rPr>
              <w:t>: Unlabeled, grossly hemolyzed, improper storage, other than EDTA plasma, specimen stored in glass.</w:t>
            </w:r>
            <w:r w:rsidRPr="001F1DBE">
              <w:rPr>
                <w:rFonts w:ascii="Arial" w:hAnsi="Arial" w:cs="Arial"/>
                <w:iCs/>
                <w:sz w:val="20"/>
              </w:rPr>
              <w:br/>
            </w:r>
          </w:p>
        </w:tc>
      </w:tr>
      <w:tr w:rsidR="009C5880" w:rsidRPr="001F1DBE">
        <w:tc>
          <w:tcPr>
            <w:tcW w:w="1800" w:type="dxa"/>
            <w:tcBorders>
              <w:top w:val="nil"/>
              <w:left w:val="nil"/>
              <w:bottom w:val="nil"/>
              <w:right w:val="nil"/>
            </w:tcBorders>
          </w:tcPr>
          <w:p w:rsidR="009C5880" w:rsidRPr="001F1DBE" w:rsidRDefault="009C5880">
            <w:pPr>
              <w:jc w:val="left"/>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Reagents</w:t>
            </w:r>
          </w:p>
        </w:tc>
        <w:tc>
          <w:tcPr>
            <w:tcW w:w="9360" w:type="dxa"/>
            <w:gridSpan w:val="4"/>
            <w:tcBorders>
              <w:left w:val="nil"/>
              <w:bottom w:val="single" w:sz="4" w:space="0" w:color="auto"/>
              <w:right w:val="nil"/>
            </w:tcBorders>
          </w:tcPr>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Components are a matched set. Labels inside the box are needed for the assay.</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b/>
                <w:bCs/>
                <w:iCs/>
                <w:sz w:val="20"/>
              </w:rPr>
            </w:pPr>
            <w:r w:rsidRPr="001F1DBE">
              <w:rPr>
                <w:rFonts w:ascii="Arial" w:hAnsi="Arial" w:cs="Arial"/>
                <w:b/>
                <w:bCs/>
                <w:iCs/>
                <w:sz w:val="20"/>
              </w:rPr>
              <w:t>ACTH Bead Pack (L2AC12)</w:t>
            </w:r>
          </w:p>
          <w:p w:rsidR="009C5880" w:rsidRPr="001F1DBE" w:rsidRDefault="009C5880">
            <w:pPr>
              <w:jc w:val="left"/>
              <w:rPr>
                <w:rFonts w:ascii="Arial" w:hAnsi="Arial" w:cs="Arial"/>
                <w:iCs/>
                <w:sz w:val="20"/>
              </w:rPr>
            </w:pPr>
            <w:r w:rsidRPr="001F1DBE">
              <w:rPr>
                <w:rFonts w:ascii="Arial" w:hAnsi="Arial" w:cs="Arial"/>
                <w:iCs/>
                <w:sz w:val="20"/>
              </w:rPr>
              <w:t xml:space="preserve">With barcode. 200 beads, coated with monoclonal murine anti-ACTH. Stable at 2-8°C until expiration date. </w:t>
            </w:r>
            <w:r w:rsidRPr="001F1DBE">
              <w:rPr>
                <w:rFonts w:ascii="Arial" w:hAnsi="Arial" w:cs="Arial"/>
                <w:b/>
                <w:bCs/>
                <w:iCs/>
                <w:sz w:val="20"/>
              </w:rPr>
              <w:t>L2KAC2:</w:t>
            </w:r>
            <w:r w:rsidRPr="001F1DBE">
              <w:rPr>
                <w:rFonts w:ascii="Arial" w:hAnsi="Arial" w:cs="Arial"/>
                <w:iCs/>
                <w:sz w:val="20"/>
              </w:rPr>
              <w:t xml:space="preserve"> 1 pack.</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b/>
                <w:bCs/>
                <w:iCs/>
                <w:sz w:val="20"/>
              </w:rPr>
            </w:pPr>
            <w:r w:rsidRPr="001F1DBE">
              <w:rPr>
                <w:rFonts w:ascii="Arial" w:hAnsi="Arial" w:cs="Arial"/>
                <w:b/>
                <w:bCs/>
                <w:iCs/>
                <w:sz w:val="20"/>
              </w:rPr>
              <w:t>ACTH Reagent Wedge (L2ACA2)</w:t>
            </w:r>
          </w:p>
          <w:p w:rsidR="009C5880" w:rsidRPr="001F1DBE" w:rsidRDefault="009C5880">
            <w:pPr>
              <w:pStyle w:val="TableText"/>
              <w:autoSpaceDE/>
              <w:autoSpaceDN/>
              <w:rPr>
                <w:rFonts w:ascii="Arial" w:hAnsi="Arial" w:cs="Arial"/>
                <w:iCs/>
              </w:rPr>
            </w:pPr>
            <w:r w:rsidRPr="001F1DBE">
              <w:rPr>
                <w:rFonts w:ascii="Arial" w:hAnsi="Arial" w:cs="Arial"/>
                <w:iCs/>
              </w:rPr>
              <w:t>With barcode. 2 reagents: 11.5 mL protein buffer/serum matrix; 11.5 mL alkaline phosphatase (bovine calf intestine) conjugated to polyclonal rabbit anti-ACTH in buffer, with preservative. Stable at 2-8°C until expiration date.</w:t>
            </w:r>
          </w:p>
          <w:p w:rsidR="009C5880" w:rsidRPr="001F1DBE" w:rsidRDefault="009C5880">
            <w:pPr>
              <w:jc w:val="left"/>
              <w:rPr>
                <w:rFonts w:ascii="Arial" w:hAnsi="Arial" w:cs="Arial"/>
                <w:iCs/>
                <w:sz w:val="20"/>
              </w:rPr>
            </w:pPr>
          </w:p>
          <w:p w:rsidR="009C5880" w:rsidRPr="001F1DBE" w:rsidRDefault="009C5880">
            <w:pPr>
              <w:numPr>
                <w:ilvl w:val="0"/>
                <w:numId w:val="28"/>
              </w:numPr>
              <w:tabs>
                <w:tab w:val="clear" w:pos="360"/>
              </w:tabs>
              <w:ind w:left="432" w:hanging="432"/>
              <w:jc w:val="left"/>
              <w:rPr>
                <w:rFonts w:ascii="Arial" w:hAnsi="Arial" w:cs="Arial"/>
                <w:iCs/>
                <w:sz w:val="20"/>
              </w:rPr>
            </w:pPr>
            <w:r w:rsidRPr="001F1DBE">
              <w:rPr>
                <w:rFonts w:ascii="Arial" w:hAnsi="Arial" w:cs="Arial"/>
                <w:iCs/>
                <w:sz w:val="20"/>
              </w:rPr>
              <w:t>Before use, tear off the top of the label at the perforations without damaging the barcode. Remove the foil seal from the top of the wedge; snap the sliding cover down into the ramps on the reagent lid.</w:t>
            </w:r>
          </w:p>
          <w:p w:rsidR="009C5880" w:rsidRPr="001F1DBE" w:rsidRDefault="009C5880">
            <w:pPr>
              <w:jc w:val="left"/>
              <w:rPr>
                <w:rFonts w:ascii="Arial" w:hAnsi="Arial" w:cs="Arial"/>
                <w:iCs/>
                <w:sz w:val="20"/>
              </w:rPr>
            </w:pPr>
          </w:p>
        </w:tc>
      </w:tr>
      <w:tr w:rsidR="009C5880" w:rsidRPr="001F1DBE" w:rsidTr="00024D0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9C5880" w:rsidRPr="001F1DBE" w:rsidRDefault="009C5880">
            <w:pPr>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Calibration</w:t>
            </w:r>
          </w:p>
        </w:tc>
        <w:tc>
          <w:tcPr>
            <w:tcW w:w="9360" w:type="dxa"/>
            <w:gridSpan w:val="4"/>
            <w:tcBorders>
              <w:bottom w:val="nil"/>
              <w:right w:val="nil"/>
            </w:tcBorders>
          </w:tcPr>
          <w:p w:rsidR="009C5880" w:rsidRPr="001F1DBE" w:rsidRDefault="009C5880">
            <w:pPr>
              <w:jc w:val="left"/>
              <w:rPr>
                <w:rFonts w:ascii="Arial" w:hAnsi="Arial" w:cs="Arial"/>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6182"/>
            </w:tblGrid>
            <w:tr w:rsidR="009C5880" w:rsidRPr="001F1DBE">
              <w:tc>
                <w:tcPr>
                  <w:tcW w:w="2947" w:type="dxa"/>
                </w:tcPr>
                <w:p w:rsidR="009C5880" w:rsidRPr="001F1DBE" w:rsidRDefault="009C5880">
                  <w:pPr>
                    <w:jc w:val="left"/>
                    <w:rPr>
                      <w:rFonts w:ascii="Arial" w:hAnsi="Arial" w:cs="Arial"/>
                      <w:iCs/>
                      <w:sz w:val="20"/>
                    </w:rPr>
                  </w:pPr>
                  <w:r w:rsidRPr="001F1DBE">
                    <w:rPr>
                      <w:rFonts w:ascii="Arial" w:hAnsi="Arial" w:cs="Arial"/>
                      <w:iCs/>
                      <w:sz w:val="20"/>
                    </w:rPr>
                    <w:t>Assay Range:</w:t>
                  </w:r>
                </w:p>
              </w:tc>
              <w:tc>
                <w:tcPr>
                  <w:tcW w:w="6182" w:type="dxa"/>
                </w:tcPr>
                <w:p w:rsidR="009C5880" w:rsidRPr="001F1DBE" w:rsidRDefault="009C5880">
                  <w:pPr>
                    <w:jc w:val="left"/>
                    <w:rPr>
                      <w:rFonts w:ascii="Arial" w:hAnsi="Arial" w:cs="Arial"/>
                      <w:b/>
                      <w:bCs/>
                      <w:iCs/>
                      <w:sz w:val="20"/>
                    </w:rPr>
                  </w:pPr>
                  <w:r w:rsidRPr="001F1DBE">
                    <w:rPr>
                      <w:rFonts w:ascii="Arial" w:hAnsi="Arial" w:cs="Arial"/>
                      <w:b/>
                      <w:bCs/>
                      <w:iCs/>
                      <w:sz w:val="20"/>
                    </w:rPr>
                    <w:t>5.0-1250 pg/mL</w:t>
                  </w:r>
                </w:p>
              </w:tc>
            </w:tr>
            <w:tr w:rsidR="009C5880" w:rsidRPr="001F1DBE">
              <w:tc>
                <w:tcPr>
                  <w:tcW w:w="2947" w:type="dxa"/>
                </w:tcPr>
                <w:p w:rsidR="009C5880" w:rsidRPr="001F1DBE" w:rsidRDefault="009C5880">
                  <w:pPr>
                    <w:pStyle w:val="TableText"/>
                    <w:autoSpaceDE/>
                    <w:autoSpaceDN/>
                    <w:rPr>
                      <w:rFonts w:ascii="Arial" w:hAnsi="Arial" w:cs="Arial"/>
                      <w:iCs/>
                    </w:rPr>
                  </w:pPr>
                  <w:r w:rsidRPr="001F1DBE">
                    <w:rPr>
                      <w:rFonts w:ascii="Arial" w:hAnsi="Arial" w:cs="Arial"/>
                      <w:iCs/>
                    </w:rPr>
                    <w:t>Suggested Adjustor Levels:</w:t>
                  </w:r>
                </w:p>
              </w:tc>
              <w:tc>
                <w:tcPr>
                  <w:tcW w:w="6182" w:type="dxa"/>
                </w:tcPr>
                <w:p w:rsidR="009C5880" w:rsidRPr="001F1DBE" w:rsidRDefault="009C5880">
                  <w:pPr>
                    <w:jc w:val="left"/>
                    <w:rPr>
                      <w:rFonts w:ascii="Arial" w:hAnsi="Arial" w:cs="Arial"/>
                      <w:b/>
                      <w:bCs/>
                      <w:iCs/>
                      <w:sz w:val="20"/>
                    </w:rPr>
                  </w:pPr>
                  <w:r w:rsidRPr="001F1DBE">
                    <w:rPr>
                      <w:rFonts w:ascii="Arial" w:hAnsi="Arial" w:cs="Arial"/>
                      <w:b/>
                      <w:bCs/>
                      <w:iCs/>
                      <w:sz w:val="20"/>
                    </w:rPr>
                    <w:t>ACTH Adjustors (LACL, LACH)</w:t>
                  </w:r>
                </w:p>
                <w:p w:rsidR="009C5880" w:rsidRPr="001F1DBE" w:rsidRDefault="009C5880">
                  <w:pPr>
                    <w:pStyle w:val="TableText"/>
                    <w:autoSpaceDE/>
                    <w:autoSpaceDN/>
                    <w:rPr>
                      <w:rFonts w:ascii="Arial" w:hAnsi="Arial" w:cs="Arial"/>
                      <w:iCs/>
                    </w:rPr>
                  </w:pPr>
                  <w:r w:rsidRPr="001F1DBE">
                    <w:rPr>
                      <w:rFonts w:ascii="Arial" w:hAnsi="Arial" w:cs="Arial"/>
                      <w:iCs/>
                    </w:rPr>
                    <w:t>Two vials (Low and High) of lyophilized ACTH in a bovine protein-based matrix with preservative.</w:t>
                  </w:r>
                </w:p>
                <w:p w:rsidR="009C5880" w:rsidRPr="001F1DBE" w:rsidRDefault="009C5880">
                  <w:pPr>
                    <w:numPr>
                      <w:ilvl w:val="0"/>
                      <w:numId w:val="29"/>
                    </w:numPr>
                    <w:jc w:val="left"/>
                    <w:rPr>
                      <w:rFonts w:ascii="Arial" w:hAnsi="Arial" w:cs="Arial"/>
                      <w:iCs/>
                      <w:sz w:val="20"/>
                    </w:rPr>
                  </w:pPr>
                  <w:r w:rsidRPr="001F1DBE">
                    <w:rPr>
                      <w:rFonts w:ascii="Arial" w:hAnsi="Arial" w:cs="Arial"/>
                      <w:iCs/>
                      <w:sz w:val="20"/>
                    </w:rPr>
                    <w:t xml:space="preserve">Reconstitute each vial with </w:t>
                  </w:r>
                  <w:r w:rsidRPr="001F1DBE">
                    <w:rPr>
                      <w:rFonts w:ascii="Arial" w:hAnsi="Arial" w:cs="Arial"/>
                      <w:b/>
                      <w:bCs/>
                      <w:iCs/>
                      <w:sz w:val="20"/>
                    </w:rPr>
                    <w:t>4.0 mL reagent grade water.</w:t>
                  </w:r>
                </w:p>
                <w:p w:rsidR="009C5880" w:rsidRPr="001F1DBE" w:rsidRDefault="009C5880">
                  <w:pPr>
                    <w:numPr>
                      <w:ilvl w:val="0"/>
                      <w:numId w:val="29"/>
                    </w:numPr>
                    <w:jc w:val="left"/>
                    <w:rPr>
                      <w:rFonts w:ascii="Arial" w:hAnsi="Arial" w:cs="Arial"/>
                      <w:iCs/>
                      <w:sz w:val="20"/>
                    </w:rPr>
                  </w:pPr>
                  <w:r w:rsidRPr="001F1DBE">
                    <w:rPr>
                      <w:rFonts w:ascii="Arial" w:hAnsi="Arial" w:cs="Arial"/>
                      <w:iCs/>
                      <w:sz w:val="20"/>
                    </w:rPr>
                    <w:t xml:space="preserve">Let stand </w:t>
                  </w:r>
                  <w:r w:rsidRPr="001F1DBE">
                    <w:rPr>
                      <w:rFonts w:ascii="Arial" w:hAnsi="Arial" w:cs="Arial"/>
                      <w:b/>
                      <w:bCs/>
                      <w:iCs/>
                      <w:sz w:val="20"/>
                    </w:rPr>
                    <w:t>30 minutes</w:t>
                  </w:r>
                </w:p>
                <w:p w:rsidR="009C5880" w:rsidRPr="001F1DBE" w:rsidRDefault="009C5880">
                  <w:pPr>
                    <w:numPr>
                      <w:ilvl w:val="0"/>
                      <w:numId w:val="29"/>
                    </w:numPr>
                    <w:jc w:val="left"/>
                    <w:rPr>
                      <w:rFonts w:ascii="Arial" w:hAnsi="Arial" w:cs="Arial"/>
                      <w:iCs/>
                      <w:sz w:val="20"/>
                    </w:rPr>
                  </w:pPr>
                  <w:r w:rsidRPr="001F1DBE">
                    <w:rPr>
                      <w:rFonts w:ascii="Arial" w:hAnsi="Arial" w:cs="Arial"/>
                      <w:iCs/>
                      <w:sz w:val="20"/>
                    </w:rPr>
                    <w:t>Mix by gentle swirling or inversion.</w:t>
                  </w:r>
                </w:p>
                <w:p w:rsidR="009C5880" w:rsidRPr="001F1DBE" w:rsidRDefault="009C5880">
                  <w:pPr>
                    <w:numPr>
                      <w:ilvl w:val="0"/>
                      <w:numId w:val="29"/>
                    </w:numPr>
                    <w:jc w:val="left"/>
                    <w:rPr>
                      <w:rFonts w:ascii="Arial" w:hAnsi="Arial" w:cs="Arial"/>
                      <w:iCs/>
                      <w:sz w:val="20"/>
                    </w:rPr>
                  </w:pPr>
                  <w:r w:rsidRPr="001F1DBE">
                    <w:rPr>
                      <w:rFonts w:ascii="Arial" w:hAnsi="Arial" w:cs="Arial"/>
                      <w:iCs/>
                      <w:sz w:val="20"/>
                    </w:rPr>
                    <w:t>Aliquot, label with supplied barcode labels, and freeze.</w:t>
                  </w:r>
                </w:p>
                <w:p w:rsidR="009C5880" w:rsidRPr="001F1DBE" w:rsidRDefault="009C5880">
                  <w:pPr>
                    <w:numPr>
                      <w:ilvl w:val="0"/>
                      <w:numId w:val="29"/>
                    </w:numPr>
                    <w:jc w:val="left"/>
                    <w:rPr>
                      <w:rFonts w:ascii="Arial" w:hAnsi="Arial" w:cs="Arial"/>
                      <w:iCs/>
                      <w:sz w:val="20"/>
                    </w:rPr>
                  </w:pPr>
                  <w:r w:rsidRPr="001F1DBE">
                    <w:rPr>
                      <w:rFonts w:ascii="Arial" w:hAnsi="Arial" w:cs="Arial"/>
                      <w:iCs/>
                      <w:sz w:val="20"/>
                    </w:rPr>
                    <w:t>Stable at -20°C for 2 months after reconstitution.</w:t>
                  </w:r>
                </w:p>
                <w:p w:rsidR="009C5880" w:rsidRPr="001F1DBE" w:rsidRDefault="009C5880">
                  <w:pPr>
                    <w:numPr>
                      <w:ilvl w:val="0"/>
                      <w:numId w:val="29"/>
                    </w:numPr>
                    <w:jc w:val="left"/>
                    <w:rPr>
                      <w:rFonts w:ascii="Arial" w:hAnsi="Arial" w:cs="Arial"/>
                      <w:iCs/>
                      <w:sz w:val="20"/>
                    </w:rPr>
                  </w:pPr>
                  <w:r w:rsidRPr="001F1DBE">
                    <w:rPr>
                      <w:rFonts w:ascii="Arial" w:hAnsi="Arial" w:cs="Arial"/>
                      <w:iCs/>
                      <w:sz w:val="20"/>
                    </w:rPr>
                    <w:t>Prior to testing, adjustors should be thawed in an ice bath and kept at or below 4°C</w:t>
                  </w:r>
                </w:p>
                <w:p w:rsidR="009C5880" w:rsidRPr="001F1DBE" w:rsidRDefault="009C5880">
                  <w:pPr>
                    <w:jc w:val="left"/>
                    <w:rPr>
                      <w:rFonts w:ascii="Arial" w:hAnsi="Arial" w:cs="Arial"/>
                      <w:iCs/>
                      <w:sz w:val="20"/>
                    </w:rPr>
                  </w:pPr>
                  <w:r w:rsidRPr="001F1DBE">
                    <w:rPr>
                      <w:rFonts w:ascii="Arial" w:hAnsi="Arial" w:cs="Arial"/>
                      <w:b/>
                      <w:bCs/>
                      <w:iCs/>
                      <w:sz w:val="20"/>
                    </w:rPr>
                    <w:t>L2KAC2:</w:t>
                  </w:r>
                  <w:r w:rsidRPr="001F1DBE">
                    <w:rPr>
                      <w:rFonts w:ascii="Arial" w:hAnsi="Arial" w:cs="Arial"/>
                      <w:iCs/>
                      <w:sz w:val="20"/>
                    </w:rPr>
                    <w:t xml:space="preserve"> 2 sets.</w:t>
                  </w:r>
                </w:p>
              </w:tc>
            </w:tr>
            <w:tr w:rsidR="009C5880" w:rsidRPr="001F1DBE">
              <w:tc>
                <w:tcPr>
                  <w:tcW w:w="2947" w:type="dxa"/>
                </w:tcPr>
                <w:p w:rsidR="009C5880" w:rsidRPr="001F1DBE" w:rsidRDefault="009C5880">
                  <w:pPr>
                    <w:jc w:val="left"/>
                    <w:rPr>
                      <w:rFonts w:ascii="Arial" w:hAnsi="Arial" w:cs="Arial"/>
                      <w:iCs/>
                      <w:sz w:val="20"/>
                    </w:rPr>
                  </w:pPr>
                  <w:r w:rsidRPr="001F1DBE">
                    <w:rPr>
                      <w:rFonts w:ascii="Arial" w:hAnsi="Arial" w:cs="Arial"/>
                      <w:iCs/>
                      <w:sz w:val="20"/>
                    </w:rPr>
                    <w:t>Adjustor Frequency:</w:t>
                  </w:r>
                </w:p>
              </w:tc>
              <w:tc>
                <w:tcPr>
                  <w:tcW w:w="6182" w:type="dxa"/>
                </w:tcPr>
                <w:p w:rsidR="009C5880" w:rsidRPr="001F1DBE" w:rsidRDefault="009C5880">
                  <w:pPr>
                    <w:numPr>
                      <w:ilvl w:val="0"/>
                      <w:numId w:val="30"/>
                    </w:numPr>
                    <w:jc w:val="left"/>
                    <w:rPr>
                      <w:rFonts w:ascii="Arial" w:hAnsi="Arial" w:cs="Arial"/>
                      <w:iCs/>
                      <w:sz w:val="20"/>
                    </w:rPr>
                  </w:pPr>
                  <w:r w:rsidRPr="001F1DBE">
                    <w:rPr>
                      <w:rFonts w:ascii="Arial" w:hAnsi="Arial" w:cs="Arial"/>
                      <w:iCs/>
                      <w:sz w:val="20"/>
                    </w:rPr>
                    <w:t>4 week curve stability</w:t>
                  </w:r>
                </w:p>
                <w:p w:rsidR="009C5880" w:rsidRPr="001F1DBE" w:rsidRDefault="009C5880">
                  <w:pPr>
                    <w:numPr>
                      <w:ilvl w:val="0"/>
                      <w:numId w:val="30"/>
                    </w:numPr>
                    <w:jc w:val="left"/>
                    <w:rPr>
                      <w:rFonts w:ascii="Arial" w:hAnsi="Arial" w:cs="Arial"/>
                      <w:iCs/>
                      <w:sz w:val="20"/>
                    </w:rPr>
                  </w:pPr>
                  <w:r w:rsidRPr="001F1DBE">
                    <w:rPr>
                      <w:rFonts w:ascii="Arial" w:hAnsi="Arial" w:cs="Arial"/>
                      <w:iCs/>
                      <w:sz w:val="20"/>
                    </w:rPr>
                    <w:t>Each new lot of reagent (kit)</w:t>
                  </w:r>
                </w:p>
                <w:p w:rsidR="009C5880" w:rsidRPr="001F1DBE" w:rsidRDefault="009C5880">
                  <w:pPr>
                    <w:numPr>
                      <w:ilvl w:val="0"/>
                      <w:numId w:val="30"/>
                    </w:numPr>
                    <w:jc w:val="left"/>
                    <w:rPr>
                      <w:rFonts w:ascii="Arial" w:hAnsi="Arial" w:cs="Arial"/>
                      <w:iCs/>
                      <w:sz w:val="20"/>
                    </w:rPr>
                  </w:pPr>
                  <w:r w:rsidRPr="001F1DBE">
                    <w:rPr>
                      <w:rFonts w:ascii="Arial" w:hAnsi="Arial" w:cs="Arial"/>
                      <w:iCs/>
                      <w:sz w:val="20"/>
                    </w:rPr>
                    <w:t>When QC repeatedly fails</w:t>
                  </w:r>
                </w:p>
              </w:tc>
            </w:tr>
          </w:tbl>
          <w:p w:rsidR="009C5880" w:rsidRPr="001F1DBE" w:rsidRDefault="009C5880">
            <w:pPr>
              <w:pStyle w:val="TableText"/>
              <w:autoSpaceDE/>
              <w:autoSpaceDN/>
              <w:rPr>
                <w:rFonts w:ascii="Arial" w:hAnsi="Arial" w:cs="Arial"/>
                <w:iCs/>
              </w:rPr>
            </w:pPr>
          </w:p>
        </w:tc>
      </w:tr>
      <w:tr w:rsidR="009C5880" w:rsidRPr="001F1DBE" w:rsidTr="00024D0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9C5880" w:rsidRPr="001F1DBE" w:rsidRDefault="009C5880">
            <w:pPr>
              <w:rPr>
                <w:rFonts w:ascii="Arial" w:hAnsi="Arial" w:cs="Arial"/>
                <w:b/>
                <w:bCs/>
                <w:color w:val="0000FF"/>
                <w:sz w:val="20"/>
              </w:rPr>
            </w:pPr>
          </w:p>
        </w:tc>
        <w:tc>
          <w:tcPr>
            <w:tcW w:w="9360" w:type="dxa"/>
            <w:gridSpan w:val="4"/>
            <w:tcBorders>
              <w:top w:val="nil"/>
              <w:bottom w:val="single" w:sz="6" w:space="0" w:color="auto"/>
              <w:right w:val="nil"/>
            </w:tcBorders>
          </w:tcPr>
          <w:p w:rsidR="009C5880" w:rsidRPr="001F1DBE" w:rsidRDefault="009C5880">
            <w:pPr>
              <w:jc w:val="left"/>
              <w:rPr>
                <w:rFonts w:ascii="Arial" w:hAnsi="Arial" w:cs="Arial"/>
                <w:iCs/>
                <w:sz w:val="20"/>
              </w:rPr>
            </w:pPr>
          </w:p>
        </w:tc>
      </w:tr>
      <w:tr w:rsidR="009C5880" w:rsidRPr="001F1D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9C5880" w:rsidRPr="001F1DBE" w:rsidRDefault="009C5880">
            <w:pPr>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Analytical Measuring Range (AMR)</w:t>
            </w:r>
          </w:p>
          <w:p w:rsidR="009C5880" w:rsidRPr="001F1DBE" w:rsidRDefault="009C5880">
            <w:pPr>
              <w:rPr>
                <w:rFonts w:ascii="Arial" w:hAnsi="Arial" w:cs="Arial"/>
                <w:b/>
                <w:bCs/>
                <w:color w:val="0000FF"/>
                <w:sz w:val="20"/>
              </w:rPr>
            </w:pPr>
          </w:p>
        </w:tc>
        <w:tc>
          <w:tcPr>
            <w:tcW w:w="9360" w:type="dxa"/>
            <w:gridSpan w:val="4"/>
            <w:tcBorders>
              <w:bottom w:val="single" w:sz="6" w:space="0" w:color="auto"/>
              <w:right w:val="nil"/>
            </w:tcBorders>
          </w:tcPr>
          <w:p w:rsidR="009C5880" w:rsidRPr="001F1DBE" w:rsidRDefault="009C5880">
            <w:pPr>
              <w:jc w:val="left"/>
              <w:rPr>
                <w:rFonts w:ascii="Arial" w:hAnsi="Arial" w:cs="Arial"/>
                <w:iCs/>
                <w:sz w:val="20"/>
              </w:rPr>
            </w:pPr>
          </w:p>
          <w:p w:rsidR="009C5880" w:rsidRPr="001F1DBE" w:rsidRDefault="009C5880">
            <w:pPr>
              <w:numPr>
                <w:ilvl w:val="0"/>
                <w:numId w:val="28"/>
              </w:numPr>
              <w:tabs>
                <w:tab w:val="clear" w:pos="360"/>
              </w:tabs>
              <w:ind w:left="432" w:hanging="432"/>
              <w:jc w:val="left"/>
              <w:rPr>
                <w:rFonts w:ascii="Arial" w:hAnsi="Arial" w:cs="Arial"/>
                <w:iCs/>
                <w:sz w:val="20"/>
              </w:rPr>
            </w:pPr>
            <w:r w:rsidRPr="001F1DBE">
              <w:rPr>
                <w:rFonts w:ascii="Arial" w:hAnsi="Arial" w:cs="Arial"/>
                <w:iCs/>
                <w:sz w:val="20"/>
              </w:rPr>
              <w:t>Once every 6 months verify the Analytical Measuring Range by running a minimum of 3 levels of DPC Calibration material (Calibrators A, F, and 90% of H), or by add-mixing a low and high calibrator as the 3</w:t>
            </w:r>
            <w:r w:rsidRPr="001F1DBE">
              <w:rPr>
                <w:rFonts w:ascii="Arial" w:hAnsi="Arial" w:cs="Arial"/>
                <w:iCs/>
                <w:sz w:val="20"/>
                <w:vertAlign w:val="superscript"/>
              </w:rPr>
              <w:t>rd</w:t>
            </w:r>
            <w:r w:rsidRPr="001F1DBE">
              <w:rPr>
                <w:rFonts w:ascii="Arial" w:hAnsi="Arial" w:cs="Arial"/>
                <w:iCs/>
                <w:sz w:val="20"/>
              </w:rPr>
              <w:t xml:space="preserve"> level.</w:t>
            </w:r>
          </w:p>
          <w:p w:rsidR="009C5880" w:rsidRPr="001F1DBE" w:rsidRDefault="009C5880">
            <w:pPr>
              <w:numPr>
                <w:ilvl w:val="0"/>
                <w:numId w:val="28"/>
              </w:numPr>
              <w:tabs>
                <w:tab w:val="clear" w:pos="360"/>
              </w:tabs>
              <w:ind w:left="432" w:hanging="432"/>
              <w:jc w:val="left"/>
              <w:rPr>
                <w:rFonts w:ascii="Arial" w:hAnsi="Arial" w:cs="Arial"/>
                <w:iCs/>
                <w:sz w:val="20"/>
              </w:rPr>
            </w:pPr>
            <w:r w:rsidRPr="001F1DBE">
              <w:rPr>
                <w:rFonts w:ascii="Arial" w:hAnsi="Arial" w:cs="Arial"/>
                <w:iCs/>
                <w:sz w:val="20"/>
              </w:rPr>
              <w:t xml:space="preserve">Run in triplicate as a </w:t>
            </w:r>
            <w:r w:rsidRPr="001F1DBE">
              <w:rPr>
                <w:rFonts w:ascii="Arial" w:hAnsi="Arial" w:cs="Arial"/>
                <w:b/>
                <w:bCs/>
                <w:i/>
                <w:sz w:val="20"/>
              </w:rPr>
              <w:t>Cal verifier.</w:t>
            </w:r>
          </w:p>
          <w:p w:rsidR="009C5880" w:rsidRPr="001F1DBE" w:rsidRDefault="009C5880">
            <w:pPr>
              <w:numPr>
                <w:ilvl w:val="0"/>
                <w:numId w:val="28"/>
              </w:numPr>
              <w:tabs>
                <w:tab w:val="clear" w:pos="360"/>
              </w:tabs>
              <w:ind w:left="432" w:hanging="432"/>
              <w:jc w:val="left"/>
              <w:rPr>
                <w:rFonts w:ascii="Arial" w:hAnsi="Arial" w:cs="Arial"/>
                <w:iCs/>
                <w:sz w:val="20"/>
              </w:rPr>
            </w:pPr>
            <w:r w:rsidRPr="001F1DBE">
              <w:rPr>
                <w:rFonts w:ascii="Arial" w:hAnsi="Arial" w:cs="Arial"/>
                <w:iCs/>
                <w:sz w:val="20"/>
              </w:rPr>
              <w:t>File the result printout in Adjustor Log under AMR.</w:t>
            </w:r>
          </w:p>
          <w:p w:rsidR="009C5880" w:rsidRPr="001F1DBE" w:rsidRDefault="009C5880">
            <w:pPr>
              <w:numPr>
                <w:ilvl w:val="0"/>
                <w:numId w:val="28"/>
              </w:numPr>
              <w:tabs>
                <w:tab w:val="clear" w:pos="360"/>
              </w:tabs>
              <w:ind w:left="432" w:hanging="432"/>
              <w:jc w:val="left"/>
              <w:rPr>
                <w:rFonts w:ascii="Arial" w:hAnsi="Arial" w:cs="Arial"/>
                <w:iCs/>
                <w:sz w:val="20"/>
              </w:rPr>
            </w:pPr>
            <w:r w:rsidRPr="001F1DBE">
              <w:rPr>
                <w:rFonts w:ascii="Arial" w:hAnsi="Arial" w:cs="Arial"/>
                <w:iCs/>
                <w:sz w:val="20"/>
              </w:rPr>
              <w:t>Values must agree ±10% of target, or within manufacturer’s stated range, and target values must be &lt;50% of lower reportable range value, and &lt;10% of upper reportable range value.</w:t>
            </w:r>
          </w:p>
          <w:p w:rsidR="009C5880" w:rsidRPr="001F1DBE" w:rsidRDefault="009C5880">
            <w:pPr>
              <w:jc w:val="left"/>
              <w:rPr>
                <w:rFonts w:ascii="Arial" w:hAnsi="Arial" w:cs="Arial"/>
                <w:iCs/>
                <w:sz w:val="20"/>
              </w:rPr>
            </w:pPr>
          </w:p>
        </w:tc>
      </w:tr>
      <w:tr w:rsidR="009C5880" w:rsidRPr="001F1D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9C5880" w:rsidRPr="001F1DBE" w:rsidRDefault="009C5880">
            <w:pPr>
              <w:rPr>
                <w:rFonts w:ascii="Arial" w:hAnsi="Arial" w:cs="Arial"/>
                <w:b/>
                <w:bCs/>
                <w:color w:val="0000FF"/>
                <w:sz w:val="20"/>
              </w:rPr>
            </w:pPr>
          </w:p>
          <w:p w:rsidR="009C5880" w:rsidRPr="001F1DBE" w:rsidRDefault="009C5880">
            <w:pPr>
              <w:rPr>
                <w:rFonts w:ascii="Arial" w:hAnsi="Arial" w:cs="Arial"/>
                <w:b/>
                <w:bCs/>
                <w:color w:val="0000FF"/>
                <w:sz w:val="20"/>
              </w:rPr>
            </w:pPr>
            <w:r w:rsidRPr="001F1DBE">
              <w:rPr>
                <w:rFonts w:ascii="Arial" w:hAnsi="Arial" w:cs="Arial"/>
                <w:b/>
                <w:bCs/>
                <w:color w:val="0000FF"/>
                <w:sz w:val="20"/>
              </w:rPr>
              <w:t>Quality Control</w:t>
            </w:r>
          </w:p>
        </w:tc>
        <w:tc>
          <w:tcPr>
            <w:tcW w:w="9360" w:type="dxa"/>
            <w:gridSpan w:val="4"/>
            <w:tcBorders>
              <w:bottom w:val="single" w:sz="6" w:space="0" w:color="auto"/>
              <w:right w:val="nil"/>
            </w:tcBorders>
          </w:tcPr>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Product:</w:t>
            </w:r>
            <w:r w:rsidRPr="001F1DBE">
              <w:rPr>
                <w:rFonts w:ascii="Arial" w:hAnsi="Arial" w:cs="Arial"/>
                <w:iCs/>
                <w:sz w:val="20"/>
              </w:rPr>
              <w:t xml:space="preserve"> Immulite ACTH Controls, LACCM, 2 levels containing lyophilized ACTH in a protein-based buffer matrix containing human serum, with preservatives.</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Preparation:</w:t>
            </w:r>
            <w:r w:rsidRPr="001F1DBE">
              <w:rPr>
                <w:rFonts w:ascii="Arial" w:hAnsi="Arial" w:cs="Arial"/>
                <w:iCs/>
                <w:sz w:val="20"/>
              </w:rPr>
              <w:t xml:space="preserve"> No more than </w:t>
            </w:r>
            <w:r w:rsidRPr="001F1DBE">
              <w:rPr>
                <w:rFonts w:ascii="Arial" w:hAnsi="Arial" w:cs="Arial"/>
                <w:b/>
                <w:bCs/>
                <w:i/>
                <w:sz w:val="20"/>
              </w:rPr>
              <w:t>30 minutes before use:</w:t>
            </w:r>
          </w:p>
          <w:p w:rsidR="009C5880" w:rsidRPr="001F1DBE" w:rsidRDefault="009C5880">
            <w:pPr>
              <w:numPr>
                <w:ilvl w:val="0"/>
                <w:numId w:val="31"/>
              </w:numPr>
              <w:jc w:val="left"/>
              <w:rPr>
                <w:rFonts w:ascii="Arial" w:hAnsi="Arial" w:cs="Arial"/>
                <w:iCs/>
                <w:sz w:val="20"/>
              </w:rPr>
            </w:pPr>
            <w:r w:rsidRPr="001F1DBE">
              <w:rPr>
                <w:rFonts w:ascii="Arial" w:hAnsi="Arial" w:cs="Arial"/>
                <w:iCs/>
                <w:sz w:val="20"/>
              </w:rPr>
              <w:t xml:space="preserve">Reconstitute each vial with </w:t>
            </w:r>
            <w:r w:rsidRPr="001F1DBE">
              <w:rPr>
                <w:rFonts w:ascii="Arial" w:hAnsi="Arial" w:cs="Arial"/>
                <w:b/>
                <w:bCs/>
                <w:iCs/>
                <w:sz w:val="20"/>
              </w:rPr>
              <w:t>2.0 mL reagent grade water.</w:t>
            </w:r>
          </w:p>
          <w:p w:rsidR="009C5880" w:rsidRPr="001F1DBE" w:rsidRDefault="009C5880">
            <w:pPr>
              <w:numPr>
                <w:ilvl w:val="0"/>
                <w:numId w:val="31"/>
              </w:numPr>
              <w:jc w:val="left"/>
              <w:rPr>
                <w:rFonts w:ascii="Arial" w:hAnsi="Arial" w:cs="Arial"/>
                <w:iCs/>
                <w:sz w:val="20"/>
              </w:rPr>
            </w:pPr>
            <w:r w:rsidRPr="001F1DBE">
              <w:rPr>
                <w:rFonts w:ascii="Arial" w:hAnsi="Arial" w:cs="Arial"/>
                <w:iCs/>
                <w:sz w:val="20"/>
              </w:rPr>
              <w:t>Mix by gentle swirling or inversion until the lyophilized material is fully dissolved.</w:t>
            </w:r>
          </w:p>
          <w:p w:rsidR="009C5880" w:rsidRPr="001F1DBE" w:rsidRDefault="009C5880">
            <w:pPr>
              <w:numPr>
                <w:ilvl w:val="0"/>
                <w:numId w:val="31"/>
              </w:numPr>
              <w:jc w:val="left"/>
              <w:rPr>
                <w:rFonts w:ascii="Arial" w:hAnsi="Arial" w:cs="Arial"/>
                <w:iCs/>
                <w:sz w:val="20"/>
              </w:rPr>
            </w:pPr>
            <w:r w:rsidRPr="001F1DBE">
              <w:rPr>
                <w:rFonts w:ascii="Arial" w:hAnsi="Arial" w:cs="Arial"/>
                <w:iCs/>
                <w:sz w:val="20"/>
              </w:rPr>
              <w:t>Place the controls in ice slurry immediately.</w:t>
            </w:r>
          </w:p>
          <w:p w:rsidR="009C5880" w:rsidRPr="001F1DBE" w:rsidRDefault="009C5880">
            <w:pPr>
              <w:numPr>
                <w:ilvl w:val="0"/>
                <w:numId w:val="31"/>
              </w:numPr>
              <w:jc w:val="left"/>
              <w:rPr>
                <w:rFonts w:ascii="Arial" w:hAnsi="Arial" w:cs="Arial"/>
                <w:iCs/>
                <w:sz w:val="20"/>
              </w:rPr>
            </w:pPr>
            <w:r w:rsidRPr="001F1DBE">
              <w:rPr>
                <w:rFonts w:ascii="Arial" w:hAnsi="Arial" w:cs="Arial"/>
                <w:iCs/>
                <w:sz w:val="20"/>
              </w:rPr>
              <w:t>Aliquot and freeze the remaining volume.</w:t>
            </w:r>
          </w:p>
          <w:p w:rsidR="009C5880" w:rsidRPr="001F1DBE" w:rsidRDefault="009C5880">
            <w:pPr>
              <w:numPr>
                <w:ilvl w:val="0"/>
                <w:numId w:val="31"/>
              </w:numPr>
              <w:jc w:val="left"/>
              <w:rPr>
                <w:rFonts w:ascii="Arial" w:hAnsi="Arial" w:cs="Arial"/>
                <w:iCs/>
                <w:sz w:val="20"/>
              </w:rPr>
            </w:pPr>
            <w:r w:rsidRPr="001F1DBE">
              <w:rPr>
                <w:rFonts w:ascii="Arial" w:hAnsi="Arial" w:cs="Arial"/>
                <w:iCs/>
                <w:sz w:val="20"/>
              </w:rPr>
              <w:t>Prior to testing, controls should be thawed in an ice bath and kept at or below 4°C.</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 xml:space="preserve">Frequency: </w:t>
            </w:r>
            <w:r w:rsidRPr="001F1DBE">
              <w:rPr>
                <w:rFonts w:ascii="Arial" w:hAnsi="Arial" w:cs="Arial"/>
                <w:iCs/>
                <w:sz w:val="20"/>
              </w:rPr>
              <w:t>Two levels once each day of patient testing.</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Stability:</w:t>
            </w:r>
            <w:r w:rsidRPr="001F1DBE">
              <w:rPr>
                <w:rFonts w:ascii="Arial" w:hAnsi="Arial" w:cs="Arial"/>
                <w:iCs/>
                <w:sz w:val="20"/>
              </w:rPr>
              <w:t xml:space="preserve"> Stable at -20°C for 2 months. Once thawed, do not refreeze.</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Sunquest Control Names:</w:t>
            </w:r>
            <w:r w:rsidRPr="001F1DBE">
              <w:rPr>
                <w:rFonts w:ascii="Arial" w:hAnsi="Arial" w:cs="Arial"/>
                <w:iCs/>
                <w:sz w:val="20"/>
              </w:rPr>
              <w:t xml:space="preserve"> Level 1 = C-ACTH1, Level 2 = C-ACTH2</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 xml:space="preserve">Acceptable Ranges: </w:t>
            </w:r>
            <w:r w:rsidRPr="001F1DBE">
              <w:rPr>
                <w:rFonts w:ascii="Arial" w:hAnsi="Arial" w:cs="Arial"/>
                <w:iCs/>
                <w:sz w:val="20"/>
              </w:rPr>
              <w:t>Ranges are current in Sunquest and the instrument. Refer to the Quality Control Procedure for QC exception codes.</w:t>
            </w:r>
          </w:p>
          <w:p w:rsidR="009C5880" w:rsidRPr="001F1DBE" w:rsidRDefault="009C5880">
            <w:pPr>
              <w:jc w:val="left"/>
              <w:rPr>
                <w:rFonts w:ascii="Arial" w:hAnsi="Arial" w:cs="Arial"/>
                <w:iCs/>
                <w:sz w:val="20"/>
              </w:rPr>
            </w:pPr>
          </w:p>
        </w:tc>
      </w:tr>
      <w:tr w:rsidR="009C5880" w:rsidRPr="001F1DBE">
        <w:trPr>
          <w:cantSplit/>
          <w:trHeight w:val="998"/>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Interferences</w:t>
            </w:r>
          </w:p>
          <w:p w:rsidR="009C5880" w:rsidRPr="001F1DBE" w:rsidRDefault="009C5880">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tcPr>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Bilirubin:</w:t>
            </w:r>
            <w:r w:rsidRPr="001F1DBE">
              <w:rPr>
                <w:rFonts w:ascii="Arial" w:hAnsi="Arial" w:cs="Arial"/>
                <w:iCs/>
                <w:sz w:val="20"/>
              </w:rPr>
              <w:t xml:space="preserve"> The presence of conjugated or unconjugated bilirubin in concentration up to 20 mg/dL was shown to have no effect on results, within the precision of the assay.</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Hemolysis:</w:t>
            </w:r>
            <w:r w:rsidRPr="001F1DBE">
              <w:rPr>
                <w:rFonts w:ascii="Arial" w:hAnsi="Arial" w:cs="Arial"/>
                <w:iCs/>
                <w:sz w:val="20"/>
              </w:rPr>
              <w:t xml:space="preserve"> Presence of hemoglobin in concentrations up to 512 mg/dL has no effect on results, within the precision of the assay. However, the effect of traumatic puncture must be considered.</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b/>
                <w:bCs/>
                <w:iCs/>
                <w:sz w:val="20"/>
              </w:rPr>
              <w:t>Lipemia:</w:t>
            </w:r>
            <w:r w:rsidRPr="001F1DBE">
              <w:rPr>
                <w:rFonts w:ascii="Arial" w:hAnsi="Arial" w:cs="Arial"/>
                <w:iCs/>
                <w:sz w:val="20"/>
              </w:rPr>
              <w:t xml:space="preserve"> Presence of triglycerides in concentrations up to 5000 mg/dL has no effect on results, within the precision of the assay.</w:t>
            </w:r>
          </w:p>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 xml:space="preserve">Heterophilic antibodies in human serum can react with the immunoglobulins included in the assay components causing interference with </w:t>
            </w:r>
            <w:r w:rsidRPr="001F1DBE">
              <w:rPr>
                <w:rFonts w:ascii="Arial" w:hAnsi="Arial" w:cs="Arial"/>
                <w:i/>
                <w:sz w:val="20"/>
              </w:rPr>
              <w:t>in vitro</w:t>
            </w:r>
            <w:r w:rsidRPr="001F1DBE">
              <w:rPr>
                <w:rFonts w:ascii="Arial" w:hAnsi="Arial" w:cs="Arial"/>
                <w:iCs/>
                <w:sz w:val="20"/>
              </w:rPr>
              <w:t xml:space="preserve"> immunoassays. [See Boscato LM, Stuart MC. Heterophilic antibodies: a problem for all immunoassays. Clin Chem 1988:34:27-33.] Samples from patients routinely exposed to animals or animal serum products can demonstrate this type of interference potentially causing an anomalous result. These reagents have been formulated to minimize the risk of interference; however, potential interactions between rare sera and test components can occur. For diagnostic purposes, the results obtained from this assay should always be used in combination with the clinical examination, patient medical history, and other findings.</w:t>
            </w:r>
          </w:p>
          <w:p w:rsidR="009C5880" w:rsidRPr="001F1DBE" w:rsidRDefault="009C5880">
            <w:pPr>
              <w:jc w:val="left"/>
              <w:rPr>
                <w:rFonts w:ascii="Arial" w:hAnsi="Arial" w:cs="Arial"/>
                <w:iCs/>
                <w:sz w:val="20"/>
              </w:rPr>
            </w:pPr>
          </w:p>
        </w:tc>
      </w:tr>
      <w:tr w:rsidR="009C5880" w:rsidRPr="001F1DBE">
        <w:trPr>
          <w:cantSplit/>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r w:rsidRPr="001F1DBE">
              <w:rPr>
                <w:rFonts w:ascii="Arial" w:hAnsi="Arial" w:cs="Arial"/>
                <w:b/>
                <w:bCs/>
                <w:color w:val="0000FF"/>
                <w:sz w:val="20"/>
              </w:rPr>
              <w:br w:type="page"/>
            </w: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Reference Range</w:t>
            </w:r>
          </w:p>
        </w:tc>
        <w:tc>
          <w:tcPr>
            <w:tcW w:w="9360" w:type="dxa"/>
            <w:gridSpan w:val="4"/>
            <w:tcBorders>
              <w:top w:val="single" w:sz="4" w:space="0" w:color="auto"/>
              <w:left w:val="nil"/>
              <w:bottom w:val="nil"/>
              <w:right w:val="nil"/>
            </w:tcBorders>
          </w:tcPr>
          <w:p w:rsidR="009C5880" w:rsidRPr="001F1DBE" w:rsidRDefault="009C5880">
            <w:pPr>
              <w:jc w:val="left"/>
              <w:rPr>
                <w:rFonts w:ascii="Arial" w:hAnsi="Arial" w:cs="Arial"/>
                <w:iCs/>
                <w:sz w:val="20"/>
              </w:rPr>
            </w:pPr>
          </w:p>
          <w:p w:rsidR="009C5880" w:rsidRPr="001F1DBE" w:rsidRDefault="009C5880">
            <w:pPr>
              <w:jc w:val="left"/>
              <w:rPr>
                <w:rFonts w:ascii="Arial" w:hAnsi="Arial" w:cs="Arial"/>
                <w:iCs/>
                <w:sz w:val="20"/>
              </w:rPr>
            </w:pPr>
            <w:r w:rsidRPr="001F1DBE">
              <w:rPr>
                <w:rFonts w:ascii="Arial" w:hAnsi="Arial" w:cs="Arial"/>
                <w:iCs/>
                <w:sz w:val="20"/>
              </w:rPr>
              <w:t>10 – 60 pg/mL</w:t>
            </w:r>
          </w:p>
          <w:p w:rsidR="009C5880" w:rsidRPr="001F1DBE" w:rsidRDefault="009C5880">
            <w:pPr>
              <w:jc w:val="left"/>
              <w:rPr>
                <w:rFonts w:ascii="Arial" w:hAnsi="Arial" w:cs="Arial"/>
                <w:sz w:val="20"/>
              </w:rPr>
            </w:pPr>
          </w:p>
        </w:tc>
      </w:tr>
      <w:tr w:rsidR="009C5880" w:rsidRPr="001F1DBE">
        <w:trPr>
          <w:cantSplit/>
        </w:trPr>
        <w:tc>
          <w:tcPr>
            <w:tcW w:w="1800" w:type="dxa"/>
            <w:tcBorders>
              <w:top w:val="nil"/>
              <w:left w:val="nil"/>
              <w:bottom w:val="nil"/>
              <w:right w:val="nil"/>
            </w:tcBorders>
          </w:tcPr>
          <w:p w:rsidR="009C5880" w:rsidRPr="001F1DBE" w:rsidRDefault="009C5880">
            <w:pPr>
              <w:jc w:val="left"/>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Critical Values</w:t>
            </w:r>
          </w:p>
        </w:tc>
        <w:tc>
          <w:tcPr>
            <w:tcW w:w="9360" w:type="dxa"/>
            <w:gridSpan w:val="4"/>
            <w:tcBorders>
              <w:top w:val="single" w:sz="4" w:space="0" w:color="auto"/>
              <w:left w:val="nil"/>
              <w:bottom w:val="single" w:sz="4" w:space="0" w:color="auto"/>
              <w:right w:val="nil"/>
            </w:tcBorders>
          </w:tcPr>
          <w:p w:rsidR="009C5880" w:rsidRPr="001F1DBE" w:rsidRDefault="009C5880">
            <w:pPr>
              <w:jc w:val="left"/>
              <w:rPr>
                <w:rFonts w:ascii="Arial" w:hAnsi="Arial" w:cs="Arial"/>
                <w:iCs/>
                <w:kern w:val="32"/>
                <w:sz w:val="20"/>
                <w:szCs w:val="32"/>
              </w:rPr>
            </w:pPr>
          </w:p>
          <w:p w:rsidR="009C5880" w:rsidRPr="001F1DBE" w:rsidRDefault="009C5880">
            <w:pPr>
              <w:jc w:val="left"/>
              <w:rPr>
                <w:rFonts w:ascii="Arial" w:hAnsi="Arial" w:cs="Arial"/>
                <w:iCs/>
                <w:kern w:val="32"/>
                <w:sz w:val="20"/>
                <w:szCs w:val="32"/>
              </w:rPr>
            </w:pPr>
            <w:r w:rsidRPr="001F1DBE">
              <w:rPr>
                <w:rFonts w:ascii="Arial" w:hAnsi="Arial" w:cs="Arial"/>
                <w:iCs/>
                <w:kern w:val="32"/>
                <w:sz w:val="20"/>
                <w:szCs w:val="32"/>
              </w:rPr>
              <w:t>None specified.</w:t>
            </w:r>
          </w:p>
          <w:p w:rsidR="009C5880" w:rsidRPr="001F1DBE" w:rsidRDefault="009C5880">
            <w:pPr>
              <w:jc w:val="left"/>
              <w:rPr>
                <w:rFonts w:ascii="Arial" w:hAnsi="Arial" w:cs="Arial"/>
              </w:rPr>
            </w:pPr>
          </w:p>
        </w:tc>
      </w:tr>
      <w:tr w:rsidR="009C5880" w:rsidRPr="001F1DBE">
        <w:trPr>
          <w:cantSplit/>
        </w:trPr>
        <w:tc>
          <w:tcPr>
            <w:tcW w:w="1800" w:type="dxa"/>
            <w:tcBorders>
              <w:top w:val="nil"/>
              <w:left w:val="nil"/>
              <w:bottom w:val="nil"/>
              <w:right w:val="nil"/>
            </w:tcBorders>
          </w:tcPr>
          <w:p w:rsidR="009C5880" w:rsidRPr="001F1DBE" w:rsidRDefault="009C5880">
            <w:pPr>
              <w:rPr>
                <w:rFonts w:ascii="Arial" w:hAnsi="Arial" w:cs="Arial"/>
                <w:b/>
                <w:color w:val="0000FF"/>
                <w:sz w:val="20"/>
              </w:rPr>
            </w:pPr>
          </w:p>
          <w:p w:rsidR="009C5880" w:rsidRPr="001F1DBE" w:rsidRDefault="009C5880">
            <w:pPr>
              <w:jc w:val="left"/>
              <w:rPr>
                <w:rFonts w:ascii="Arial" w:hAnsi="Arial" w:cs="Arial"/>
                <w:b/>
                <w:sz w:val="20"/>
              </w:rPr>
            </w:pPr>
            <w:r w:rsidRPr="001F1DBE">
              <w:rPr>
                <w:rFonts w:ascii="Arial" w:hAnsi="Arial" w:cs="Arial"/>
                <w:b/>
                <w:color w:val="0000FF"/>
                <w:sz w:val="20"/>
              </w:rPr>
              <w:t>Limitations</w:t>
            </w:r>
          </w:p>
          <w:p w:rsidR="009C5880" w:rsidRPr="001F1DBE" w:rsidRDefault="009C5880">
            <w:pPr>
              <w:rPr>
                <w:rFonts w:ascii="Arial" w:hAnsi="Arial" w:cs="Arial"/>
                <w:b/>
                <w:sz w:val="20"/>
              </w:rPr>
            </w:pPr>
          </w:p>
        </w:tc>
        <w:tc>
          <w:tcPr>
            <w:tcW w:w="9360" w:type="dxa"/>
            <w:gridSpan w:val="4"/>
            <w:tcBorders>
              <w:top w:val="single" w:sz="4" w:space="0" w:color="auto"/>
              <w:left w:val="nil"/>
              <w:bottom w:val="single" w:sz="4" w:space="0" w:color="auto"/>
              <w:right w:val="nil"/>
            </w:tcBorders>
          </w:tcPr>
          <w:p w:rsidR="009C5880" w:rsidRPr="001F1DBE" w:rsidRDefault="009C5880">
            <w:pPr>
              <w:pStyle w:val="Heading"/>
              <w:jc w:val="left"/>
              <w:rPr>
                <w:rFonts w:ascii="Arial" w:hAnsi="Arial"/>
                <w:b w:val="0"/>
                <w:bCs w:val="0"/>
                <w:iCs/>
                <w:sz w:val="20"/>
              </w:rPr>
            </w:pPr>
          </w:p>
          <w:p w:rsidR="009C5880" w:rsidRPr="001F1DBE" w:rsidRDefault="009C5880">
            <w:pPr>
              <w:rPr>
                <w:rFonts w:ascii="Arial" w:hAnsi="Arial" w:cs="Arial"/>
                <w:sz w:val="20"/>
              </w:rPr>
            </w:pPr>
            <w:r w:rsidRPr="001F1DBE">
              <w:rPr>
                <w:rFonts w:ascii="Arial" w:hAnsi="Arial" w:cs="Arial"/>
                <w:sz w:val="20"/>
              </w:rPr>
              <w:t>Plasma levels of ACTH exhibit diurnal variation. It is therefore important to standardize the time of collection. ACTH is also affected by stress. ACTH results are best interpreted in conjuction with plasma cortisol results.</w:t>
            </w:r>
          </w:p>
          <w:p w:rsidR="009C5880" w:rsidRPr="001F1DBE" w:rsidRDefault="009C5880">
            <w:pPr>
              <w:rPr>
                <w:rFonts w:ascii="Arial" w:hAnsi="Arial" w:cs="Arial"/>
                <w:sz w:val="20"/>
              </w:rPr>
            </w:pPr>
          </w:p>
        </w:tc>
      </w:tr>
      <w:tr w:rsidR="009C5880" w:rsidRPr="001F1DBE">
        <w:trPr>
          <w:cantSplit/>
        </w:trPr>
        <w:tc>
          <w:tcPr>
            <w:tcW w:w="1800" w:type="dxa"/>
            <w:tcBorders>
              <w:top w:val="nil"/>
              <w:left w:val="nil"/>
              <w:bottom w:val="nil"/>
              <w:right w:val="nil"/>
            </w:tcBorders>
          </w:tcPr>
          <w:p w:rsidR="009C5880" w:rsidRPr="001F1DBE" w:rsidRDefault="009C5880">
            <w:pPr>
              <w:rPr>
                <w:rFonts w:ascii="Arial" w:hAnsi="Arial" w:cs="Arial"/>
                <w:sz w:val="20"/>
              </w:rPr>
            </w:pPr>
          </w:p>
          <w:p w:rsidR="009C5880" w:rsidRPr="001F1DBE" w:rsidRDefault="009C5880">
            <w:pPr>
              <w:pStyle w:val="BodyText3"/>
              <w:jc w:val="left"/>
              <w:rPr>
                <w:rFonts w:ascii="Arial" w:hAnsi="Arial" w:cs="Arial"/>
                <w:sz w:val="20"/>
              </w:rPr>
            </w:pPr>
            <w:r w:rsidRPr="001F1DBE">
              <w:rPr>
                <w:rFonts w:ascii="Arial" w:hAnsi="Arial" w:cs="Arial"/>
                <w:sz w:val="20"/>
              </w:rPr>
              <w:t>Dilutions</w:t>
            </w:r>
          </w:p>
          <w:p w:rsidR="009C5880" w:rsidRPr="001F1DBE" w:rsidRDefault="009C5880">
            <w:pPr>
              <w:rPr>
                <w:rFonts w:ascii="Arial" w:hAnsi="Arial" w:cs="Arial"/>
                <w:sz w:val="20"/>
              </w:rPr>
            </w:pPr>
          </w:p>
        </w:tc>
        <w:tc>
          <w:tcPr>
            <w:tcW w:w="9360" w:type="dxa"/>
            <w:gridSpan w:val="4"/>
            <w:tcBorders>
              <w:top w:val="single" w:sz="4" w:space="0" w:color="auto"/>
              <w:left w:val="nil"/>
              <w:bottom w:val="single" w:sz="4" w:space="0" w:color="auto"/>
              <w:right w:val="nil"/>
            </w:tcBorders>
          </w:tcPr>
          <w:p w:rsidR="009C5880" w:rsidRPr="001F1DBE" w:rsidRDefault="009C5880">
            <w:pPr>
              <w:pStyle w:val="Heading"/>
              <w:jc w:val="left"/>
              <w:rPr>
                <w:rFonts w:ascii="Arial" w:hAnsi="Arial"/>
                <w:b w:val="0"/>
                <w:bCs w:val="0"/>
                <w:iCs/>
                <w:sz w:val="20"/>
              </w:rPr>
            </w:pPr>
          </w:p>
          <w:p w:rsidR="009C5880" w:rsidRPr="001F1DBE" w:rsidRDefault="009C5880">
            <w:pPr>
              <w:rPr>
                <w:rFonts w:ascii="Arial" w:hAnsi="Arial" w:cs="Arial"/>
                <w:sz w:val="20"/>
              </w:rPr>
            </w:pPr>
            <w:r w:rsidRPr="001F1DBE">
              <w:rPr>
                <w:rFonts w:ascii="Arial" w:hAnsi="Arial" w:cs="Arial"/>
                <w:sz w:val="20"/>
              </w:rPr>
              <w:t>N/A</w:t>
            </w:r>
          </w:p>
          <w:p w:rsidR="009C5880" w:rsidRPr="001F1DBE" w:rsidRDefault="009C5880">
            <w:pPr>
              <w:rPr>
                <w:rFonts w:ascii="Arial" w:hAnsi="Arial" w:cs="Arial"/>
              </w:rPr>
            </w:pPr>
          </w:p>
        </w:tc>
      </w:tr>
      <w:tr w:rsidR="009C5880" w:rsidRPr="001F1DBE">
        <w:trPr>
          <w:cantSplit/>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Result Reporting</w:t>
            </w:r>
          </w:p>
          <w:p w:rsidR="009C5880" w:rsidRPr="001F1DBE" w:rsidRDefault="009C5880">
            <w:pPr>
              <w:rPr>
                <w:rFonts w:ascii="Arial" w:hAnsi="Arial" w:cs="Arial"/>
                <w:b/>
                <w:bCs/>
                <w:sz w:val="20"/>
              </w:rPr>
            </w:pPr>
          </w:p>
        </w:tc>
        <w:tc>
          <w:tcPr>
            <w:tcW w:w="9360" w:type="dxa"/>
            <w:gridSpan w:val="4"/>
            <w:tcBorders>
              <w:left w:val="nil"/>
              <w:right w:val="nil"/>
            </w:tcBorders>
          </w:tcPr>
          <w:p w:rsidR="009C5880" w:rsidRPr="001F1DBE" w:rsidRDefault="009C5880">
            <w:pPr>
              <w:jc w:val="left"/>
              <w:rPr>
                <w:rFonts w:ascii="Arial" w:hAnsi="Arial" w:cs="Arial"/>
                <w:sz w:val="20"/>
              </w:rPr>
            </w:pPr>
          </w:p>
          <w:p w:rsidR="009C5880" w:rsidRPr="001F1DBE" w:rsidRDefault="009C5880">
            <w:pPr>
              <w:numPr>
                <w:ilvl w:val="0"/>
                <w:numId w:val="32"/>
              </w:numPr>
              <w:jc w:val="left"/>
              <w:rPr>
                <w:rFonts w:ascii="Arial" w:hAnsi="Arial" w:cs="Arial"/>
                <w:iCs/>
                <w:sz w:val="20"/>
              </w:rPr>
            </w:pPr>
            <w:r w:rsidRPr="001F1DBE">
              <w:rPr>
                <w:rFonts w:ascii="Arial" w:hAnsi="Arial" w:cs="Arial"/>
                <w:iCs/>
                <w:sz w:val="20"/>
              </w:rPr>
              <w:t>Results between 5.0-1250 pg/mL without error messages are released.</w:t>
            </w:r>
          </w:p>
          <w:p w:rsidR="009C5880" w:rsidRPr="001F1DBE" w:rsidRDefault="009C5880">
            <w:pPr>
              <w:numPr>
                <w:ilvl w:val="0"/>
                <w:numId w:val="32"/>
              </w:numPr>
              <w:jc w:val="left"/>
              <w:rPr>
                <w:rFonts w:ascii="Arial" w:hAnsi="Arial" w:cs="Arial"/>
                <w:iCs/>
                <w:sz w:val="20"/>
              </w:rPr>
            </w:pPr>
            <w:r w:rsidRPr="001F1DBE">
              <w:rPr>
                <w:rFonts w:ascii="Arial" w:hAnsi="Arial" w:cs="Arial"/>
                <w:iCs/>
                <w:sz w:val="20"/>
              </w:rPr>
              <w:t>Results below 5.0 pg/mL: report as &lt;5.0 pg/mL instead of the numerical value.</w:t>
            </w:r>
          </w:p>
          <w:p w:rsidR="009C5880" w:rsidRPr="001F1DBE" w:rsidRDefault="009C5880">
            <w:pPr>
              <w:numPr>
                <w:ilvl w:val="0"/>
                <w:numId w:val="32"/>
              </w:numPr>
              <w:jc w:val="left"/>
              <w:rPr>
                <w:rFonts w:ascii="Arial" w:hAnsi="Arial" w:cs="Arial"/>
                <w:iCs/>
                <w:sz w:val="20"/>
              </w:rPr>
            </w:pPr>
            <w:r w:rsidRPr="001F1DBE">
              <w:rPr>
                <w:rFonts w:ascii="Arial" w:hAnsi="Arial" w:cs="Arial"/>
                <w:iCs/>
                <w:sz w:val="20"/>
              </w:rPr>
              <w:t>Results greater than 1250 pg/mL are reported as &gt;1250 pg/mL</w:t>
            </w:r>
          </w:p>
          <w:p w:rsidR="009C5880" w:rsidRPr="001F1DBE" w:rsidRDefault="009C5880">
            <w:pPr>
              <w:jc w:val="left"/>
              <w:rPr>
                <w:rFonts w:ascii="Arial" w:hAnsi="Arial" w:cs="Arial"/>
                <w:iCs/>
                <w:sz w:val="20"/>
              </w:rPr>
            </w:pPr>
          </w:p>
        </w:tc>
      </w:tr>
      <w:tr w:rsidR="009C5880" w:rsidRPr="001F1DBE" w:rsidTr="00024D01">
        <w:trPr>
          <w:cantSplit/>
        </w:trPr>
        <w:tc>
          <w:tcPr>
            <w:tcW w:w="1800" w:type="dxa"/>
            <w:tcBorders>
              <w:top w:val="nil"/>
              <w:left w:val="nil"/>
              <w:bottom w:val="nil"/>
              <w:right w:val="nil"/>
            </w:tcBorders>
          </w:tcPr>
          <w:p w:rsidR="009C5880" w:rsidRPr="001F1DBE" w:rsidRDefault="009C5880">
            <w:pPr>
              <w:rPr>
                <w:rFonts w:ascii="Arial" w:hAnsi="Arial" w:cs="Arial"/>
                <w:b/>
                <w:bCs/>
                <w:color w:val="0000FF"/>
                <w:sz w:val="20"/>
              </w:rPr>
            </w:pPr>
          </w:p>
          <w:p w:rsidR="009C5880" w:rsidRPr="001F1DBE" w:rsidRDefault="009C5880">
            <w:pPr>
              <w:rPr>
                <w:rFonts w:ascii="Arial" w:hAnsi="Arial" w:cs="Arial"/>
                <w:b/>
                <w:bCs/>
                <w:color w:val="0000FF"/>
                <w:sz w:val="20"/>
              </w:rPr>
            </w:pPr>
            <w:r w:rsidRPr="001F1DBE">
              <w:rPr>
                <w:rFonts w:ascii="Arial" w:hAnsi="Arial" w:cs="Arial"/>
                <w:b/>
                <w:bCs/>
                <w:color w:val="0000FF"/>
                <w:sz w:val="20"/>
              </w:rPr>
              <w:t>Specimen Storage</w:t>
            </w:r>
          </w:p>
        </w:tc>
        <w:tc>
          <w:tcPr>
            <w:tcW w:w="9360" w:type="dxa"/>
            <w:gridSpan w:val="4"/>
            <w:tcBorders>
              <w:left w:val="nil"/>
              <w:bottom w:val="single" w:sz="4" w:space="0" w:color="auto"/>
              <w:right w:val="nil"/>
            </w:tcBorders>
          </w:tcPr>
          <w:p w:rsidR="009C5880" w:rsidRPr="001F1DBE" w:rsidRDefault="009C5880">
            <w:pPr>
              <w:jc w:val="left"/>
              <w:rPr>
                <w:rFonts w:ascii="Arial" w:hAnsi="Arial" w:cs="Arial"/>
                <w:sz w:val="20"/>
              </w:rPr>
            </w:pPr>
          </w:p>
          <w:p w:rsidR="009C5880" w:rsidRPr="001F1DBE" w:rsidRDefault="009C5880">
            <w:pPr>
              <w:jc w:val="left"/>
              <w:rPr>
                <w:rFonts w:ascii="Arial" w:hAnsi="Arial" w:cs="Arial"/>
                <w:sz w:val="20"/>
              </w:rPr>
            </w:pPr>
            <w:r w:rsidRPr="001F1DBE">
              <w:rPr>
                <w:rFonts w:ascii="Arial" w:hAnsi="Arial" w:cs="Arial"/>
                <w:sz w:val="20"/>
              </w:rPr>
              <w:t>As soon as possible after testing, stopper tested specimen and store frozen in dated biohazard bags.</w:t>
            </w:r>
          </w:p>
          <w:p w:rsidR="009C5880" w:rsidRPr="001F1DBE" w:rsidRDefault="009C5880">
            <w:pPr>
              <w:jc w:val="left"/>
              <w:rPr>
                <w:rFonts w:ascii="Arial" w:hAnsi="Arial" w:cs="Arial"/>
                <w:sz w:val="20"/>
              </w:rPr>
            </w:pPr>
            <w:r w:rsidRPr="001F1DBE">
              <w:rPr>
                <w:rFonts w:ascii="Arial" w:hAnsi="Arial" w:cs="Arial"/>
                <w:sz w:val="20"/>
              </w:rPr>
              <w:t>Samples are retained 7 days in specimen storage freezer.</w:t>
            </w:r>
          </w:p>
          <w:p w:rsidR="009C5880" w:rsidRPr="001F1DBE" w:rsidRDefault="009C5880">
            <w:pPr>
              <w:jc w:val="left"/>
              <w:rPr>
                <w:rFonts w:ascii="Arial" w:hAnsi="Arial" w:cs="Arial"/>
                <w:sz w:val="20"/>
              </w:rPr>
            </w:pPr>
          </w:p>
        </w:tc>
      </w:tr>
      <w:tr w:rsidR="009C5880" w:rsidRPr="001F1DBE" w:rsidTr="00024D0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9C5880" w:rsidRPr="001F1DBE" w:rsidRDefault="009C5880">
            <w:pPr>
              <w:rPr>
                <w:rFonts w:ascii="Arial" w:hAnsi="Arial" w:cs="Arial"/>
                <w:b/>
                <w:bCs/>
                <w:sz w:val="20"/>
              </w:rPr>
            </w:pPr>
          </w:p>
          <w:p w:rsidR="009C5880" w:rsidRPr="001F1DBE" w:rsidRDefault="009C5880">
            <w:pPr>
              <w:jc w:val="left"/>
              <w:rPr>
                <w:rFonts w:ascii="Arial" w:hAnsi="Arial" w:cs="Arial"/>
                <w:b/>
                <w:bCs/>
                <w:color w:val="0000FF"/>
                <w:sz w:val="20"/>
              </w:rPr>
            </w:pPr>
            <w:r w:rsidRPr="001F1DBE">
              <w:rPr>
                <w:rFonts w:ascii="Arial" w:hAnsi="Arial" w:cs="Arial"/>
                <w:b/>
                <w:bCs/>
                <w:color w:val="0000FF"/>
                <w:sz w:val="20"/>
              </w:rPr>
              <w:t>References</w:t>
            </w:r>
          </w:p>
        </w:tc>
        <w:tc>
          <w:tcPr>
            <w:tcW w:w="9360" w:type="dxa"/>
            <w:gridSpan w:val="4"/>
            <w:tcBorders>
              <w:top w:val="single" w:sz="4" w:space="0" w:color="auto"/>
              <w:bottom w:val="single" w:sz="4" w:space="0" w:color="auto"/>
              <w:right w:val="nil"/>
            </w:tcBorders>
          </w:tcPr>
          <w:p w:rsidR="009C5880" w:rsidRPr="001F1DBE" w:rsidRDefault="009C5880">
            <w:pPr>
              <w:jc w:val="left"/>
              <w:rPr>
                <w:rFonts w:ascii="Arial" w:hAnsi="Arial" w:cs="Arial"/>
                <w:iCs/>
                <w:sz w:val="20"/>
              </w:rPr>
            </w:pPr>
          </w:p>
          <w:p w:rsidR="009C5880" w:rsidRPr="001F1DBE" w:rsidRDefault="009C5880">
            <w:pPr>
              <w:numPr>
                <w:ilvl w:val="0"/>
                <w:numId w:val="33"/>
              </w:numPr>
              <w:jc w:val="left"/>
              <w:rPr>
                <w:rFonts w:ascii="Arial" w:hAnsi="Arial" w:cs="Arial"/>
                <w:iCs/>
                <w:sz w:val="20"/>
              </w:rPr>
            </w:pPr>
            <w:r w:rsidRPr="001F1DBE">
              <w:rPr>
                <w:rFonts w:ascii="Arial" w:hAnsi="Arial" w:cs="Arial"/>
                <w:iCs/>
                <w:sz w:val="20"/>
              </w:rPr>
              <w:t>Burtis, CA, Ashwood, ER, Bruns, DE, editors. Tietz Textbook of Clinical Chemistry and Molecular Diagnostics. 4</w:t>
            </w:r>
            <w:r w:rsidRPr="001F1DBE">
              <w:rPr>
                <w:rFonts w:ascii="Arial" w:hAnsi="Arial" w:cs="Arial"/>
                <w:iCs/>
                <w:sz w:val="20"/>
                <w:vertAlign w:val="superscript"/>
              </w:rPr>
              <w:t>th</w:t>
            </w:r>
            <w:r w:rsidRPr="001F1DBE">
              <w:rPr>
                <w:rFonts w:ascii="Arial" w:hAnsi="Arial" w:cs="Arial"/>
                <w:iCs/>
                <w:sz w:val="20"/>
              </w:rPr>
              <w:t xml:space="preserve"> Edition, Philadelphia: W.B. Saunders, 2006.</w:t>
            </w:r>
          </w:p>
          <w:p w:rsidR="009C5880" w:rsidRPr="001F1DBE" w:rsidRDefault="009C5880">
            <w:pPr>
              <w:numPr>
                <w:ilvl w:val="0"/>
                <w:numId w:val="33"/>
              </w:numPr>
              <w:jc w:val="left"/>
              <w:rPr>
                <w:rFonts w:ascii="Arial" w:hAnsi="Arial" w:cs="Arial"/>
                <w:iCs/>
                <w:sz w:val="20"/>
              </w:rPr>
            </w:pPr>
            <w:r w:rsidRPr="001F1DBE">
              <w:rPr>
                <w:rFonts w:ascii="Arial" w:hAnsi="Arial" w:cs="Arial"/>
                <w:iCs/>
                <w:sz w:val="20"/>
              </w:rPr>
              <w:t>Jacobs and DeMott Laboratory Test handbook, 5</w:t>
            </w:r>
            <w:r w:rsidRPr="001F1DBE">
              <w:rPr>
                <w:rFonts w:ascii="Arial" w:hAnsi="Arial" w:cs="Arial"/>
                <w:iCs/>
                <w:sz w:val="20"/>
                <w:vertAlign w:val="superscript"/>
              </w:rPr>
              <w:t>th</w:t>
            </w:r>
            <w:r w:rsidRPr="001F1DBE">
              <w:rPr>
                <w:rFonts w:ascii="Arial" w:hAnsi="Arial" w:cs="Arial"/>
                <w:iCs/>
                <w:sz w:val="20"/>
              </w:rPr>
              <w:t xml:space="preserve"> Edition, Lexi-comp Inc. 2001</w:t>
            </w:r>
          </w:p>
          <w:p w:rsidR="009C5880" w:rsidRPr="001F1DBE" w:rsidRDefault="009C5880">
            <w:pPr>
              <w:numPr>
                <w:ilvl w:val="0"/>
                <w:numId w:val="33"/>
              </w:numPr>
              <w:jc w:val="left"/>
              <w:rPr>
                <w:rFonts w:ascii="Arial" w:hAnsi="Arial" w:cs="Arial"/>
                <w:iCs/>
                <w:sz w:val="20"/>
              </w:rPr>
            </w:pPr>
            <w:r w:rsidRPr="001F1DBE">
              <w:rPr>
                <w:rFonts w:ascii="Arial" w:hAnsi="Arial" w:cs="Arial"/>
                <w:iCs/>
                <w:sz w:val="20"/>
              </w:rPr>
              <w:t>Siemens Immulite® 2000</w:t>
            </w:r>
            <w:r w:rsidR="00CD44C9" w:rsidRPr="001F1DBE">
              <w:rPr>
                <w:rFonts w:ascii="Arial" w:hAnsi="Arial" w:cs="Arial"/>
                <w:iCs/>
                <w:sz w:val="20"/>
              </w:rPr>
              <w:t xml:space="preserve"> ACTH Product Insert, PIL2KAC-17, 2015-07-16</w:t>
            </w:r>
          </w:p>
          <w:p w:rsidR="009C5880" w:rsidRPr="001F1DBE" w:rsidRDefault="009C5880">
            <w:pPr>
              <w:numPr>
                <w:ilvl w:val="0"/>
                <w:numId w:val="33"/>
              </w:numPr>
              <w:jc w:val="left"/>
              <w:rPr>
                <w:rFonts w:ascii="Arial" w:hAnsi="Arial" w:cs="Arial"/>
                <w:iCs/>
                <w:sz w:val="20"/>
              </w:rPr>
            </w:pPr>
            <w:r w:rsidRPr="001F1DBE">
              <w:rPr>
                <w:rFonts w:ascii="Arial" w:hAnsi="Arial" w:cs="Arial"/>
                <w:iCs/>
                <w:sz w:val="20"/>
              </w:rPr>
              <w:t>Siemens Immulite® ACTH Control Module Product Insert, PILACCM-23, 8/24/09</w:t>
            </w:r>
          </w:p>
          <w:p w:rsidR="009C5880" w:rsidRPr="001F1DBE" w:rsidRDefault="009C5880">
            <w:pPr>
              <w:jc w:val="left"/>
              <w:rPr>
                <w:rFonts w:ascii="Arial" w:hAnsi="Arial" w:cs="Arial"/>
                <w:iCs/>
                <w:sz w:val="20"/>
              </w:rPr>
            </w:pPr>
          </w:p>
        </w:tc>
      </w:tr>
      <w:tr w:rsidR="00024D01" w:rsidRPr="001F1DBE" w:rsidTr="00024D01">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024D01" w:rsidRPr="001F1DBE" w:rsidRDefault="00024D01">
            <w:pPr>
              <w:rPr>
                <w:rFonts w:ascii="Arial" w:hAnsi="Arial" w:cs="Arial"/>
                <w:b/>
                <w:bCs/>
                <w:sz w:val="20"/>
              </w:rPr>
            </w:pPr>
          </w:p>
        </w:tc>
        <w:tc>
          <w:tcPr>
            <w:tcW w:w="9360" w:type="dxa"/>
            <w:gridSpan w:val="4"/>
            <w:tcBorders>
              <w:top w:val="single" w:sz="4" w:space="0" w:color="auto"/>
              <w:bottom w:val="single" w:sz="4" w:space="0" w:color="auto"/>
              <w:right w:val="nil"/>
            </w:tcBorders>
          </w:tcPr>
          <w:p w:rsidR="00024D01" w:rsidRPr="001F1DBE" w:rsidRDefault="00024D01">
            <w:pPr>
              <w:jc w:val="left"/>
              <w:rPr>
                <w:rFonts w:ascii="Arial" w:hAnsi="Arial" w:cs="Arial"/>
                <w:iCs/>
                <w:sz w:val="20"/>
              </w:rPr>
            </w:pPr>
          </w:p>
        </w:tc>
      </w:tr>
      <w:tr w:rsidR="009C5880" w:rsidRPr="001F1DBE" w:rsidTr="00024D01">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9C5880" w:rsidRPr="001F1DBE" w:rsidRDefault="009C5880">
            <w:pPr>
              <w:jc w:val="left"/>
              <w:rPr>
                <w:rFonts w:ascii="Arial" w:hAnsi="Arial" w:cs="Arial"/>
                <w:b/>
                <w:bCs/>
                <w:color w:val="3366FF"/>
                <w:sz w:val="20"/>
              </w:rPr>
            </w:pPr>
            <w:r w:rsidRPr="001F1DBE">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b/>
                <w:bCs/>
                <w:sz w:val="20"/>
              </w:rPr>
            </w:pPr>
            <w:r w:rsidRPr="001F1DBE">
              <w:rPr>
                <w:rFonts w:ascii="Arial" w:hAnsi="Arial" w:cs="Arial"/>
                <w:b/>
                <w:bCs/>
                <w:sz w:val="20"/>
              </w:rPr>
              <w:t>Version</w:t>
            </w:r>
          </w:p>
        </w:tc>
        <w:tc>
          <w:tcPr>
            <w:tcW w:w="2340" w:type="dxa"/>
            <w:tcBorders>
              <w:top w:val="single" w:sz="4" w:space="0" w:color="auto"/>
              <w:left w:val="single" w:sz="4" w:space="0" w:color="auto"/>
              <w:bottom w:val="single" w:sz="4" w:space="0" w:color="auto"/>
              <w:right w:val="single" w:sz="4" w:space="0" w:color="auto"/>
            </w:tcBorders>
          </w:tcPr>
          <w:p w:rsidR="009C5880" w:rsidRPr="001F1DBE" w:rsidRDefault="009C5880">
            <w:pPr>
              <w:rPr>
                <w:rFonts w:ascii="Arial" w:hAnsi="Arial" w:cs="Arial"/>
                <w:b/>
                <w:bCs/>
                <w:iCs/>
                <w:sz w:val="20"/>
              </w:rPr>
            </w:pPr>
            <w:r w:rsidRPr="001F1DBE">
              <w:rPr>
                <w:rFonts w:ascii="Arial" w:hAnsi="Arial" w:cs="Arial"/>
                <w:b/>
                <w:bCs/>
                <w:iCs/>
                <w:sz w:val="20"/>
              </w:rPr>
              <w:t>Written/Revised by:</w:t>
            </w:r>
          </w:p>
        </w:tc>
        <w:tc>
          <w:tcPr>
            <w:tcW w:w="198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b/>
                <w:bCs/>
                <w:iCs/>
                <w:sz w:val="20"/>
              </w:rPr>
            </w:pPr>
            <w:r w:rsidRPr="001F1DBE">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b/>
                <w:bCs/>
                <w:iCs/>
                <w:sz w:val="20"/>
              </w:rPr>
            </w:pPr>
            <w:r w:rsidRPr="001F1DBE">
              <w:rPr>
                <w:rFonts w:ascii="Arial" w:hAnsi="Arial" w:cs="Arial"/>
                <w:b/>
                <w:bCs/>
                <w:iCs/>
                <w:sz w:val="20"/>
              </w:rPr>
              <w:t>Summary of Revisions</w:t>
            </w:r>
          </w:p>
        </w:tc>
      </w:tr>
      <w:tr w:rsidR="009C5880" w:rsidRPr="001F1DBE">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9C5880" w:rsidRPr="001F1DBE" w:rsidRDefault="009C5880">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sz w:val="20"/>
              </w:rPr>
            </w:pPr>
            <w:r w:rsidRPr="001F1DBE">
              <w:rPr>
                <w:rFonts w:ascii="Arial" w:hAnsi="Arial" w:cs="Arial"/>
                <w:sz w:val="20"/>
              </w:rPr>
              <w:t>1</w:t>
            </w:r>
          </w:p>
        </w:tc>
        <w:tc>
          <w:tcPr>
            <w:tcW w:w="234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iCs/>
                <w:sz w:val="20"/>
              </w:rPr>
            </w:pPr>
            <w:r w:rsidRPr="001F1DBE">
              <w:rPr>
                <w:rFonts w:ascii="Arial" w:hAnsi="Arial" w:cs="Arial"/>
                <w:iCs/>
                <w:sz w:val="20"/>
              </w:rPr>
              <w:t>L. Lichty</w:t>
            </w:r>
          </w:p>
        </w:tc>
        <w:tc>
          <w:tcPr>
            <w:tcW w:w="198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iCs/>
                <w:sz w:val="20"/>
              </w:rPr>
            </w:pPr>
            <w:r w:rsidRPr="001F1DBE">
              <w:rPr>
                <w:rFonts w:ascii="Arial" w:hAnsi="Arial" w:cs="Arial"/>
                <w:iCs/>
                <w:sz w:val="20"/>
              </w:rPr>
              <w:t>April 26, 2010</w:t>
            </w:r>
          </w:p>
        </w:tc>
        <w:tc>
          <w:tcPr>
            <w:tcW w:w="360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iCs/>
                <w:sz w:val="20"/>
              </w:rPr>
            </w:pPr>
            <w:r w:rsidRPr="001F1DBE">
              <w:rPr>
                <w:rFonts w:ascii="Arial" w:hAnsi="Arial" w:cs="Arial"/>
                <w:iCs/>
                <w:sz w:val="20"/>
              </w:rPr>
              <w:t>Initial Version</w:t>
            </w:r>
          </w:p>
        </w:tc>
      </w:tr>
      <w:tr w:rsidR="009C5880" w:rsidRPr="001F1DBE" w:rsidTr="00AD4B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9C5880" w:rsidRPr="001F1DBE" w:rsidRDefault="009C5880">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iCs/>
                <w:sz w:val="20"/>
              </w:rPr>
            </w:pPr>
            <w:r w:rsidRPr="001F1DBE">
              <w:rPr>
                <w:rFonts w:ascii="Arial" w:hAnsi="Arial" w:cs="Arial"/>
                <w:iCs/>
                <w:sz w:val="20"/>
              </w:rPr>
              <w:t>2</w:t>
            </w:r>
          </w:p>
        </w:tc>
        <w:tc>
          <w:tcPr>
            <w:tcW w:w="234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iCs/>
                <w:sz w:val="20"/>
              </w:rPr>
            </w:pPr>
            <w:r w:rsidRPr="001F1DBE">
              <w:rPr>
                <w:rFonts w:ascii="Arial" w:hAnsi="Arial" w:cs="Arial"/>
                <w:iCs/>
                <w:sz w:val="20"/>
              </w:rPr>
              <w:t>D. Helfinstine</w:t>
            </w:r>
          </w:p>
        </w:tc>
        <w:tc>
          <w:tcPr>
            <w:tcW w:w="198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iCs/>
                <w:sz w:val="20"/>
              </w:rPr>
            </w:pPr>
            <w:r w:rsidRPr="001F1DBE">
              <w:rPr>
                <w:rFonts w:ascii="Arial" w:hAnsi="Arial" w:cs="Arial"/>
                <w:iCs/>
                <w:sz w:val="20"/>
              </w:rPr>
              <w:t>April 1, 2011</w:t>
            </w:r>
          </w:p>
        </w:tc>
        <w:tc>
          <w:tcPr>
            <w:tcW w:w="3600" w:type="dxa"/>
            <w:tcBorders>
              <w:top w:val="single" w:sz="4" w:space="0" w:color="auto"/>
              <w:left w:val="single" w:sz="4" w:space="0" w:color="auto"/>
              <w:bottom w:val="single" w:sz="4" w:space="0" w:color="auto"/>
              <w:right w:val="single" w:sz="4" w:space="0" w:color="auto"/>
            </w:tcBorders>
          </w:tcPr>
          <w:p w:rsidR="009C5880" w:rsidRPr="001F1DBE" w:rsidRDefault="009C5880">
            <w:pPr>
              <w:jc w:val="left"/>
              <w:rPr>
                <w:rFonts w:ascii="Arial" w:hAnsi="Arial" w:cs="Arial"/>
                <w:iCs/>
                <w:sz w:val="20"/>
              </w:rPr>
            </w:pPr>
            <w:r w:rsidRPr="001F1DBE">
              <w:rPr>
                <w:rFonts w:ascii="Arial" w:hAnsi="Arial" w:cs="Arial"/>
                <w:iCs/>
                <w:sz w:val="20"/>
              </w:rPr>
              <w:t>New format</w:t>
            </w:r>
          </w:p>
        </w:tc>
      </w:tr>
      <w:tr w:rsidR="00AD4BE3" w:rsidRPr="001F1DBE" w:rsidTr="00AD4B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rsidR="00AD4BE3" w:rsidRPr="001F1DBE" w:rsidRDefault="00AD4BE3">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D4BE3" w:rsidRPr="001F1DBE" w:rsidRDefault="00AD4BE3">
            <w:pPr>
              <w:jc w:val="left"/>
              <w:rPr>
                <w:rFonts w:ascii="Arial" w:hAnsi="Arial" w:cs="Arial"/>
                <w:iCs/>
                <w:sz w:val="20"/>
              </w:rPr>
            </w:pPr>
            <w:r w:rsidRPr="001F1DBE">
              <w:rPr>
                <w:rFonts w:ascii="Arial" w:hAnsi="Arial" w:cs="Arial"/>
                <w:iCs/>
                <w:sz w:val="20"/>
              </w:rPr>
              <w:t>3</w:t>
            </w:r>
          </w:p>
        </w:tc>
        <w:tc>
          <w:tcPr>
            <w:tcW w:w="2340" w:type="dxa"/>
            <w:tcBorders>
              <w:top w:val="single" w:sz="4" w:space="0" w:color="auto"/>
              <w:left w:val="single" w:sz="4" w:space="0" w:color="auto"/>
              <w:bottom w:val="single" w:sz="4" w:space="0" w:color="auto"/>
              <w:right w:val="single" w:sz="4" w:space="0" w:color="auto"/>
            </w:tcBorders>
          </w:tcPr>
          <w:p w:rsidR="00AD4BE3" w:rsidRPr="001F1DBE" w:rsidRDefault="00AD4BE3">
            <w:pPr>
              <w:jc w:val="left"/>
              <w:rPr>
                <w:rFonts w:ascii="Arial" w:hAnsi="Arial" w:cs="Arial"/>
                <w:iCs/>
                <w:sz w:val="20"/>
              </w:rPr>
            </w:pPr>
            <w:r w:rsidRPr="001F1DBE">
              <w:rPr>
                <w:rFonts w:ascii="Arial" w:hAnsi="Arial" w:cs="Arial"/>
                <w:iCs/>
                <w:sz w:val="20"/>
              </w:rPr>
              <w:t>L. Lichty</w:t>
            </w:r>
          </w:p>
        </w:tc>
        <w:tc>
          <w:tcPr>
            <w:tcW w:w="1980" w:type="dxa"/>
            <w:tcBorders>
              <w:top w:val="single" w:sz="4" w:space="0" w:color="auto"/>
              <w:left w:val="single" w:sz="4" w:space="0" w:color="auto"/>
              <w:bottom w:val="single" w:sz="4" w:space="0" w:color="auto"/>
              <w:right w:val="single" w:sz="4" w:space="0" w:color="auto"/>
            </w:tcBorders>
          </w:tcPr>
          <w:p w:rsidR="00AD4BE3" w:rsidRPr="001F1DBE" w:rsidRDefault="00AD4BE3">
            <w:pPr>
              <w:jc w:val="left"/>
              <w:rPr>
                <w:rFonts w:ascii="Arial" w:hAnsi="Arial" w:cs="Arial"/>
                <w:iCs/>
                <w:sz w:val="20"/>
              </w:rPr>
            </w:pPr>
            <w:r w:rsidRPr="001F1DBE">
              <w:rPr>
                <w:rFonts w:ascii="Arial" w:hAnsi="Arial" w:cs="Arial"/>
                <w:iCs/>
                <w:sz w:val="20"/>
              </w:rPr>
              <w:t>March 17, 2014</w:t>
            </w:r>
          </w:p>
        </w:tc>
        <w:tc>
          <w:tcPr>
            <w:tcW w:w="3600" w:type="dxa"/>
            <w:tcBorders>
              <w:top w:val="single" w:sz="4" w:space="0" w:color="auto"/>
              <w:left w:val="single" w:sz="4" w:space="0" w:color="auto"/>
              <w:bottom w:val="single" w:sz="4" w:space="0" w:color="auto"/>
              <w:right w:val="single" w:sz="4" w:space="0" w:color="auto"/>
            </w:tcBorders>
          </w:tcPr>
          <w:p w:rsidR="00AD4BE3" w:rsidRPr="001F1DBE" w:rsidRDefault="00AD4BE3">
            <w:pPr>
              <w:jc w:val="left"/>
              <w:rPr>
                <w:rFonts w:ascii="Arial" w:hAnsi="Arial" w:cs="Arial"/>
                <w:iCs/>
                <w:sz w:val="20"/>
              </w:rPr>
            </w:pPr>
            <w:r w:rsidRPr="001F1DBE">
              <w:rPr>
                <w:rFonts w:ascii="Arial" w:hAnsi="Arial" w:cs="Arial"/>
                <w:iCs/>
                <w:sz w:val="20"/>
              </w:rPr>
              <w:t>Define turnaround time</w:t>
            </w:r>
          </w:p>
        </w:tc>
      </w:tr>
      <w:tr w:rsidR="00CD44C9" w:rsidRPr="001F1DBE" w:rsidTr="00AD4B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rsidR="00CD44C9" w:rsidRPr="001F1DBE" w:rsidRDefault="00CD44C9">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CD44C9" w:rsidRPr="001F1DBE" w:rsidRDefault="00CD44C9">
            <w:pPr>
              <w:jc w:val="left"/>
              <w:rPr>
                <w:rFonts w:ascii="Arial" w:hAnsi="Arial" w:cs="Arial"/>
                <w:iCs/>
                <w:sz w:val="20"/>
              </w:rPr>
            </w:pPr>
            <w:r w:rsidRPr="001F1DBE">
              <w:rPr>
                <w:rFonts w:ascii="Arial" w:hAnsi="Arial" w:cs="Arial"/>
                <w:iCs/>
                <w:sz w:val="20"/>
              </w:rPr>
              <w:t>4</w:t>
            </w:r>
          </w:p>
        </w:tc>
        <w:tc>
          <w:tcPr>
            <w:tcW w:w="2340" w:type="dxa"/>
            <w:tcBorders>
              <w:top w:val="single" w:sz="4" w:space="0" w:color="auto"/>
              <w:left w:val="single" w:sz="4" w:space="0" w:color="auto"/>
              <w:bottom w:val="single" w:sz="4" w:space="0" w:color="auto"/>
              <w:right w:val="single" w:sz="4" w:space="0" w:color="auto"/>
            </w:tcBorders>
          </w:tcPr>
          <w:p w:rsidR="00CD44C9" w:rsidRPr="001F1DBE" w:rsidRDefault="00CD44C9">
            <w:pPr>
              <w:jc w:val="left"/>
              <w:rPr>
                <w:rFonts w:ascii="Arial" w:hAnsi="Arial" w:cs="Arial"/>
                <w:iCs/>
                <w:sz w:val="20"/>
              </w:rPr>
            </w:pPr>
            <w:r w:rsidRPr="001F1DBE">
              <w:rPr>
                <w:rFonts w:ascii="Arial" w:hAnsi="Arial" w:cs="Arial"/>
                <w:iCs/>
                <w:sz w:val="20"/>
              </w:rPr>
              <w:t>Erin Bartos</w:t>
            </w:r>
          </w:p>
        </w:tc>
        <w:tc>
          <w:tcPr>
            <w:tcW w:w="1980" w:type="dxa"/>
            <w:tcBorders>
              <w:top w:val="single" w:sz="4" w:space="0" w:color="auto"/>
              <w:left w:val="single" w:sz="4" w:space="0" w:color="auto"/>
              <w:bottom w:val="single" w:sz="4" w:space="0" w:color="auto"/>
              <w:right w:val="single" w:sz="4" w:space="0" w:color="auto"/>
            </w:tcBorders>
          </w:tcPr>
          <w:p w:rsidR="00CD44C9" w:rsidRPr="001F1DBE" w:rsidRDefault="00CD44C9">
            <w:pPr>
              <w:jc w:val="left"/>
              <w:rPr>
                <w:rFonts w:ascii="Arial" w:hAnsi="Arial" w:cs="Arial"/>
                <w:iCs/>
                <w:sz w:val="20"/>
              </w:rPr>
            </w:pPr>
            <w:r w:rsidRPr="001F1DBE">
              <w:rPr>
                <w:rFonts w:ascii="Arial" w:hAnsi="Arial" w:cs="Arial"/>
                <w:iCs/>
                <w:sz w:val="20"/>
              </w:rPr>
              <w:t>June 30, 2017</w:t>
            </w:r>
          </w:p>
        </w:tc>
        <w:tc>
          <w:tcPr>
            <w:tcW w:w="3600" w:type="dxa"/>
            <w:tcBorders>
              <w:top w:val="single" w:sz="4" w:space="0" w:color="auto"/>
              <w:left w:val="single" w:sz="4" w:space="0" w:color="auto"/>
              <w:bottom w:val="single" w:sz="4" w:space="0" w:color="auto"/>
              <w:right w:val="single" w:sz="4" w:space="0" w:color="auto"/>
            </w:tcBorders>
          </w:tcPr>
          <w:p w:rsidR="00CD44C9" w:rsidRPr="001F1DBE" w:rsidRDefault="00CD44C9">
            <w:pPr>
              <w:jc w:val="left"/>
              <w:rPr>
                <w:rFonts w:ascii="Arial" w:hAnsi="Arial" w:cs="Arial"/>
                <w:iCs/>
                <w:sz w:val="20"/>
              </w:rPr>
            </w:pPr>
            <w:r w:rsidRPr="001F1DBE">
              <w:rPr>
                <w:rFonts w:ascii="Arial" w:hAnsi="Arial" w:cs="Arial"/>
                <w:iCs/>
                <w:sz w:val="20"/>
              </w:rPr>
              <w:t>Changed hours of operation, updated IFU, biennial review</w:t>
            </w:r>
          </w:p>
        </w:tc>
      </w:tr>
      <w:tr w:rsidR="00A94BFC" w:rsidRPr="001F1DBE" w:rsidTr="00AD4B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rsidR="00A94BFC" w:rsidRPr="001F1DBE" w:rsidRDefault="00A94BFC">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94BFC" w:rsidRPr="001F1DBE" w:rsidRDefault="00A94BFC">
            <w:pPr>
              <w:jc w:val="left"/>
              <w:rPr>
                <w:rFonts w:ascii="Arial" w:hAnsi="Arial" w:cs="Arial"/>
                <w:iCs/>
                <w:sz w:val="20"/>
              </w:rPr>
            </w:pPr>
            <w:r w:rsidRPr="001F1DBE">
              <w:rPr>
                <w:rFonts w:ascii="Arial" w:hAnsi="Arial" w:cs="Arial"/>
                <w:iCs/>
                <w:sz w:val="20"/>
              </w:rPr>
              <w:t>5</w:t>
            </w:r>
          </w:p>
        </w:tc>
        <w:tc>
          <w:tcPr>
            <w:tcW w:w="2340" w:type="dxa"/>
            <w:tcBorders>
              <w:top w:val="single" w:sz="4" w:space="0" w:color="auto"/>
              <w:left w:val="single" w:sz="4" w:space="0" w:color="auto"/>
              <w:bottom w:val="single" w:sz="4" w:space="0" w:color="auto"/>
              <w:right w:val="single" w:sz="4" w:space="0" w:color="auto"/>
            </w:tcBorders>
          </w:tcPr>
          <w:p w:rsidR="00A94BFC" w:rsidRPr="001F1DBE" w:rsidRDefault="00A94BFC">
            <w:pPr>
              <w:jc w:val="left"/>
              <w:rPr>
                <w:rFonts w:ascii="Arial" w:hAnsi="Arial" w:cs="Arial"/>
                <w:iCs/>
                <w:sz w:val="20"/>
              </w:rPr>
            </w:pPr>
            <w:r w:rsidRPr="001F1DBE">
              <w:rPr>
                <w:rFonts w:ascii="Arial" w:hAnsi="Arial" w:cs="Arial"/>
                <w:iCs/>
                <w:sz w:val="20"/>
              </w:rPr>
              <w:t>Kelsi Brown</w:t>
            </w:r>
          </w:p>
        </w:tc>
        <w:tc>
          <w:tcPr>
            <w:tcW w:w="1980" w:type="dxa"/>
            <w:tcBorders>
              <w:top w:val="single" w:sz="4" w:space="0" w:color="auto"/>
              <w:left w:val="single" w:sz="4" w:space="0" w:color="auto"/>
              <w:bottom w:val="single" w:sz="4" w:space="0" w:color="auto"/>
              <w:right w:val="single" w:sz="4" w:space="0" w:color="auto"/>
            </w:tcBorders>
          </w:tcPr>
          <w:p w:rsidR="00A94BFC" w:rsidRPr="001F1DBE" w:rsidRDefault="00A94BFC">
            <w:pPr>
              <w:jc w:val="left"/>
              <w:rPr>
                <w:rFonts w:ascii="Arial" w:hAnsi="Arial" w:cs="Arial"/>
                <w:iCs/>
                <w:sz w:val="20"/>
              </w:rPr>
            </w:pPr>
            <w:r w:rsidRPr="001F1DBE">
              <w:rPr>
                <w:rFonts w:ascii="Arial" w:hAnsi="Arial" w:cs="Arial"/>
                <w:iCs/>
                <w:sz w:val="20"/>
              </w:rPr>
              <w:t>October 31,2017</w:t>
            </w:r>
          </w:p>
        </w:tc>
        <w:tc>
          <w:tcPr>
            <w:tcW w:w="3600" w:type="dxa"/>
            <w:tcBorders>
              <w:top w:val="single" w:sz="4" w:space="0" w:color="auto"/>
              <w:left w:val="single" w:sz="4" w:space="0" w:color="auto"/>
              <w:bottom w:val="single" w:sz="4" w:space="0" w:color="auto"/>
              <w:right w:val="single" w:sz="4" w:space="0" w:color="auto"/>
            </w:tcBorders>
          </w:tcPr>
          <w:p w:rsidR="00A94BFC" w:rsidRPr="001F1DBE" w:rsidRDefault="00A94BFC">
            <w:pPr>
              <w:jc w:val="left"/>
              <w:rPr>
                <w:rFonts w:ascii="Arial" w:hAnsi="Arial" w:cs="Arial"/>
                <w:iCs/>
                <w:sz w:val="20"/>
              </w:rPr>
            </w:pPr>
            <w:r w:rsidRPr="001F1DBE">
              <w:rPr>
                <w:rFonts w:ascii="Arial" w:hAnsi="Arial" w:cs="Arial"/>
                <w:iCs/>
                <w:sz w:val="20"/>
              </w:rPr>
              <w:t>Updated operating days/hours.  Added specimen processing for STAT ACTH.</w:t>
            </w:r>
          </w:p>
        </w:tc>
      </w:tr>
      <w:tr w:rsidR="00AD4BE3" w:rsidRPr="001F1DBE" w:rsidTr="00AD4BE3">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bottom w:val="nil"/>
              <w:right w:val="nil"/>
            </w:tcBorders>
          </w:tcPr>
          <w:p w:rsidR="00AD4BE3" w:rsidRPr="001F1DBE" w:rsidRDefault="00AD4BE3">
            <w:pPr>
              <w:rPr>
                <w:rFonts w:ascii="Arial" w:hAnsi="Arial" w:cs="Arial"/>
                <w:b/>
                <w:bCs/>
                <w:color w:val="3366FF"/>
              </w:rPr>
            </w:pPr>
          </w:p>
        </w:tc>
        <w:tc>
          <w:tcPr>
            <w:tcW w:w="9360" w:type="dxa"/>
            <w:gridSpan w:val="4"/>
            <w:tcBorders>
              <w:top w:val="single" w:sz="4" w:space="0" w:color="auto"/>
              <w:left w:val="nil"/>
              <w:bottom w:val="single" w:sz="4" w:space="0" w:color="auto"/>
              <w:right w:val="nil"/>
            </w:tcBorders>
          </w:tcPr>
          <w:p w:rsidR="00AD4BE3" w:rsidRPr="001F1DBE" w:rsidRDefault="00AD4BE3">
            <w:pPr>
              <w:jc w:val="left"/>
              <w:rPr>
                <w:rFonts w:ascii="Arial" w:hAnsi="Arial" w:cs="Arial"/>
                <w:iCs/>
                <w:sz w:val="20"/>
              </w:rPr>
            </w:pPr>
          </w:p>
        </w:tc>
      </w:tr>
    </w:tbl>
    <w:p w:rsidR="009C5880" w:rsidRPr="001F1DBE" w:rsidRDefault="009C5880">
      <w:pPr>
        <w:rPr>
          <w:rFonts w:ascii="Arial" w:hAnsi="Arial" w:cs="Arial"/>
        </w:rPr>
      </w:pPr>
    </w:p>
    <w:sectPr w:rsidR="009C5880" w:rsidRPr="001F1DBE" w:rsidSect="006477E3">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CF" w:rsidRDefault="005D59CF">
      <w:r>
        <w:separator/>
      </w:r>
    </w:p>
  </w:endnote>
  <w:endnote w:type="continuationSeparator" w:id="0">
    <w:p w:rsidR="005D59CF" w:rsidRDefault="005D5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CF" w:rsidRDefault="005D59CF">
    <w:pPr>
      <w:ind w:left="-1260" w:right="-1260"/>
      <w:rPr>
        <w:rFonts w:ascii="Arial" w:hAnsi="Arial" w:cs="Arial"/>
        <w:sz w:val="16"/>
      </w:rPr>
    </w:pPr>
    <w:r>
      <w:rPr>
        <w:rFonts w:ascii="Arial" w:hAnsi="Arial" w:cs="Arial"/>
        <w:sz w:val="16"/>
      </w:rPr>
      <w:t>Laboratory, Children’s Hospitals and Clinics of Minnesota, Minneapolis/St. Paul, MN</w:t>
    </w:r>
  </w:p>
  <w:p w:rsidR="005D59CF" w:rsidRDefault="005D59CF">
    <w:pPr>
      <w:ind w:left="-1260" w:right="-12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8E0204">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8E0204">
      <w:rPr>
        <w:rFonts w:ascii="Arial" w:hAnsi="Arial" w:cs="Arial"/>
        <w:noProof/>
        <w:sz w:val="16"/>
      </w:rPr>
      <w:t>4</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CF" w:rsidRDefault="005D59CF">
      <w:r>
        <w:separator/>
      </w:r>
    </w:p>
  </w:footnote>
  <w:footnote w:type="continuationSeparator" w:id="0">
    <w:p w:rsidR="005D59CF" w:rsidRDefault="005D5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CF" w:rsidRDefault="005D59CF" w:rsidP="00CD44C9">
    <w:pPr>
      <w:tabs>
        <w:tab w:val="left" w:pos="5790"/>
      </w:tabs>
      <w:ind w:left="-1260" w:right="-1260"/>
      <w:rPr>
        <w:snapToGrid w:val="0"/>
        <w:color w:val="000000"/>
        <w:w w:val="0"/>
        <w:sz w:val="0"/>
        <w:szCs w:val="0"/>
        <w:u w:color="000000"/>
        <w:bdr w:val="none" w:sz="0" w:space="0" w:color="000000"/>
        <w:shd w:val="clear" w:color="000000" w:fill="000000"/>
      </w:rPr>
    </w:pPr>
    <w:r w:rsidRPr="005145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3.7pt;margin-top:-15.7pt;width:147pt;height:47.25pt;z-index:251660288;mso-position-horizontal-relative:text;mso-position-vertical-relative:text">
          <v:imagedata r:id="rId1" o:title="Childrens_MN_2015_logo_2c_RGB_800x257"/>
          <w10:wrap type="square"/>
        </v:shape>
      </w:pict>
    </w:r>
    <w:r>
      <w:rPr>
        <w:rFonts w:ascii="Arial" w:hAnsi="Arial" w:cs="Arial"/>
        <w:sz w:val="18"/>
      </w:rPr>
      <w:t>CH 6.02 ACTH (Adrenocorticotropic Hormone)</w:t>
    </w:r>
    <w:r w:rsidRPr="00CD44C9">
      <w:rPr>
        <w:snapToGrid w:val="0"/>
        <w:color w:val="000000"/>
        <w:w w:val="0"/>
        <w:sz w:val="0"/>
        <w:szCs w:val="0"/>
        <w:u w:color="000000"/>
        <w:bdr w:val="none" w:sz="0" w:space="0" w:color="000000"/>
        <w:shd w:val="clear" w:color="000000" w:fill="000000"/>
      </w:rPr>
      <w:t xml:space="preserve"> </w:t>
    </w:r>
  </w:p>
  <w:p w:rsidR="005D59CF" w:rsidRDefault="005D59CF" w:rsidP="00CD44C9">
    <w:pPr>
      <w:tabs>
        <w:tab w:val="left" w:pos="5790"/>
      </w:tabs>
      <w:ind w:left="-1260" w:right="-1260"/>
      <w:rPr>
        <w:rFonts w:ascii="Arial" w:hAnsi="Arial" w:cs="Arial"/>
        <w:sz w:val="18"/>
      </w:rPr>
    </w:pPr>
    <w:r>
      <w:rPr>
        <w:rFonts w:ascii="Arial" w:hAnsi="Arial" w:cs="Arial"/>
        <w:sz w:val="18"/>
      </w:rPr>
      <w:t>Version 4</w:t>
    </w:r>
    <w:r>
      <w:rPr>
        <w:rFonts w:ascii="Arial" w:hAnsi="Arial" w:cs="Arial"/>
        <w:sz w:val="18"/>
      </w:rPr>
      <w:tab/>
    </w:r>
  </w:p>
  <w:p w:rsidR="005D59CF" w:rsidRDefault="005D59CF">
    <w:pPr>
      <w:ind w:left="-1260" w:right="-1260"/>
      <w:rPr>
        <w:rFonts w:ascii="Arial" w:hAnsi="Arial" w:cs="Arial"/>
        <w:sz w:val="18"/>
      </w:rPr>
    </w:pPr>
    <w:r>
      <w:rPr>
        <w:rFonts w:ascii="Arial" w:hAnsi="Arial" w:cs="Arial"/>
        <w:sz w:val="18"/>
      </w:rPr>
      <w:t>Effective Date: October 31, 2017</w:t>
    </w:r>
  </w:p>
  <w:p w:rsidR="005D59CF" w:rsidRDefault="005D59CF">
    <w:pPr>
      <w:pStyle w:val="Header"/>
      <w:tabs>
        <w:tab w:val="clear" w:pos="8640"/>
        <w:tab w:val="right" w:pos="9900"/>
      </w:tabs>
      <w:ind w:left="-1260"/>
      <w:jc w:val="center"/>
      <w:rPr>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3C82112"/>
    <w:multiLevelType w:val="hybridMultilevel"/>
    <w:tmpl w:val="D4323A5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E549C2"/>
    <w:multiLevelType w:val="hybridMultilevel"/>
    <w:tmpl w:val="B9EADC3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F910AB"/>
    <w:multiLevelType w:val="hybridMultilevel"/>
    <w:tmpl w:val="50A09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317EAD"/>
    <w:multiLevelType w:val="hybridMultilevel"/>
    <w:tmpl w:val="C5EC8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EC79EF"/>
    <w:multiLevelType w:val="hybridMultilevel"/>
    <w:tmpl w:val="450C4F7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8358B6"/>
    <w:multiLevelType w:val="hybridMultilevel"/>
    <w:tmpl w:val="13586B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C24961"/>
    <w:multiLevelType w:val="hybridMultilevel"/>
    <w:tmpl w:val="C36C8454"/>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697851"/>
    <w:multiLevelType w:val="hybridMultilevel"/>
    <w:tmpl w:val="15326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A251A4"/>
    <w:multiLevelType w:val="hybridMultilevel"/>
    <w:tmpl w:val="A2ECD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F7277F"/>
    <w:multiLevelType w:val="hybridMultilevel"/>
    <w:tmpl w:val="EFB0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E486CA3"/>
    <w:multiLevelType w:val="hybridMultilevel"/>
    <w:tmpl w:val="F244C8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19"/>
  </w:num>
  <w:num w:numId="3">
    <w:abstractNumId w:val="31"/>
  </w:num>
  <w:num w:numId="4">
    <w:abstractNumId w:val="3"/>
  </w:num>
  <w:num w:numId="5">
    <w:abstractNumId w:val="0"/>
  </w:num>
  <w:num w:numId="6">
    <w:abstractNumId w:val="24"/>
  </w:num>
  <w:num w:numId="7">
    <w:abstractNumId w:val="10"/>
  </w:num>
  <w:num w:numId="8">
    <w:abstractNumId w:val="16"/>
  </w:num>
  <w:num w:numId="9">
    <w:abstractNumId w:val="26"/>
  </w:num>
  <w:num w:numId="10">
    <w:abstractNumId w:val="14"/>
  </w:num>
  <w:num w:numId="11">
    <w:abstractNumId w:val="2"/>
  </w:num>
  <w:num w:numId="12">
    <w:abstractNumId w:val="15"/>
  </w:num>
  <w:num w:numId="13">
    <w:abstractNumId w:val="22"/>
  </w:num>
  <w:num w:numId="14">
    <w:abstractNumId w:val="5"/>
  </w:num>
  <w:num w:numId="15">
    <w:abstractNumId w:val="4"/>
  </w:num>
  <w:num w:numId="16">
    <w:abstractNumId w:val="6"/>
  </w:num>
  <w:num w:numId="17">
    <w:abstractNumId w:val="17"/>
  </w:num>
  <w:num w:numId="18">
    <w:abstractNumId w:val="29"/>
  </w:num>
  <w:num w:numId="19">
    <w:abstractNumId w:val="1"/>
  </w:num>
  <w:num w:numId="20">
    <w:abstractNumId w:val="7"/>
  </w:num>
  <w:num w:numId="21">
    <w:abstractNumId w:val="25"/>
  </w:num>
  <w:num w:numId="22">
    <w:abstractNumId w:val="30"/>
  </w:num>
  <w:num w:numId="23">
    <w:abstractNumId w:val="32"/>
  </w:num>
  <w:num w:numId="24">
    <w:abstractNumId w:val="20"/>
  </w:num>
  <w:num w:numId="25">
    <w:abstractNumId w:val="8"/>
  </w:num>
  <w:num w:numId="26">
    <w:abstractNumId w:val="21"/>
  </w:num>
  <w:num w:numId="27">
    <w:abstractNumId w:val="12"/>
  </w:num>
  <w:num w:numId="28">
    <w:abstractNumId w:val="9"/>
  </w:num>
  <w:num w:numId="29">
    <w:abstractNumId w:val="23"/>
  </w:num>
  <w:num w:numId="30">
    <w:abstractNumId w:val="18"/>
  </w:num>
  <w:num w:numId="31">
    <w:abstractNumId w:val="11"/>
  </w:num>
  <w:num w:numId="32">
    <w:abstractNumId w:val="13"/>
  </w:num>
  <w:num w:numId="33">
    <w:abstractNumId w:val="3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880"/>
    <w:rsid w:val="00024D01"/>
    <w:rsid w:val="001F1DBE"/>
    <w:rsid w:val="005145C8"/>
    <w:rsid w:val="005D59CF"/>
    <w:rsid w:val="006477E3"/>
    <w:rsid w:val="007B746C"/>
    <w:rsid w:val="008C716A"/>
    <w:rsid w:val="008E0204"/>
    <w:rsid w:val="009C5880"/>
    <w:rsid w:val="00A94BFC"/>
    <w:rsid w:val="00AD4BE3"/>
    <w:rsid w:val="00C67320"/>
    <w:rsid w:val="00C7061A"/>
    <w:rsid w:val="00CD44C9"/>
    <w:rsid w:val="00D527BF"/>
    <w:rsid w:val="00D936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E3"/>
    <w:pPr>
      <w:jc w:val="both"/>
    </w:pPr>
    <w:rPr>
      <w:sz w:val="22"/>
      <w:szCs w:val="24"/>
    </w:rPr>
  </w:style>
  <w:style w:type="paragraph" w:styleId="Heading1">
    <w:name w:val="heading 1"/>
    <w:basedOn w:val="Normal"/>
    <w:next w:val="Normal"/>
    <w:qFormat/>
    <w:rsid w:val="006477E3"/>
    <w:pPr>
      <w:keepNext/>
      <w:numPr>
        <w:numId w:val="5"/>
      </w:numPr>
      <w:outlineLvl w:val="0"/>
    </w:pPr>
    <w:rPr>
      <w:rFonts w:cs="Arial"/>
      <w:b/>
      <w:bCs/>
      <w:kern w:val="32"/>
      <w:sz w:val="26"/>
      <w:szCs w:val="32"/>
    </w:rPr>
  </w:style>
  <w:style w:type="paragraph" w:styleId="Heading2">
    <w:name w:val="heading 2"/>
    <w:basedOn w:val="Normal"/>
    <w:next w:val="Normal"/>
    <w:qFormat/>
    <w:rsid w:val="006477E3"/>
    <w:pPr>
      <w:keepNext/>
      <w:numPr>
        <w:ilvl w:val="1"/>
        <w:numId w:val="5"/>
      </w:numPr>
      <w:outlineLvl w:val="1"/>
    </w:pPr>
    <w:rPr>
      <w:rFonts w:cs="Arial"/>
      <w:b/>
      <w:bCs/>
      <w:iCs/>
      <w:sz w:val="24"/>
      <w:szCs w:val="28"/>
    </w:rPr>
  </w:style>
  <w:style w:type="paragraph" w:styleId="Heading3">
    <w:name w:val="heading 3"/>
    <w:basedOn w:val="Normal"/>
    <w:next w:val="Normal"/>
    <w:qFormat/>
    <w:rsid w:val="006477E3"/>
    <w:pPr>
      <w:keepNext/>
      <w:numPr>
        <w:ilvl w:val="2"/>
        <w:numId w:val="5"/>
      </w:numPr>
      <w:outlineLvl w:val="2"/>
    </w:pPr>
    <w:rPr>
      <w:rFonts w:cs="Arial"/>
      <w:b/>
      <w:bCs/>
      <w:szCs w:val="26"/>
    </w:rPr>
  </w:style>
  <w:style w:type="paragraph" w:styleId="Heading4">
    <w:name w:val="heading 4"/>
    <w:aliases w:val="Map Title"/>
    <w:basedOn w:val="Normal"/>
    <w:next w:val="Normal"/>
    <w:qFormat/>
    <w:rsid w:val="006477E3"/>
    <w:pPr>
      <w:keepNext/>
      <w:numPr>
        <w:ilvl w:val="3"/>
        <w:numId w:val="5"/>
      </w:numPr>
      <w:outlineLvl w:val="3"/>
    </w:pPr>
    <w:rPr>
      <w:bCs/>
      <w:szCs w:val="28"/>
    </w:rPr>
  </w:style>
  <w:style w:type="paragraph" w:styleId="Heading5">
    <w:name w:val="heading 5"/>
    <w:aliases w:val="Block Label"/>
    <w:basedOn w:val="Normal"/>
    <w:next w:val="Normal"/>
    <w:qFormat/>
    <w:rsid w:val="006477E3"/>
    <w:pPr>
      <w:keepNext/>
      <w:numPr>
        <w:ilvl w:val="4"/>
        <w:numId w:val="5"/>
      </w:numPr>
      <w:spacing w:before="20"/>
      <w:outlineLvl w:val="4"/>
    </w:pPr>
  </w:style>
  <w:style w:type="paragraph" w:styleId="Heading6">
    <w:name w:val="heading 6"/>
    <w:basedOn w:val="Normal"/>
    <w:next w:val="Normal"/>
    <w:qFormat/>
    <w:rsid w:val="006477E3"/>
    <w:pPr>
      <w:keepNext/>
      <w:numPr>
        <w:ilvl w:val="5"/>
        <w:numId w:val="5"/>
      </w:numPr>
      <w:outlineLvl w:val="5"/>
    </w:pPr>
    <w:rPr>
      <w:b/>
      <w:bCs/>
      <w:sz w:val="18"/>
    </w:rPr>
  </w:style>
  <w:style w:type="paragraph" w:styleId="Heading7">
    <w:name w:val="heading 7"/>
    <w:basedOn w:val="Normal"/>
    <w:next w:val="Normal"/>
    <w:qFormat/>
    <w:rsid w:val="006477E3"/>
    <w:pPr>
      <w:keepNext/>
      <w:numPr>
        <w:ilvl w:val="6"/>
        <w:numId w:val="5"/>
      </w:numPr>
      <w:outlineLvl w:val="6"/>
    </w:pPr>
    <w:rPr>
      <w:sz w:val="28"/>
    </w:rPr>
  </w:style>
  <w:style w:type="paragraph" w:styleId="Heading8">
    <w:name w:val="heading 8"/>
    <w:basedOn w:val="Normal"/>
    <w:next w:val="Normal"/>
    <w:qFormat/>
    <w:rsid w:val="006477E3"/>
    <w:pPr>
      <w:keepNext/>
      <w:numPr>
        <w:ilvl w:val="7"/>
        <w:numId w:val="5"/>
      </w:numPr>
      <w:jc w:val="center"/>
      <w:outlineLvl w:val="7"/>
    </w:pPr>
    <w:rPr>
      <w:b/>
      <w:bCs/>
    </w:rPr>
  </w:style>
  <w:style w:type="paragraph" w:styleId="Heading9">
    <w:name w:val="heading 9"/>
    <w:basedOn w:val="Normal"/>
    <w:next w:val="Normal"/>
    <w:qFormat/>
    <w:rsid w:val="006477E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477E3"/>
    <w:rPr>
      <w:bCs/>
      <w:iCs/>
      <w:color w:val="000000"/>
    </w:rPr>
  </w:style>
  <w:style w:type="paragraph" w:styleId="Header">
    <w:name w:val="header"/>
    <w:basedOn w:val="Normal"/>
    <w:semiHidden/>
    <w:rsid w:val="006477E3"/>
    <w:pPr>
      <w:tabs>
        <w:tab w:val="center" w:pos="4320"/>
        <w:tab w:val="right" w:pos="8640"/>
      </w:tabs>
    </w:pPr>
  </w:style>
  <w:style w:type="paragraph" w:styleId="List">
    <w:name w:val="List"/>
    <w:basedOn w:val="Normal"/>
    <w:semiHidden/>
    <w:rsid w:val="006477E3"/>
    <w:pPr>
      <w:ind w:left="360" w:hanging="360"/>
    </w:pPr>
  </w:style>
  <w:style w:type="paragraph" w:styleId="Title">
    <w:name w:val="Title"/>
    <w:basedOn w:val="Normal"/>
    <w:qFormat/>
    <w:rsid w:val="006477E3"/>
    <w:pPr>
      <w:spacing w:before="240" w:after="60"/>
      <w:jc w:val="center"/>
    </w:pPr>
    <w:rPr>
      <w:rFonts w:cs="Arial"/>
      <w:b/>
      <w:bCs/>
      <w:kern w:val="28"/>
      <w:sz w:val="28"/>
      <w:szCs w:val="32"/>
    </w:rPr>
  </w:style>
  <w:style w:type="paragraph" w:styleId="BodyText2">
    <w:name w:val="Body Text 2"/>
    <w:basedOn w:val="Normal"/>
    <w:semiHidden/>
    <w:rsid w:val="006477E3"/>
    <w:pPr>
      <w:jc w:val="left"/>
    </w:pPr>
    <w:rPr>
      <w:b/>
      <w:bCs/>
      <w:color w:val="0000FF"/>
    </w:rPr>
  </w:style>
  <w:style w:type="paragraph" w:styleId="Footer">
    <w:name w:val="footer"/>
    <w:basedOn w:val="Normal"/>
    <w:semiHidden/>
    <w:rsid w:val="006477E3"/>
    <w:pPr>
      <w:tabs>
        <w:tab w:val="center" w:pos="4320"/>
        <w:tab w:val="right" w:pos="8640"/>
      </w:tabs>
    </w:pPr>
  </w:style>
  <w:style w:type="character" w:styleId="FootnoteReference">
    <w:name w:val="footnote reference"/>
    <w:basedOn w:val="DefaultParagraphFont"/>
    <w:semiHidden/>
    <w:rsid w:val="006477E3"/>
    <w:rPr>
      <w:rFonts w:ascii="Times New Roman" w:hAnsi="Times New Roman"/>
      <w:sz w:val="18"/>
      <w:vertAlign w:val="superscript"/>
    </w:rPr>
  </w:style>
  <w:style w:type="paragraph" w:customStyle="1" w:styleId="Heading">
    <w:name w:val="Heading"/>
    <w:basedOn w:val="Heading1"/>
    <w:next w:val="Normal"/>
    <w:rsid w:val="006477E3"/>
    <w:pPr>
      <w:numPr>
        <w:numId w:val="0"/>
      </w:numPr>
    </w:pPr>
  </w:style>
  <w:style w:type="paragraph" w:customStyle="1" w:styleId="TableText">
    <w:name w:val="Table Text"/>
    <w:basedOn w:val="Normal"/>
    <w:rsid w:val="006477E3"/>
    <w:pPr>
      <w:autoSpaceDE w:val="0"/>
      <w:autoSpaceDN w:val="0"/>
      <w:jc w:val="left"/>
    </w:pPr>
    <w:rPr>
      <w:sz w:val="20"/>
    </w:rPr>
  </w:style>
  <w:style w:type="paragraph" w:customStyle="1" w:styleId="TableHeaderText">
    <w:name w:val="Table Header Text"/>
    <w:basedOn w:val="TableText"/>
    <w:rsid w:val="006477E3"/>
    <w:pPr>
      <w:jc w:val="center"/>
    </w:pPr>
    <w:rPr>
      <w:b/>
      <w:bCs/>
    </w:rPr>
  </w:style>
  <w:style w:type="paragraph" w:styleId="BodyText3">
    <w:name w:val="Body Text 3"/>
    <w:basedOn w:val="Normal"/>
    <w:semiHidden/>
    <w:rsid w:val="006477E3"/>
    <w:rPr>
      <w:b/>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2019-10-31T05:00:00+00:00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6.02 ACTH</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F6TN54CWY5RS-50183619-32632</_dlc_DocId>
    <_dlc_DocIdUrl xmlns="199f0838-75a6-4f0c-9be1-f2c07140bccc">
      <Url>http://vcpsharepoint2/references/_layouts/15/DocIdRedir.aspx?ID=F6TN54CWY5RS-50183619-32632</Url>
      <Description>F6TN54CWY5RS-50183619-32632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2EF6-F8CA-412A-AD5E-7F22FDA14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F679C-4A4E-45A6-A9CA-AB9A7740B7EE}">
  <ds:schemaRefs>
    <ds:schemaRef ds:uri="http://schemas.microsoft.com/sharepoint/events"/>
  </ds:schemaRefs>
</ds:datastoreItem>
</file>

<file path=customXml/itemProps3.xml><?xml version="1.0" encoding="utf-8"?>
<ds:datastoreItem xmlns:ds="http://schemas.openxmlformats.org/officeDocument/2006/customXml" ds:itemID="{16F830A9-9AA8-434E-A9ED-30E83B6EF8FA}">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4F9ED19C-118B-4220-92F9-19CA2168621D}">
  <ds:schemaRefs>
    <ds:schemaRef ds:uri="http://schemas.microsoft.com/sharepoint/v3/contenttype/forms"/>
  </ds:schemaRefs>
</ds:datastoreItem>
</file>

<file path=customXml/itemProps5.xml><?xml version="1.0" encoding="utf-8"?>
<ds:datastoreItem xmlns:ds="http://schemas.openxmlformats.org/officeDocument/2006/customXml" ds:itemID="{6055CF55-70E3-414B-AACC-39D3FEE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1464</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 6.02 ACTH</vt:lpstr>
    </vt:vector>
  </TitlesOfParts>
  <Company>***</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6.02 ACTH</dc:title>
  <dc:creator>CE155291</dc:creator>
  <dc:description>Updated operating days/times.  Added specimen processing for STAT specimens. 10/31/17 KB_x000d_
Updated IFU, biennial review, updated hours of operation/testing.  ERB 6/30/2017</dc:description>
  <cp:lastModifiedBy>CE155076</cp:lastModifiedBy>
  <cp:revision>3</cp:revision>
  <cp:lastPrinted>2010-07-11T22:00:00Z</cp:lastPrinted>
  <dcterms:created xsi:type="dcterms:W3CDTF">2017-10-31T12:00:00Z</dcterms:created>
  <dcterms:modified xsi:type="dcterms:W3CDTF">2018-04-06T15:49:00Z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278cd3ef-48fa-4dac-bb65-366b13c2b1f5</vt:lpwstr>
  </property>
</Properties>
</file>