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Layout w:type="fixed"/>
        <w:tblLook w:val="0000"/>
      </w:tblPr>
      <w:tblGrid>
        <w:gridCol w:w="1980"/>
        <w:gridCol w:w="1260"/>
        <w:gridCol w:w="2700"/>
        <w:gridCol w:w="1620"/>
        <w:gridCol w:w="3600"/>
      </w:tblGrid>
      <w:tr w:rsidR="00F32D27">
        <w:trPr>
          <w:cantSplit/>
        </w:trPr>
        <w:tc>
          <w:tcPr>
            <w:tcW w:w="11160" w:type="dxa"/>
            <w:gridSpan w:val="5"/>
          </w:tcPr>
          <w:p w:rsidR="00F32D27" w:rsidRDefault="00F32D27">
            <w:pPr>
              <w:rPr>
                <w:rFonts w:ascii="Arial" w:hAnsi="Arial" w:cs="Arial"/>
                <w:b/>
                <w:bCs/>
                <w:color w:val="0000FF"/>
                <w:sz w:val="36"/>
              </w:rPr>
            </w:pPr>
            <w:bookmarkStart w:id="0" w:name="_GoBack"/>
            <w:bookmarkEnd w:id="0"/>
            <w:r>
              <w:rPr>
                <w:rFonts w:ascii="Arial" w:hAnsi="Arial" w:cs="Arial"/>
                <w:b/>
                <w:bCs/>
                <w:color w:val="0000FF"/>
                <w:sz w:val="36"/>
              </w:rPr>
              <w:t>Continuing Education and Certification</w:t>
            </w:r>
          </w:p>
          <w:p w:rsidR="00F32D27" w:rsidRDefault="00F32D27">
            <w:pPr>
              <w:pStyle w:val="BodyText"/>
              <w:rPr>
                <w:rFonts w:ascii="Arial" w:hAnsi="Arial" w:cs="Arial"/>
                <w:sz w:val="24"/>
              </w:rPr>
            </w:pPr>
          </w:p>
        </w:tc>
      </w:tr>
      <w:tr w:rsidR="00F32D27">
        <w:trPr>
          <w:cantSplit/>
          <w:trHeight w:val="233"/>
        </w:trPr>
        <w:tc>
          <w:tcPr>
            <w:tcW w:w="1980" w:type="dxa"/>
          </w:tcPr>
          <w:p w:rsidR="00F32D27" w:rsidRDefault="00F32D27">
            <w:pPr>
              <w:jc w:val="left"/>
              <w:rPr>
                <w:rFonts w:ascii="Arial" w:hAnsi="Arial" w:cs="Arial"/>
                <w:b/>
                <w:bCs/>
                <w:color w:val="0000FF"/>
                <w:sz w:val="20"/>
              </w:rPr>
            </w:pPr>
          </w:p>
          <w:p w:rsidR="00F32D27" w:rsidRDefault="00F32D27">
            <w:pPr>
              <w:jc w:val="left"/>
              <w:rPr>
                <w:rFonts w:ascii="Arial" w:hAnsi="Arial" w:cs="Arial"/>
                <w:b/>
                <w:bCs/>
                <w:color w:val="0000FF"/>
                <w:sz w:val="20"/>
              </w:rPr>
            </w:pPr>
            <w:r>
              <w:rPr>
                <w:rFonts w:ascii="Arial" w:hAnsi="Arial" w:cs="Arial"/>
                <w:b/>
                <w:bCs/>
                <w:color w:val="0000FF"/>
                <w:sz w:val="20"/>
              </w:rPr>
              <w:t>Purpose</w:t>
            </w:r>
          </w:p>
        </w:tc>
        <w:tc>
          <w:tcPr>
            <w:tcW w:w="9180" w:type="dxa"/>
            <w:gridSpan w:val="4"/>
            <w:tcBorders>
              <w:top w:val="single" w:sz="4" w:space="0" w:color="auto"/>
              <w:bottom w:val="single" w:sz="4" w:space="0" w:color="auto"/>
            </w:tcBorders>
          </w:tcPr>
          <w:p w:rsidR="00F32D27" w:rsidRDefault="00F32D27">
            <w:pPr>
              <w:jc w:val="left"/>
              <w:rPr>
                <w:rFonts w:ascii="Arial" w:hAnsi="Arial" w:cs="Arial"/>
              </w:rPr>
            </w:pPr>
          </w:p>
          <w:p w:rsidR="00F32D27" w:rsidRDefault="00F32D27">
            <w:pPr>
              <w:jc w:val="left"/>
              <w:rPr>
                <w:rFonts w:ascii="Arial" w:hAnsi="Arial"/>
              </w:rPr>
            </w:pPr>
            <w:r>
              <w:rPr>
                <w:rFonts w:ascii="Arial" w:hAnsi="Arial"/>
              </w:rPr>
              <w:t>The laboratory is committed to supporting the continuing education and development of employees in order to maximize the quality of care we provide to children and their families.  It is the employee’s professional responsibility to stay current in their field.  In addition, all technical staff must maintain appropriate certification as required by the job description.</w:t>
            </w:r>
          </w:p>
          <w:p w:rsidR="00F32D27" w:rsidRDefault="00F32D27">
            <w:pPr>
              <w:jc w:val="left"/>
              <w:rPr>
                <w:rFonts w:ascii="Arial" w:hAnsi="Arial" w:cs="Arial"/>
                <w:sz w:val="20"/>
              </w:rPr>
            </w:pPr>
          </w:p>
        </w:tc>
      </w:tr>
      <w:tr w:rsidR="00F32D27">
        <w:trPr>
          <w:trHeight w:val="1025"/>
        </w:trPr>
        <w:tc>
          <w:tcPr>
            <w:tcW w:w="1980" w:type="dxa"/>
          </w:tcPr>
          <w:p w:rsidR="00F32D27" w:rsidRDefault="00F32D27">
            <w:pPr>
              <w:jc w:val="left"/>
              <w:rPr>
                <w:rFonts w:ascii="Arial" w:hAnsi="Arial" w:cs="Arial"/>
                <w:b/>
                <w:bCs/>
                <w:color w:val="0000FF"/>
                <w:sz w:val="20"/>
              </w:rPr>
            </w:pPr>
          </w:p>
          <w:p w:rsidR="00F32D27" w:rsidRDefault="00F32D27">
            <w:pPr>
              <w:jc w:val="left"/>
              <w:rPr>
                <w:rFonts w:ascii="Arial" w:hAnsi="Arial" w:cs="Arial"/>
                <w:b/>
                <w:bCs/>
                <w:color w:val="0000FF"/>
                <w:sz w:val="20"/>
              </w:rPr>
            </w:pPr>
            <w:r>
              <w:rPr>
                <w:rFonts w:ascii="Arial" w:hAnsi="Arial" w:cs="Arial"/>
                <w:b/>
                <w:bCs/>
                <w:color w:val="0000FF"/>
                <w:sz w:val="20"/>
              </w:rPr>
              <w:t>Policy</w:t>
            </w:r>
          </w:p>
          <w:p w:rsidR="00F32D27" w:rsidRDefault="00F32D27">
            <w:pPr>
              <w:jc w:val="left"/>
              <w:rPr>
                <w:rFonts w:ascii="Arial" w:hAnsi="Arial" w:cs="Arial"/>
                <w:b/>
                <w:bCs/>
                <w:color w:val="0000FF"/>
                <w:sz w:val="20"/>
              </w:rPr>
            </w:pPr>
          </w:p>
        </w:tc>
        <w:tc>
          <w:tcPr>
            <w:tcW w:w="9180" w:type="dxa"/>
            <w:gridSpan w:val="4"/>
            <w:tcBorders>
              <w:top w:val="single" w:sz="4" w:space="0" w:color="auto"/>
              <w:bottom w:val="single" w:sz="4" w:space="0" w:color="auto"/>
            </w:tcBorders>
          </w:tcPr>
          <w:p w:rsidR="00F32D27" w:rsidRDefault="00F32D27">
            <w:pPr>
              <w:jc w:val="left"/>
              <w:rPr>
                <w:rFonts w:ascii="Arial" w:hAnsi="Arial" w:cs="Arial"/>
              </w:rPr>
            </w:pPr>
          </w:p>
          <w:p w:rsidR="00F32D27" w:rsidRDefault="00F32D27">
            <w:pPr>
              <w:jc w:val="left"/>
              <w:rPr>
                <w:rFonts w:ascii="Arial" w:hAnsi="Arial" w:cs="Arial"/>
              </w:rPr>
            </w:pPr>
            <w:r>
              <w:rPr>
                <w:rFonts w:ascii="Arial" w:hAnsi="Arial" w:cs="Arial"/>
              </w:rPr>
              <w:t>The laboratory will provide adequate educational opportunities to assist employees in professional development, meeting certification requirements and to comply with accrediting standards/regulations.</w:t>
            </w:r>
          </w:p>
          <w:p w:rsidR="00F32D27" w:rsidRDefault="00F32D27">
            <w:pPr>
              <w:jc w:val="left"/>
              <w:rPr>
                <w:rFonts w:ascii="Arial" w:hAnsi="Arial" w:cs="Arial"/>
              </w:rPr>
            </w:pPr>
          </w:p>
          <w:p w:rsidR="00F32D27" w:rsidRDefault="00F32D27">
            <w:pPr>
              <w:jc w:val="left"/>
              <w:rPr>
                <w:rFonts w:ascii="Arial" w:hAnsi="Arial" w:cs="Arial"/>
              </w:rPr>
            </w:pPr>
            <w:r>
              <w:rPr>
                <w:rFonts w:ascii="Arial" w:hAnsi="Arial" w:cs="Arial"/>
              </w:rPr>
              <w:t>Educational opportunities will be available via, but not limited to, the following:</w:t>
            </w:r>
          </w:p>
          <w:p w:rsidR="00F32D27" w:rsidRDefault="00F32D27">
            <w:pPr>
              <w:jc w:val="left"/>
              <w:rPr>
                <w:rFonts w:ascii="Arial" w:hAnsi="Arial" w:cs="Arial"/>
              </w:rPr>
            </w:pPr>
          </w:p>
          <w:p w:rsidR="00F32D27" w:rsidRDefault="00F32D27">
            <w:pPr>
              <w:numPr>
                <w:ilvl w:val="0"/>
                <w:numId w:val="24"/>
              </w:numPr>
              <w:jc w:val="left"/>
              <w:rPr>
                <w:rFonts w:ascii="Arial" w:hAnsi="Arial" w:cs="Arial"/>
              </w:rPr>
            </w:pPr>
            <w:r>
              <w:rPr>
                <w:rFonts w:ascii="Arial" w:hAnsi="Arial" w:cs="Arial"/>
              </w:rPr>
              <w:t>ELM courses in PeopleSoft</w:t>
            </w:r>
          </w:p>
          <w:p w:rsidR="00F32D27" w:rsidRDefault="00F32D27">
            <w:pPr>
              <w:numPr>
                <w:ilvl w:val="0"/>
                <w:numId w:val="24"/>
              </w:numPr>
              <w:jc w:val="left"/>
              <w:rPr>
                <w:rFonts w:ascii="Arial" w:hAnsi="Arial" w:cs="Arial"/>
              </w:rPr>
            </w:pPr>
            <w:r>
              <w:rPr>
                <w:rFonts w:ascii="Arial" w:hAnsi="Arial" w:cs="Arial"/>
              </w:rPr>
              <w:t>Pathologist lectures</w:t>
            </w:r>
          </w:p>
          <w:p w:rsidR="00F32D27" w:rsidRDefault="00F32D27">
            <w:pPr>
              <w:numPr>
                <w:ilvl w:val="0"/>
                <w:numId w:val="24"/>
              </w:numPr>
              <w:jc w:val="left"/>
              <w:rPr>
                <w:rFonts w:ascii="Arial" w:hAnsi="Arial" w:cs="Arial"/>
              </w:rPr>
            </w:pPr>
            <w:r>
              <w:rPr>
                <w:rFonts w:ascii="Arial" w:hAnsi="Arial" w:cs="Arial"/>
              </w:rPr>
              <w:t>Guest speaker lectures</w:t>
            </w:r>
          </w:p>
          <w:p w:rsidR="00F32D27" w:rsidRDefault="00F32D27">
            <w:pPr>
              <w:numPr>
                <w:ilvl w:val="0"/>
                <w:numId w:val="24"/>
              </w:numPr>
              <w:jc w:val="left"/>
              <w:rPr>
                <w:rFonts w:ascii="Arial" w:hAnsi="Arial" w:cs="Arial"/>
              </w:rPr>
            </w:pPr>
            <w:r>
              <w:rPr>
                <w:rFonts w:ascii="Arial" w:hAnsi="Arial" w:cs="Arial"/>
              </w:rPr>
              <w:t>State/National meetings</w:t>
            </w:r>
          </w:p>
          <w:p w:rsidR="00F32D27" w:rsidRDefault="00F32D27">
            <w:pPr>
              <w:numPr>
                <w:ilvl w:val="0"/>
                <w:numId w:val="24"/>
              </w:numPr>
              <w:jc w:val="left"/>
              <w:rPr>
                <w:rFonts w:ascii="Arial" w:hAnsi="Arial" w:cs="Arial"/>
              </w:rPr>
            </w:pPr>
            <w:r>
              <w:rPr>
                <w:rFonts w:ascii="Arial" w:hAnsi="Arial" w:cs="Arial"/>
              </w:rPr>
              <w:t>Workshops</w:t>
            </w:r>
          </w:p>
          <w:p w:rsidR="00F32D27" w:rsidRDefault="00F32D27">
            <w:pPr>
              <w:numPr>
                <w:ilvl w:val="0"/>
                <w:numId w:val="24"/>
              </w:numPr>
              <w:jc w:val="left"/>
              <w:rPr>
                <w:rFonts w:ascii="Arial" w:hAnsi="Arial" w:cs="Arial"/>
              </w:rPr>
            </w:pPr>
            <w:r>
              <w:rPr>
                <w:rFonts w:ascii="Arial" w:hAnsi="Arial" w:cs="Arial"/>
              </w:rPr>
              <w:t>Seminars</w:t>
            </w:r>
          </w:p>
          <w:p w:rsidR="00F32D27" w:rsidRDefault="00F32D27">
            <w:pPr>
              <w:numPr>
                <w:ilvl w:val="0"/>
                <w:numId w:val="24"/>
              </w:numPr>
              <w:jc w:val="left"/>
              <w:rPr>
                <w:rFonts w:ascii="Arial" w:hAnsi="Arial" w:cs="Arial"/>
              </w:rPr>
            </w:pPr>
            <w:r>
              <w:rPr>
                <w:rFonts w:ascii="Arial" w:hAnsi="Arial" w:cs="Arial"/>
              </w:rPr>
              <w:t>Laboratory publications</w:t>
            </w:r>
          </w:p>
          <w:p w:rsidR="00F32D27" w:rsidRDefault="00F32D27">
            <w:pPr>
              <w:numPr>
                <w:ilvl w:val="0"/>
                <w:numId w:val="24"/>
              </w:numPr>
              <w:jc w:val="left"/>
              <w:rPr>
                <w:rFonts w:ascii="Arial" w:hAnsi="Arial" w:cs="Arial"/>
              </w:rPr>
            </w:pPr>
            <w:r>
              <w:rPr>
                <w:rFonts w:ascii="Arial" w:hAnsi="Arial" w:cs="Arial"/>
              </w:rPr>
              <w:t>In-services (audio and/or videotaped when appropriate)</w:t>
            </w:r>
          </w:p>
          <w:p w:rsidR="00F32D27" w:rsidRDefault="00F32D27">
            <w:pPr>
              <w:numPr>
                <w:ilvl w:val="0"/>
                <w:numId w:val="24"/>
              </w:numPr>
              <w:jc w:val="left"/>
              <w:rPr>
                <w:rFonts w:ascii="Arial" w:hAnsi="Arial" w:cs="Arial"/>
              </w:rPr>
            </w:pPr>
            <w:r>
              <w:rPr>
                <w:rFonts w:ascii="Arial" w:hAnsi="Arial" w:cs="Arial"/>
              </w:rPr>
              <w:t>Hospital sponsored activities</w:t>
            </w:r>
          </w:p>
          <w:p w:rsidR="00F32D27" w:rsidRDefault="00F32D27">
            <w:pPr>
              <w:numPr>
                <w:ilvl w:val="0"/>
                <w:numId w:val="24"/>
              </w:numPr>
              <w:jc w:val="left"/>
              <w:rPr>
                <w:rFonts w:ascii="Arial" w:hAnsi="Arial" w:cs="Arial"/>
              </w:rPr>
            </w:pPr>
            <w:r>
              <w:rPr>
                <w:rFonts w:ascii="Arial" w:hAnsi="Arial" w:cs="Arial"/>
              </w:rPr>
              <w:t>Vendor presentations/workshops</w:t>
            </w:r>
          </w:p>
          <w:p w:rsidR="00F32D27" w:rsidRDefault="00F32D27">
            <w:pPr>
              <w:numPr>
                <w:ilvl w:val="0"/>
                <w:numId w:val="24"/>
              </w:numPr>
              <w:jc w:val="left"/>
              <w:rPr>
                <w:rFonts w:ascii="Arial" w:hAnsi="Arial" w:cs="Arial"/>
              </w:rPr>
            </w:pPr>
            <w:r>
              <w:rPr>
                <w:rFonts w:ascii="Arial" w:hAnsi="Arial" w:cs="Arial"/>
              </w:rPr>
              <w:t>College/University coursework</w:t>
            </w:r>
          </w:p>
          <w:p w:rsidR="00F32D27" w:rsidRDefault="00F32D27">
            <w:pPr>
              <w:jc w:val="left"/>
              <w:rPr>
                <w:rFonts w:ascii="Arial" w:hAnsi="Arial" w:cs="Arial"/>
              </w:rPr>
            </w:pPr>
          </w:p>
          <w:p w:rsidR="00F32D27" w:rsidRDefault="00F32D27">
            <w:pPr>
              <w:jc w:val="left"/>
              <w:rPr>
                <w:rFonts w:ascii="Arial" w:hAnsi="Arial" w:cs="Arial"/>
                <w:b/>
              </w:rPr>
            </w:pPr>
            <w:r>
              <w:rPr>
                <w:rFonts w:ascii="Arial" w:hAnsi="Arial" w:cs="Arial"/>
                <w:b/>
              </w:rPr>
              <w:t>Participation Expectations:</w:t>
            </w:r>
          </w:p>
          <w:p w:rsidR="00F32D27" w:rsidRDefault="00F32D27">
            <w:pPr>
              <w:jc w:val="left"/>
              <w:rPr>
                <w:rFonts w:ascii="Arial" w:hAnsi="Arial" w:cs="Arial"/>
                <w:b/>
              </w:rPr>
            </w:pPr>
          </w:p>
          <w:p w:rsidR="00F32D27" w:rsidRDefault="00F32D27">
            <w:pPr>
              <w:jc w:val="left"/>
              <w:rPr>
                <w:rFonts w:ascii="Arial" w:hAnsi="Arial" w:cs="Arial"/>
              </w:rPr>
            </w:pPr>
            <w:r>
              <w:rPr>
                <w:rFonts w:ascii="Arial" w:hAnsi="Arial" w:cs="Arial"/>
              </w:rPr>
              <w:t>The hospital and the laboratory offer mandatory educational activities. Each employee is expected to attend or participate in all mandatory education. Attendance and/or activity completion will be documented and included in all annual performance evaluations. Activities will not be graded as pass/fail (except competency testing), but will be used to determine additional training needs.</w:t>
            </w:r>
          </w:p>
          <w:p w:rsidR="00F32D27" w:rsidRDefault="00F32D27">
            <w:pPr>
              <w:jc w:val="left"/>
              <w:rPr>
                <w:rFonts w:ascii="Arial" w:hAnsi="Arial" w:cs="Arial"/>
              </w:rPr>
            </w:pPr>
          </w:p>
          <w:p w:rsidR="00F32D27" w:rsidRDefault="00F32D27">
            <w:pPr>
              <w:pStyle w:val="BodyText"/>
              <w:jc w:val="left"/>
              <w:rPr>
                <w:rFonts w:ascii="Arial" w:hAnsi="Arial" w:cs="Arial"/>
              </w:rPr>
            </w:pPr>
            <w:r>
              <w:rPr>
                <w:rFonts w:ascii="Arial" w:hAnsi="Arial" w:cs="Arial"/>
              </w:rPr>
              <w:t>Technical Specialists and Lead MLSs are encouraged to attend appropriate National meetings. Technical Specialists and Lead MLSs should work with the Se</w:t>
            </w:r>
            <w:r w:rsidR="005A77FC">
              <w:rPr>
                <w:rFonts w:ascii="Arial" w:hAnsi="Arial" w:cs="Arial"/>
              </w:rPr>
              <w:t xml:space="preserve">ction Medical Director and </w:t>
            </w:r>
            <w:r>
              <w:rPr>
                <w:rFonts w:ascii="Arial" w:hAnsi="Arial" w:cs="Arial"/>
              </w:rPr>
              <w:t>Manager to determine which meeting(s) would be most beneficial to their department. All employees are encouraged to attend local meetings that benefit their knowledge and area of expertise. Children’s follows the Board of Certification requirements to participate in 12 hours of continuing education annually.</w:t>
            </w:r>
          </w:p>
          <w:p w:rsidR="00F32D27" w:rsidRDefault="00F32D27">
            <w:pPr>
              <w:pStyle w:val="BodyText"/>
              <w:jc w:val="left"/>
              <w:rPr>
                <w:rFonts w:ascii="Arial" w:hAnsi="Arial" w:cs="Arial"/>
              </w:rPr>
            </w:pPr>
            <w:r>
              <w:rPr>
                <w:rFonts w:ascii="Arial" w:hAnsi="Arial" w:cs="Arial"/>
              </w:rPr>
              <w:br/>
              <w:t>Lab Associates are required to complete continuing education.  Children’s follows the Board of Certification requirements to participate in 3 hours of continuing education annually.</w:t>
            </w:r>
          </w:p>
          <w:p w:rsidR="00F32D27" w:rsidRDefault="00F32D27">
            <w:pPr>
              <w:jc w:val="left"/>
              <w:rPr>
                <w:rFonts w:ascii="Arial" w:hAnsi="Arial" w:cs="Arial"/>
              </w:rPr>
            </w:pPr>
          </w:p>
          <w:p w:rsidR="00F32D27" w:rsidRDefault="00F32D27">
            <w:pPr>
              <w:jc w:val="left"/>
              <w:rPr>
                <w:rFonts w:ascii="Arial" w:hAnsi="Arial" w:cs="Arial"/>
              </w:rPr>
            </w:pPr>
            <w:r>
              <w:rPr>
                <w:rFonts w:ascii="Arial" w:hAnsi="Arial" w:cs="Arial"/>
              </w:rPr>
              <w:t>Requests are to be submitted to the Laboratory Scheduler if an employee is interested in attending a specific workshop or seminar. Requests may be approved/denied based on any of the following criteria: staffing levels, budgetary constraints, date the request is submitted, previous approved educational opportunities, and relevance of information to job duties. Request approval is ultimatel</w:t>
            </w:r>
            <w:r w:rsidR="005A77FC">
              <w:rPr>
                <w:rFonts w:ascii="Arial" w:hAnsi="Arial" w:cs="Arial"/>
              </w:rPr>
              <w:t xml:space="preserve">y at the discretion of the </w:t>
            </w:r>
            <w:r>
              <w:rPr>
                <w:rFonts w:ascii="Arial" w:hAnsi="Arial" w:cs="Arial"/>
              </w:rPr>
              <w:t xml:space="preserve">Manager.  </w:t>
            </w:r>
          </w:p>
          <w:p w:rsidR="00F32D27" w:rsidRDefault="00F32D27">
            <w:pPr>
              <w:jc w:val="left"/>
              <w:rPr>
                <w:rFonts w:ascii="Arial" w:hAnsi="Arial" w:cs="Arial"/>
              </w:rPr>
            </w:pPr>
          </w:p>
          <w:p w:rsidR="00F32D27" w:rsidRDefault="00F32D27">
            <w:pPr>
              <w:jc w:val="left"/>
              <w:rPr>
                <w:rFonts w:ascii="Arial" w:hAnsi="Arial" w:cs="Arial"/>
              </w:rPr>
            </w:pPr>
            <w:r>
              <w:rPr>
                <w:rFonts w:ascii="Arial" w:hAnsi="Arial" w:cs="Arial"/>
              </w:rPr>
              <w:t>Any employee that attends a workshop or seminar is encouraged to present some of the information to the laboratory staff. Credit will be given for attendance of educational opportunities at an outside source if the employee provides the Education Coordinator or Site Manager with an attendance record or certificate of attendance.</w:t>
            </w:r>
          </w:p>
          <w:p w:rsidR="00F32D27" w:rsidRDefault="00F32D27">
            <w:pPr>
              <w:jc w:val="left"/>
              <w:rPr>
                <w:rFonts w:ascii="Arial" w:hAnsi="Arial" w:cs="Arial"/>
              </w:rPr>
            </w:pPr>
          </w:p>
          <w:p w:rsidR="00F32D27" w:rsidRDefault="00F32D27">
            <w:pPr>
              <w:jc w:val="left"/>
              <w:rPr>
                <w:rFonts w:ascii="Arial" w:hAnsi="Arial" w:cs="Arial"/>
                <w:b/>
                <w:bCs/>
              </w:rPr>
            </w:pPr>
            <w:r>
              <w:rPr>
                <w:rFonts w:ascii="Arial" w:hAnsi="Arial" w:cs="Arial"/>
                <w:b/>
                <w:bCs/>
              </w:rPr>
              <w:t>Processing of Requests:</w:t>
            </w:r>
          </w:p>
          <w:p w:rsidR="00F32D27" w:rsidRDefault="00F32D27">
            <w:pPr>
              <w:jc w:val="left"/>
              <w:rPr>
                <w:rFonts w:ascii="Arial" w:hAnsi="Arial" w:cs="Arial"/>
                <w:b/>
                <w:bCs/>
              </w:rPr>
            </w:pPr>
          </w:p>
          <w:p w:rsidR="00F32D27" w:rsidRDefault="00F32D27">
            <w:pPr>
              <w:jc w:val="left"/>
              <w:rPr>
                <w:rFonts w:ascii="Arial" w:hAnsi="Arial" w:cs="Arial"/>
              </w:rPr>
            </w:pPr>
            <w:r>
              <w:rPr>
                <w:rFonts w:ascii="Arial" w:hAnsi="Arial" w:cs="Arial"/>
              </w:rPr>
              <w:t>Requests for continuing education should be submitted to the Laboratory Scheduler a minimum of 30 days prior to the event or before the deadline of advanced registration discounts. If the continuing education event is held on a day that the employee is typically scheduled to work, the employee must request the time off in writing. Employees must wait for approval prior to registering for any event taking place on a scheduled workday or if the employee wishes to receive reimbursement from Children’s.</w:t>
            </w:r>
          </w:p>
          <w:p w:rsidR="00F32D27" w:rsidRDefault="00F32D27">
            <w:pPr>
              <w:jc w:val="left"/>
              <w:rPr>
                <w:rFonts w:ascii="Arial" w:hAnsi="Arial" w:cs="Arial"/>
              </w:rPr>
            </w:pPr>
          </w:p>
          <w:p w:rsidR="00F32D27" w:rsidRDefault="00F32D27">
            <w:pPr>
              <w:jc w:val="left"/>
              <w:rPr>
                <w:rFonts w:ascii="Arial" w:hAnsi="Arial" w:cs="Arial"/>
                <w:b/>
              </w:rPr>
            </w:pPr>
            <w:r>
              <w:rPr>
                <w:rFonts w:ascii="Arial" w:hAnsi="Arial" w:cs="Arial"/>
                <w:b/>
              </w:rPr>
              <w:t>Reimbursement:</w:t>
            </w:r>
          </w:p>
          <w:p w:rsidR="00F32D27" w:rsidRDefault="00F32D27">
            <w:pPr>
              <w:jc w:val="left"/>
              <w:rPr>
                <w:rFonts w:ascii="Arial" w:hAnsi="Arial" w:cs="Arial"/>
                <w:b/>
              </w:rPr>
            </w:pPr>
          </w:p>
          <w:p w:rsidR="00F32D27" w:rsidRDefault="00F32D27">
            <w:pPr>
              <w:jc w:val="left"/>
              <w:rPr>
                <w:rFonts w:ascii="Arial" w:hAnsi="Arial" w:cs="Arial"/>
              </w:rPr>
            </w:pPr>
            <w:r>
              <w:rPr>
                <w:rFonts w:ascii="Arial" w:hAnsi="Arial" w:cs="Arial"/>
              </w:rPr>
              <w:t>T</w:t>
            </w:r>
            <w:r w:rsidR="005A77FC">
              <w:rPr>
                <w:rFonts w:ascii="Arial" w:hAnsi="Arial" w:cs="Arial"/>
              </w:rPr>
              <w:t xml:space="preserve">he Laboratory Director and </w:t>
            </w:r>
            <w:r>
              <w:rPr>
                <w:rFonts w:ascii="Arial" w:hAnsi="Arial" w:cs="Arial"/>
              </w:rPr>
              <w:t>Manager are responsible for monitoring the continuing education funds available in the operating budget. Therefore, it is up to their discretion to determine what continuing education costs can be reimbursed.</w:t>
            </w:r>
          </w:p>
          <w:p w:rsidR="00F32D27" w:rsidRDefault="00F32D27">
            <w:pPr>
              <w:jc w:val="left"/>
              <w:rPr>
                <w:rFonts w:ascii="Arial" w:hAnsi="Arial" w:cs="Arial"/>
              </w:rPr>
            </w:pPr>
          </w:p>
          <w:p w:rsidR="00F32D27" w:rsidRDefault="00F32D27">
            <w:pPr>
              <w:jc w:val="left"/>
              <w:rPr>
                <w:rFonts w:ascii="Arial" w:hAnsi="Arial" w:cs="Arial"/>
              </w:rPr>
            </w:pPr>
            <w:r>
              <w:rPr>
                <w:rFonts w:ascii="Arial" w:hAnsi="Arial" w:cs="Arial"/>
              </w:rPr>
              <w:t>The laboratory will reimburse tuition costs for all approved continuing education opportunities. Hourly wages are not paid to an employee to attend staff meetings, seminars, or workshops on their scheduled days off unless it is deemed mandatory or attendance is spe</w:t>
            </w:r>
            <w:r w:rsidR="005A77FC">
              <w:rPr>
                <w:rFonts w:ascii="Arial" w:hAnsi="Arial" w:cs="Arial"/>
              </w:rPr>
              <w:t xml:space="preserve">cifically requested by the </w:t>
            </w:r>
            <w:r>
              <w:rPr>
                <w:rFonts w:ascii="Arial" w:hAnsi="Arial" w:cs="Arial"/>
              </w:rPr>
              <w:t>Manager or Laboratory Director. Hourly wages will be paid to an employee if attendance is on his or her scheduled workday and does not exceed the employee’s work agreement.</w:t>
            </w:r>
          </w:p>
          <w:p w:rsidR="00F32D27" w:rsidRDefault="00F32D27">
            <w:pPr>
              <w:jc w:val="left"/>
              <w:rPr>
                <w:rFonts w:ascii="Arial" w:hAnsi="Arial" w:cs="Arial"/>
              </w:rPr>
            </w:pPr>
          </w:p>
          <w:p w:rsidR="00F32D27" w:rsidRDefault="00F32D27">
            <w:pPr>
              <w:jc w:val="left"/>
              <w:rPr>
                <w:rFonts w:ascii="Arial" w:hAnsi="Arial" w:cs="Arial"/>
              </w:rPr>
            </w:pPr>
            <w:r>
              <w:rPr>
                <w:rFonts w:ascii="Arial" w:hAnsi="Arial" w:cs="Arial"/>
              </w:rPr>
              <w:t>For those approved seminars and workshops, which establish a difference between member and non-member costs, the laboratory will only pay the fees assessed to members. If an employee is a non-member, he or she will be asked to pay the difference. For example, if the cost to a member is $25.00 and non-members is $35.00, the laboratory would pay $25.00 and the employee $10.00.</w:t>
            </w:r>
          </w:p>
          <w:p w:rsidR="00F32D27" w:rsidRDefault="00F32D27">
            <w:pPr>
              <w:jc w:val="left"/>
              <w:rPr>
                <w:rFonts w:ascii="Arial" w:hAnsi="Arial" w:cs="Arial"/>
              </w:rPr>
            </w:pPr>
          </w:p>
          <w:p w:rsidR="00F32D27" w:rsidRDefault="00F32D27">
            <w:pPr>
              <w:jc w:val="left"/>
              <w:rPr>
                <w:rFonts w:ascii="Arial" w:hAnsi="Arial" w:cs="Arial"/>
                <w:color w:val="FF0000"/>
              </w:rPr>
            </w:pPr>
            <w:r>
              <w:rPr>
                <w:rFonts w:ascii="Arial" w:hAnsi="Arial" w:cs="Arial"/>
              </w:rPr>
              <w:t>Expenses beyond registration (lodging, food, travel, etc.) will not be reimbursed by the laboratory unless pr</w:t>
            </w:r>
            <w:r w:rsidR="005A77FC">
              <w:rPr>
                <w:rFonts w:ascii="Arial" w:hAnsi="Arial" w:cs="Arial"/>
              </w:rPr>
              <w:t xml:space="preserve">e-approved or asked by the </w:t>
            </w:r>
            <w:r>
              <w:rPr>
                <w:rFonts w:ascii="Arial" w:hAnsi="Arial" w:cs="Arial"/>
              </w:rPr>
              <w:t>Manager or Laboratory Director to attend.</w:t>
            </w:r>
          </w:p>
          <w:p w:rsidR="00F32D27" w:rsidRDefault="00F32D27">
            <w:pPr>
              <w:jc w:val="left"/>
              <w:rPr>
                <w:rFonts w:ascii="Arial" w:hAnsi="Arial" w:cs="Arial"/>
              </w:rPr>
            </w:pPr>
          </w:p>
          <w:p w:rsidR="00F32D27" w:rsidRDefault="00F32D27">
            <w:pPr>
              <w:pStyle w:val="Header"/>
              <w:tabs>
                <w:tab w:val="clear" w:pos="4320"/>
                <w:tab w:val="clear" w:pos="8640"/>
              </w:tabs>
              <w:jc w:val="left"/>
              <w:rPr>
                <w:rFonts w:ascii="Arial" w:hAnsi="Arial" w:cs="Arial"/>
                <w:b/>
              </w:rPr>
            </w:pPr>
            <w:r>
              <w:rPr>
                <w:rFonts w:ascii="Arial" w:hAnsi="Arial" w:cs="Arial"/>
                <w:b/>
              </w:rPr>
              <w:t xml:space="preserve">Certification: </w:t>
            </w:r>
          </w:p>
          <w:p w:rsidR="00F32D27" w:rsidRDefault="00F32D27">
            <w:pPr>
              <w:pStyle w:val="Header"/>
              <w:tabs>
                <w:tab w:val="clear" w:pos="4320"/>
                <w:tab w:val="clear" w:pos="8640"/>
              </w:tabs>
              <w:jc w:val="left"/>
              <w:rPr>
                <w:rFonts w:ascii="Arial" w:hAnsi="Arial" w:cs="Arial"/>
                <w:b/>
              </w:rPr>
            </w:pPr>
          </w:p>
          <w:p w:rsidR="00F32D27" w:rsidRDefault="00F32D27">
            <w:pPr>
              <w:pStyle w:val="Header"/>
              <w:tabs>
                <w:tab w:val="clear" w:pos="4320"/>
                <w:tab w:val="clear" w:pos="8640"/>
              </w:tabs>
              <w:jc w:val="left"/>
              <w:rPr>
                <w:rFonts w:ascii="Arial" w:hAnsi="Arial" w:cs="Arial"/>
                <w:bCs/>
              </w:rPr>
            </w:pPr>
            <w:r>
              <w:rPr>
                <w:rFonts w:ascii="Arial" w:hAnsi="Arial" w:cs="Arial"/>
                <w:bCs/>
              </w:rPr>
              <w:t xml:space="preserve">Effective 2004, staff certified through ASCP must maintain their certification through continuing education. Technical staff certified through NCA or the BOC must also maintain their certification through continuing education. All Children’s employees must be certified by a qualifying certification agency within 12 months of employment. If the employee is not certified at the time of the six-month review, a written warning will be issued. </w:t>
            </w:r>
          </w:p>
          <w:p w:rsidR="00F32D27" w:rsidRDefault="00F32D27">
            <w:pPr>
              <w:pStyle w:val="Header"/>
              <w:tabs>
                <w:tab w:val="clear" w:pos="4320"/>
                <w:tab w:val="clear" w:pos="8640"/>
              </w:tabs>
              <w:jc w:val="left"/>
              <w:rPr>
                <w:rFonts w:ascii="Arial" w:hAnsi="Arial" w:cs="Arial"/>
                <w:bCs/>
              </w:rPr>
            </w:pPr>
          </w:p>
          <w:p w:rsidR="00F32D27" w:rsidRDefault="00F32D27">
            <w:pPr>
              <w:pStyle w:val="Header"/>
              <w:tabs>
                <w:tab w:val="clear" w:pos="4320"/>
                <w:tab w:val="clear" w:pos="8640"/>
              </w:tabs>
              <w:jc w:val="left"/>
              <w:rPr>
                <w:rFonts w:ascii="Arial" w:hAnsi="Arial" w:cs="Arial"/>
                <w:bCs/>
              </w:rPr>
            </w:pPr>
            <w:r>
              <w:rPr>
                <w:rFonts w:ascii="Arial" w:hAnsi="Arial" w:cs="Arial"/>
                <w:bCs/>
              </w:rPr>
              <w:t xml:space="preserve">Failure to meet the certification requirement within 12 months of employment will result in the employee being served a four-week notice of their end of employment at Children’s. This will be documented as involuntary termination. Staff may consider other employment opportunities at Children’s where certification is not required.  </w:t>
            </w:r>
          </w:p>
          <w:p w:rsidR="00F32D27" w:rsidRDefault="00F32D27">
            <w:pPr>
              <w:pStyle w:val="Header"/>
              <w:tabs>
                <w:tab w:val="clear" w:pos="4320"/>
                <w:tab w:val="clear" w:pos="8640"/>
              </w:tabs>
              <w:jc w:val="left"/>
              <w:rPr>
                <w:rFonts w:ascii="Arial" w:hAnsi="Arial" w:cs="Arial"/>
                <w:bCs/>
                <w:highlight w:val="yellow"/>
              </w:rPr>
            </w:pPr>
          </w:p>
          <w:p w:rsidR="00F32D27" w:rsidRDefault="00F32D27">
            <w:pPr>
              <w:pStyle w:val="Header"/>
              <w:tabs>
                <w:tab w:val="clear" w:pos="4320"/>
                <w:tab w:val="clear" w:pos="8640"/>
              </w:tabs>
              <w:jc w:val="left"/>
              <w:rPr>
                <w:rFonts w:ascii="Arial" w:hAnsi="Arial" w:cs="Arial"/>
                <w:b/>
              </w:rPr>
            </w:pPr>
            <w:r>
              <w:rPr>
                <w:rFonts w:ascii="Arial" w:hAnsi="Arial" w:cs="Arial"/>
                <w:b/>
              </w:rPr>
              <w:t>Tracking:</w:t>
            </w:r>
          </w:p>
          <w:p w:rsidR="00F32D27" w:rsidRDefault="00F32D27">
            <w:pPr>
              <w:pStyle w:val="Header"/>
              <w:tabs>
                <w:tab w:val="clear" w:pos="4320"/>
                <w:tab w:val="clear" w:pos="8640"/>
              </w:tabs>
              <w:jc w:val="left"/>
              <w:rPr>
                <w:rFonts w:ascii="Arial" w:hAnsi="Arial" w:cs="Arial"/>
                <w:b/>
              </w:rPr>
            </w:pPr>
          </w:p>
          <w:p w:rsidR="00F32D27" w:rsidRDefault="00F32D27">
            <w:pPr>
              <w:pStyle w:val="Header"/>
              <w:tabs>
                <w:tab w:val="clear" w:pos="4320"/>
                <w:tab w:val="clear" w:pos="8640"/>
              </w:tabs>
              <w:jc w:val="left"/>
              <w:rPr>
                <w:rFonts w:ascii="Arial" w:hAnsi="Arial" w:cs="Arial"/>
                <w:bCs/>
              </w:rPr>
            </w:pPr>
            <w:r>
              <w:rPr>
                <w:rFonts w:ascii="Arial" w:hAnsi="Arial" w:cs="Arial"/>
                <w:bCs/>
              </w:rPr>
              <w:t xml:space="preserve">Employees are responsible for providing the Education Coordinator a copy of their certification of attendance for all continuing education activities. The Education Coordinator will track continuing education and ensure current certification of all staff. </w:t>
            </w:r>
          </w:p>
          <w:p w:rsidR="00F32D27" w:rsidRDefault="00F32D27">
            <w:pPr>
              <w:jc w:val="left"/>
              <w:rPr>
                <w:rFonts w:ascii="Arial" w:hAnsi="Arial" w:cs="Arial"/>
              </w:rPr>
            </w:pPr>
          </w:p>
        </w:tc>
      </w:tr>
      <w:tr w:rsidR="00F32D27">
        <w:trPr>
          <w:cantSplit/>
          <w:trHeight w:val="233"/>
        </w:trPr>
        <w:tc>
          <w:tcPr>
            <w:tcW w:w="1980" w:type="dxa"/>
          </w:tcPr>
          <w:p w:rsidR="00F32D27" w:rsidRDefault="00F32D27">
            <w:pPr>
              <w:jc w:val="left"/>
              <w:rPr>
                <w:rFonts w:ascii="Arial" w:hAnsi="Arial" w:cs="Arial"/>
                <w:b/>
                <w:bCs/>
                <w:color w:val="0000FF"/>
                <w:sz w:val="20"/>
              </w:rPr>
            </w:pPr>
          </w:p>
        </w:tc>
        <w:tc>
          <w:tcPr>
            <w:tcW w:w="9180" w:type="dxa"/>
            <w:gridSpan w:val="4"/>
            <w:tcBorders>
              <w:top w:val="single" w:sz="4" w:space="0" w:color="auto"/>
              <w:bottom w:val="single" w:sz="4" w:space="0" w:color="auto"/>
            </w:tcBorders>
          </w:tcPr>
          <w:p w:rsidR="00F32D27" w:rsidRDefault="00F32D27">
            <w:pPr>
              <w:ind w:left="360"/>
              <w:jc w:val="left"/>
              <w:rPr>
                <w:rFonts w:ascii="Arial" w:hAnsi="Arial" w:cs="Arial"/>
                <w:iCs/>
              </w:rPr>
            </w:pPr>
          </w:p>
        </w:tc>
      </w:tr>
      <w:tr w:rsidR="00F32D27">
        <w:trPr>
          <w:cantSplit/>
          <w:trHeight w:val="225"/>
        </w:trPr>
        <w:tc>
          <w:tcPr>
            <w:tcW w:w="1980" w:type="dxa"/>
            <w:vMerge w:val="restart"/>
            <w:tcBorders>
              <w:right w:val="single" w:sz="4" w:space="0" w:color="auto"/>
            </w:tcBorders>
          </w:tcPr>
          <w:p w:rsidR="00F32D27" w:rsidRDefault="00F32D27">
            <w:pPr>
              <w:jc w:val="left"/>
              <w:rPr>
                <w:rFonts w:ascii="Arial" w:hAnsi="Arial" w:cs="Arial"/>
                <w:b/>
                <w:bCs/>
                <w:color w:val="0000FF"/>
                <w:sz w:val="20"/>
              </w:rPr>
            </w:pPr>
            <w:r>
              <w:rPr>
                <w:rFonts w:ascii="Arial" w:hAnsi="Arial" w:cs="Arial"/>
                <w:b/>
                <w:bCs/>
                <w:color w:val="0000FF"/>
                <w:sz w:val="20"/>
              </w:rPr>
              <w:t>Historical Record</w:t>
            </w:r>
          </w:p>
        </w:tc>
        <w:tc>
          <w:tcPr>
            <w:tcW w:w="1260" w:type="dxa"/>
            <w:tcBorders>
              <w:top w:val="single" w:sz="4" w:space="0" w:color="auto"/>
              <w:left w:val="single" w:sz="4" w:space="0" w:color="auto"/>
              <w:bottom w:val="single" w:sz="4" w:space="0" w:color="auto"/>
              <w:right w:val="single" w:sz="4" w:space="0" w:color="auto"/>
            </w:tcBorders>
          </w:tcPr>
          <w:p w:rsidR="00F32D27" w:rsidRDefault="00F32D27">
            <w:pPr>
              <w:jc w:val="left"/>
              <w:rPr>
                <w:rFonts w:ascii="Arial" w:hAnsi="Arial" w:cs="Arial"/>
                <w:b/>
                <w:bCs/>
                <w:sz w:val="20"/>
              </w:rPr>
            </w:pPr>
            <w:r>
              <w:rPr>
                <w:rFonts w:ascii="Arial" w:hAnsi="Arial" w:cs="Arial"/>
                <w:b/>
                <w:bCs/>
                <w:sz w:val="20"/>
              </w:rPr>
              <w:t>Version</w:t>
            </w:r>
          </w:p>
        </w:tc>
        <w:tc>
          <w:tcPr>
            <w:tcW w:w="2700" w:type="dxa"/>
            <w:tcBorders>
              <w:top w:val="single" w:sz="4" w:space="0" w:color="auto"/>
              <w:left w:val="single" w:sz="4" w:space="0" w:color="auto"/>
              <w:bottom w:val="single" w:sz="4" w:space="0" w:color="auto"/>
              <w:right w:val="single" w:sz="4" w:space="0" w:color="auto"/>
            </w:tcBorders>
          </w:tcPr>
          <w:p w:rsidR="00F32D27" w:rsidRDefault="00F32D27">
            <w:pPr>
              <w:jc w:val="left"/>
              <w:rPr>
                <w:rFonts w:ascii="Arial" w:hAnsi="Arial" w:cs="Arial"/>
                <w:b/>
                <w:bCs/>
                <w:sz w:val="20"/>
              </w:rPr>
            </w:pPr>
            <w:r>
              <w:rPr>
                <w:rFonts w:ascii="Arial" w:hAnsi="Arial" w:cs="Arial"/>
                <w:b/>
                <w:b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F32D27" w:rsidRDefault="00F32D27">
            <w:pPr>
              <w:jc w:val="left"/>
              <w:rPr>
                <w:rFonts w:ascii="Arial" w:hAnsi="Arial" w:cs="Arial"/>
                <w:b/>
                <w:bCs/>
                <w:sz w:val="20"/>
              </w:rPr>
            </w:pPr>
            <w:r>
              <w:rPr>
                <w:rFonts w:ascii="Arial" w:hAnsi="Arial" w:cs="Arial"/>
                <w:b/>
                <w:bCs/>
                <w:sz w:val="20"/>
              </w:rPr>
              <w:t>Effective Date:</w:t>
            </w:r>
          </w:p>
        </w:tc>
        <w:tc>
          <w:tcPr>
            <w:tcW w:w="3600" w:type="dxa"/>
            <w:tcBorders>
              <w:top w:val="single" w:sz="4" w:space="0" w:color="auto"/>
              <w:left w:val="single" w:sz="4" w:space="0" w:color="auto"/>
              <w:bottom w:val="single" w:sz="4" w:space="0" w:color="auto"/>
              <w:right w:val="single" w:sz="4" w:space="0" w:color="auto"/>
            </w:tcBorders>
          </w:tcPr>
          <w:p w:rsidR="00F32D27" w:rsidRDefault="00F32D27">
            <w:pPr>
              <w:jc w:val="left"/>
              <w:rPr>
                <w:rFonts w:ascii="Arial" w:hAnsi="Arial" w:cs="Arial"/>
                <w:b/>
                <w:bCs/>
                <w:sz w:val="20"/>
              </w:rPr>
            </w:pPr>
            <w:r>
              <w:rPr>
                <w:rFonts w:ascii="Arial" w:hAnsi="Arial" w:cs="Arial"/>
                <w:b/>
                <w:bCs/>
                <w:sz w:val="20"/>
              </w:rPr>
              <w:t>Summary of Revisions</w:t>
            </w:r>
          </w:p>
        </w:tc>
      </w:tr>
      <w:tr w:rsidR="00F32D27">
        <w:trPr>
          <w:cantSplit/>
          <w:trHeight w:val="135"/>
        </w:trPr>
        <w:tc>
          <w:tcPr>
            <w:tcW w:w="1980" w:type="dxa"/>
            <w:vMerge/>
            <w:tcBorders>
              <w:right w:val="single" w:sz="4" w:space="0" w:color="auto"/>
            </w:tcBorders>
          </w:tcPr>
          <w:p w:rsidR="00F32D27" w:rsidRDefault="00F32D27">
            <w:pPr>
              <w:rPr>
                <w:rFonts w:ascii="Arial" w:hAnsi="Arial" w:cs="Arial"/>
                <w:b/>
                <w:bCs/>
                <w:color w:val="3366FF"/>
              </w:rPr>
            </w:pPr>
          </w:p>
        </w:tc>
        <w:tc>
          <w:tcPr>
            <w:tcW w:w="1260" w:type="dxa"/>
            <w:tcBorders>
              <w:top w:val="single" w:sz="4" w:space="0" w:color="auto"/>
              <w:left w:val="single" w:sz="4" w:space="0" w:color="auto"/>
              <w:bottom w:val="single" w:sz="4" w:space="0" w:color="auto"/>
              <w:right w:val="single" w:sz="4" w:space="0" w:color="auto"/>
            </w:tcBorders>
          </w:tcPr>
          <w:p w:rsidR="00F32D27" w:rsidRDefault="00F32D27">
            <w:pPr>
              <w:pStyle w:val="Header"/>
              <w:tabs>
                <w:tab w:val="clear" w:pos="4320"/>
                <w:tab w:val="clear" w:pos="8640"/>
              </w:tabs>
              <w:jc w:val="left"/>
              <w:rPr>
                <w:rFonts w:ascii="Arial" w:hAnsi="Arial" w:cs="Arial"/>
                <w:iCs/>
                <w:sz w:val="20"/>
              </w:rPr>
            </w:pPr>
            <w:r>
              <w:rPr>
                <w:rFonts w:ascii="Arial" w:hAnsi="Arial" w:cs="Arial"/>
                <w:iCs/>
                <w:sz w:val="20"/>
              </w:rPr>
              <w:t>1</w:t>
            </w:r>
          </w:p>
        </w:tc>
        <w:tc>
          <w:tcPr>
            <w:tcW w:w="2700" w:type="dxa"/>
            <w:tcBorders>
              <w:top w:val="single" w:sz="4" w:space="0" w:color="auto"/>
              <w:left w:val="single" w:sz="4" w:space="0" w:color="auto"/>
              <w:bottom w:val="single" w:sz="4" w:space="0" w:color="auto"/>
              <w:right w:val="single" w:sz="4" w:space="0" w:color="auto"/>
            </w:tcBorders>
          </w:tcPr>
          <w:p w:rsidR="00F32D27" w:rsidRDefault="00F32D27">
            <w:pPr>
              <w:jc w:val="left"/>
              <w:rPr>
                <w:rFonts w:ascii="Arial" w:hAnsi="Arial" w:cs="Arial"/>
                <w:iCs/>
                <w:sz w:val="20"/>
              </w:rPr>
            </w:pPr>
            <w:r>
              <w:rPr>
                <w:rFonts w:ascii="Arial" w:hAnsi="Arial" w:cs="Arial"/>
                <w:iCs/>
                <w:sz w:val="20"/>
              </w:rPr>
              <w:t>Mark Schumann</w:t>
            </w:r>
          </w:p>
        </w:tc>
        <w:tc>
          <w:tcPr>
            <w:tcW w:w="1620" w:type="dxa"/>
            <w:tcBorders>
              <w:top w:val="single" w:sz="4" w:space="0" w:color="auto"/>
              <w:left w:val="single" w:sz="4" w:space="0" w:color="auto"/>
              <w:bottom w:val="single" w:sz="4" w:space="0" w:color="auto"/>
              <w:right w:val="single" w:sz="4" w:space="0" w:color="auto"/>
            </w:tcBorders>
          </w:tcPr>
          <w:p w:rsidR="00F32D27" w:rsidRDefault="00F32D27">
            <w:pPr>
              <w:jc w:val="left"/>
              <w:rPr>
                <w:rFonts w:ascii="Arial" w:hAnsi="Arial" w:cs="Arial"/>
                <w:iCs/>
                <w:sz w:val="20"/>
              </w:rPr>
            </w:pPr>
            <w:r>
              <w:rPr>
                <w:rFonts w:ascii="Arial" w:hAnsi="Arial" w:cs="Arial"/>
                <w:iCs/>
                <w:sz w:val="20"/>
              </w:rPr>
              <w:t>10/26/1989</w:t>
            </w:r>
          </w:p>
        </w:tc>
        <w:tc>
          <w:tcPr>
            <w:tcW w:w="3600" w:type="dxa"/>
            <w:tcBorders>
              <w:top w:val="single" w:sz="4" w:space="0" w:color="auto"/>
              <w:left w:val="single" w:sz="4" w:space="0" w:color="auto"/>
              <w:bottom w:val="single" w:sz="4" w:space="0" w:color="auto"/>
              <w:right w:val="single" w:sz="4" w:space="0" w:color="auto"/>
            </w:tcBorders>
          </w:tcPr>
          <w:p w:rsidR="00F32D27" w:rsidRDefault="00F32D27">
            <w:pPr>
              <w:jc w:val="left"/>
              <w:rPr>
                <w:rFonts w:ascii="Arial" w:hAnsi="Arial" w:cs="Arial"/>
                <w:sz w:val="20"/>
              </w:rPr>
            </w:pPr>
            <w:r>
              <w:rPr>
                <w:rFonts w:ascii="Arial" w:hAnsi="Arial" w:cs="Arial"/>
                <w:sz w:val="20"/>
              </w:rPr>
              <w:t>Initial Version</w:t>
            </w:r>
          </w:p>
        </w:tc>
      </w:tr>
      <w:tr w:rsidR="00F32D27">
        <w:trPr>
          <w:cantSplit/>
          <w:trHeight w:val="143"/>
        </w:trPr>
        <w:tc>
          <w:tcPr>
            <w:tcW w:w="1980" w:type="dxa"/>
            <w:vMerge/>
            <w:tcBorders>
              <w:right w:val="single" w:sz="4" w:space="0" w:color="auto"/>
            </w:tcBorders>
          </w:tcPr>
          <w:p w:rsidR="00F32D27" w:rsidRDefault="00F32D27">
            <w:pPr>
              <w:rPr>
                <w:rFonts w:ascii="Arial" w:hAnsi="Arial" w:cs="Arial"/>
                <w:b/>
                <w:bCs/>
                <w:color w:val="3366FF"/>
              </w:rPr>
            </w:pPr>
          </w:p>
        </w:tc>
        <w:tc>
          <w:tcPr>
            <w:tcW w:w="1260" w:type="dxa"/>
            <w:tcBorders>
              <w:top w:val="single" w:sz="4" w:space="0" w:color="auto"/>
              <w:left w:val="single" w:sz="4" w:space="0" w:color="auto"/>
              <w:bottom w:val="single" w:sz="4" w:space="0" w:color="auto"/>
              <w:right w:val="single" w:sz="4" w:space="0" w:color="auto"/>
            </w:tcBorders>
          </w:tcPr>
          <w:p w:rsidR="00F32D27" w:rsidRDefault="00F32D27">
            <w:pPr>
              <w:jc w:val="left"/>
              <w:rPr>
                <w:rFonts w:ascii="Arial" w:hAnsi="Arial" w:cs="Arial"/>
                <w:iCs/>
                <w:sz w:val="20"/>
              </w:rPr>
            </w:pPr>
            <w:r>
              <w:rPr>
                <w:rFonts w:ascii="Arial" w:hAnsi="Arial" w:cs="Arial"/>
                <w:iCs/>
                <w:sz w:val="20"/>
              </w:rPr>
              <w:t>2</w:t>
            </w:r>
          </w:p>
        </w:tc>
        <w:tc>
          <w:tcPr>
            <w:tcW w:w="2700" w:type="dxa"/>
            <w:tcBorders>
              <w:top w:val="single" w:sz="4" w:space="0" w:color="auto"/>
              <w:left w:val="single" w:sz="4" w:space="0" w:color="auto"/>
              <w:bottom w:val="single" w:sz="4" w:space="0" w:color="auto"/>
              <w:right w:val="single" w:sz="4" w:space="0" w:color="auto"/>
            </w:tcBorders>
          </w:tcPr>
          <w:p w:rsidR="00F32D27" w:rsidRDefault="00F32D27">
            <w:pPr>
              <w:jc w:val="left"/>
              <w:rPr>
                <w:rFonts w:ascii="Arial" w:hAnsi="Arial" w:cs="Arial"/>
                <w:iCs/>
                <w:sz w:val="20"/>
              </w:rPr>
            </w:pPr>
            <w:r>
              <w:rPr>
                <w:rFonts w:ascii="Arial" w:hAnsi="Arial" w:cs="Arial"/>
                <w:iCs/>
                <w:sz w:val="20"/>
              </w:rPr>
              <w:t>Mark Schumann</w:t>
            </w:r>
          </w:p>
        </w:tc>
        <w:tc>
          <w:tcPr>
            <w:tcW w:w="1620" w:type="dxa"/>
            <w:tcBorders>
              <w:top w:val="single" w:sz="4" w:space="0" w:color="auto"/>
              <w:left w:val="single" w:sz="4" w:space="0" w:color="auto"/>
              <w:bottom w:val="single" w:sz="4" w:space="0" w:color="auto"/>
              <w:right w:val="single" w:sz="4" w:space="0" w:color="auto"/>
            </w:tcBorders>
          </w:tcPr>
          <w:p w:rsidR="00F32D27" w:rsidRDefault="00F32D27">
            <w:pPr>
              <w:jc w:val="left"/>
              <w:rPr>
                <w:rFonts w:ascii="Arial" w:hAnsi="Arial" w:cs="Arial"/>
                <w:iCs/>
                <w:sz w:val="20"/>
              </w:rPr>
            </w:pPr>
          </w:p>
        </w:tc>
        <w:tc>
          <w:tcPr>
            <w:tcW w:w="3600" w:type="dxa"/>
            <w:tcBorders>
              <w:top w:val="single" w:sz="4" w:space="0" w:color="auto"/>
              <w:left w:val="single" w:sz="4" w:space="0" w:color="auto"/>
              <w:bottom w:val="single" w:sz="4" w:space="0" w:color="auto"/>
              <w:right w:val="single" w:sz="4" w:space="0" w:color="auto"/>
            </w:tcBorders>
          </w:tcPr>
          <w:p w:rsidR="00F32D27" w:rsidRDefault="00F32D27">
            <w:pPr>
              <w:jc w:val="left"/>
              <w:rPr>
                <w:rFonts w:ascii="Arial" w:hAnsi="Arial" w:cs="Arial"/>
                <w:iCs/>
                <w:sz w:val="20"/>
              </w:rPr>
            </w:pPr>
            <w:r>
              <w:rPr>
                <w:rFonts w:ascii="Arial" w:hAnsi="Arial" w:cs="Arial"/>
                <w:iCs/>
                <w:sz w:val="20"/>
              </w:rPr>
              <w:t>Version 2</w:t>
            </w:r>
          </w:p>
        </w:tc>
      </w:tr>
      <w:tr w:rsidR="00F32D27">
        <w:trPr>
          <w:cantSplit/>
          <w:trHeight w:val="165"/>
        </w:trPr>
        <w:tc>
          <w:tcPr>
            <w:tcW w:w="1980" w:type="dxa"/>
            <w:vMerge/>
            <w:tcBorders>
              <w:right w:val="single" w:sz="4" w:space="0" w:color="auto"/>
            </w:tcBorders>
          </w:tcPr>
          <w:p w:rsidR="00F32D27" w:rsidRDefault="00F32D27">
            <w:pPr>
              <w:rPr>
                <w:rFonts w:ascii="Arial" w:hAnsi="Arial" w:cs="Arial"/>
                <w:b/>
                <w:bCs/>
                <w:color w:val="3366FF"/>
              </w:rPr>
            </w:pPr>
          </w:p>
        </w:tc>
        <w:tc>
          <w:tcPr>
            <w:tcW w:w="1260" w:type="dxa"/>
            <w:tcBorders>
              <w:top w:val="single" w:sz="4" w:space="0" w:color="auto"/>
              <w:left w:val="single" w:sz="4" w:space="0" w:color="auto"/>
              <w:bottom w:val="single" w:sz="4" w:space="0" w:color="auto"/>
              <w:right w:val="single" w:sz="4" w:space="0" w:color="auto"/>
            </w:tcBorders>
          </w:tcPr>
          <w:p w:rsidR="00F32D27" w:rsidRDefault="00F32D27">
            <w:pPr>
              <w:jc w:val="left"/>
              <w:rPr>
                <w:rFonts w:ascii="Arial" w:hAnsi="Arial" w:cs="Arial"/>
                <w:iCs/>
                <w:sz w:val="20"/>
              </w:rPr>
            </w:pPr>
            <w:r>
              <w:rPr>
                <w:rFonts w:ascii="Arial" w:hAnsi="Arial" w:cs="Arial"/>
                <w:iCs/>
                <w:sz w:val="20"/>
              </w:rPr>
              <w:t>3</w:t>
            </w:r>
          </w:p>
        </w:tc>
        <w:tc>
          <w:tcPr>
            <w:tcW w:w="2700" w:type="dxa"/>
            <w:tcBorders>
              <w:top w:val="single" w:sz="4" w:space="0" w:color="auto"/>
              <w:left w:val="single" w:sz="4" w:space="0" w:color="auto"/>
              <w:bottom w:val="single" w:sz="4" w:space="0" w:color="auto"/>
              <w:right w:val="single" w:sz="4" w:space="0" w:color="auto"/>
            </w:tcBorders>
          </w:tcPr>
          <w:p w:rsidR="00F32D27" w:rsidRDefault="00F32D27">
            <w:pPr>
              <w:jc w:val="left"/>
              <w:rPr>
                <w:rFonts w:ascii="Arial" w:hAnsi="Arial" w:cs="Arial"/>
                <w:iCs/>
                <w:sz w:val="20"/>
              </w:rPr>
            </w:pPr>
            <w:r>
              <w:rPr>
                <w:rFonts w:ascii="Arial" w:hAnsi="Arial" w:cs="Arial"/>
                <w:iCs/>
                <w:sz w:val="20"/>
              </w:rPr>
              <w:t>Bobbi Kochevar, Jennifer Heimkes</w:t>
            </w:r>
          </w:p>
        </w:tc>
        <w:tc>
          <w:tcPr>
            <w:tcW w:w="1620" w:type="dxa"/>
            <w:tcBorders>
              <w:top w:val="single" w:sz="4" w:space="0" w:color="auto"/>
              <w:left w:val="single" w:sz="4" w:space="0" w:color="auto"/>
              <w:bottom w:val="single" w:sz="4" w:space="0" w:color="auto"/>
              <w:right w:val="single" w:sz="4" w:space="0" w:color="auto"/>
            </w:tcBorders>
          </w:tcPr>
          <w:p w:rsidR="00F32D27" w:rsidRDefault="00F32D27">
            <w:pPr>
              <w:jc w:val="left"/>
              <w:rPr>
                <w:rFonts w:ascii="Arial" w:hAnsi="Arial" w:cs="Arial"/>
                <w:iCs/>
                <w:sz w:val="20"/>
              </w:rPr>
            </w:pPr>
            <w:r>
              <w:rPr>
                <w:rFonts w:ascii="Arial" w:hAnsi="Arial" w:cs="Arial"/>
                <w:iCs/>
                <w:sz w:val="20"/>
              </w:rPr>
              <w:t>2/16/2010</w:t>
            </w:r>
          </w:p>
        </w:tc>
        <w:tc>
          <w:tcPr>
            <w:tcW w:w="3600" w:type="dxa"/>
            <w:tcBorders>
              <w:top w:val="single" w:sz="4" w:space="0" w:color="auto"/>
              <w:left w:val="single" w:sz="4" w:space="0" w:color="auto"/>
              <w:bottom w:val="single" w:sz="4" w:space="0" w:color="auto"/>
              <w:right w:val="single" w:sz="4" w:space="0" w:color="auto"/>
            </w:tcBorders>
          </w:tcPr>
          <w:p w:rsidR="00F32D27" w:rsidRDefault="00F32D27">
            <w:pPr>
              <w:jc w:val="left"/>
              <w:rPr>
                <w:rFonts w:ascii="Arial" w:hAnsi="Arial" w:cs="Arial"/>
                <w:iCs/>
                <w:sz w:val="20"/>
              </w:rPr>
            </w:pPr>
            <w:r>
              <w:rPr>
                <w:rFonts w:ascii="Arial" w:hAnsi="Arial" w:cs="Arial"/>
                <w:iCs/>
                <w:sz w:val="20"/>
              </w:rPr>
              <w:t>Added certification requirements</w:t>
            </w:r>
          </w:p>
        </w:tc>
      </w:tr>
      <w:tr w:rsidR="00F32D27">
        <w:trPr>
          <w:cantSplit/>
          <w:trHeight w:val="255"/>
        </w:trPr>
        <w:tc>
          <w:tcPr>
            <w:tcW w:w="1980" w:type="dxa"/>
            <w:vMerge/>
            <w:tcBorders>
              <w:right w:val="single" w:sz="4" w:space="0" w:color="auto"/>
            </w:tcBorders>
          </w:tcPr>
          <w:p w:rsidR="00F32D27" w:rsidRDefault="00F32D27">
            <w:pPr>
              <w:rPr>
                <w:rFonts w:ascii="Arial" w:hAnsi="Arial" w:cs="Arial"/>
                <w:b/>
                <w:bCs/>
                <w:color w:val="3366FF"/>
              </w:rPr>
            </w:pPr>
          </w:p>
        </w:tc>
        <w:tc>
          <w:tcPr>
            <w:tcW w:w="1260" w:type="dxa"/>
            <w:tcBorders>
              <w:top w:val="single" w:sz="4" w:space="0" w:color="auto"/>
              <w:left w:val="single" w:sz="4" w:space="0" w:color="auto"/>
              <w:bottom w:val="single" w:sz="4" w:space="0" w:color="auto"/>
              <w:right w:val="single" w:sz="4" w:space="0" w:color="auto"/>
            </w:tcBorders>
          </w:tcPr>
          <w:p w:rsidR="00F32D27" w:rsidRDefault="00F32D27">
            <w:pPr>
              <w:jc w:val="left"/>
              <w:rPr>
                <w:rFonts w:ascii="Arial" w:hAnsi="Arial" w:cs="Arial"/>
                <w:iCs/>
                <w:sz w:val="20"/>
              </w:rPr>
            </w:pPr>
            <w:r>
              <w:rPr>
                <w:rFonts w:ascii="Arial" w:hAnsi="Arial" w:cs="Arial"/>
                <w:iCs/>
                <w:sz w:val="20"/>
              </w:rPr>
              <w:t>4</w:t>
            </w:r>
          </w:p>
        </w:tc>
        <w:tc>
          <w:tcPr>
            <w:tcW w:w="2700" w:type="dxa"/>
            <w:tcBorders>
              <w:top w:val="single" w:sz="4" w:space="0" w:color="auto"/>
              <w:left w:val="single" w:sz="4" w:space="0" w:color="auto"/>
              <w:bottom w:val="single" w:sz="4" w:space="0" w:color="auto"/>
              <w:right w:val="single" w:sz="4" w:space="0" w:color="auto"/>
            </w:tcBorders>
          </w:tcPr>
          <w:p w:rsidR="00F32D27" w:rsidRDefault="00F32D27">
            <w:pPr>
              <w:jc w:val="left"/>
              <w:rPr>
                <w:rFonts w:ascii="Arial" w:hAnsi="Arial" w:cs="Arial"/>
                <w:iCs/>
                <w:sz w:val="20"/>
              </w:rPr>
            </w:pPr>
            <w:r>
              <w:rPr>
                <w:rFonts w:ascii="Arial" w:hAnsi="Arial" w:cs="Arial"/>
                <w:iCs/>
                <w:sz w:val="20"/>
              </w:rPr>
              <w:t>Bobbi Kochevar, Jennifer Heimkes</w:t>
            </w:r>
          </w:p>
        </w:tc>
        <w:tc>
          <w:tcPr>
            <w:tcW w:w="1620" w:type="dxa"/>
            <w:tcBorders>
              <w:top w:val="single" w:sz="4" w:space="0" w:color="auto"/>
              <w:left w:val="single" w:sz="4" w:space="0" w:color="auto"/>
              <w:bottom w:val="single" w:sz="4" w:space="0" w:color="auto"/>
              <w:right w:val="single" w:sz="4" w:space="0" w:color="auto"/>
            </w:tcBorders>
          </w:tcPr>
          <w:p w:rsidR="00F32D27" w:rsidRDefault="00F32D27">
            <w:pPr>
              <w:jc w:val="left"/>
              <w:rPr>
                <w:rFonts w:ascii="Arial" w:hAnsi="Arial" w:cs="Arial"/>
                <w:iCs/>
                <w:sz w:val="20"/>
              </w:rPr>
            </w:pPr>
            <w:r>
              <w:rPr>
                <w:rFonts w:ascii="Arial" w:hAnsi="Arial" w:cs="Arial"/>
                <w:iCs/>
                <w:sz w:val="20"/>
              </w:rPr>
              <w:t>7/12/2012</w:t>
            </w:r>
          </w:p>
        </w:tc>
        <w:tc>
          <w:tcPr>
            <w:tcW w:w="3600" w:type="dxa"/>
            <w:tcBorders>
              <w:top w:val="single" w:sz="4" w:space="0" w:color="auto"/>
              <w:left w:val="single" w:sz="4" w:space="0" w:color="auto"/>
              <w:bottom w:val="single" w:sz="4" w:space="0" w:color="auto"/>
              <w:right w:val="single" w:sz="4" w:space="0" w:color="auto"/>
            </w:tcBorders>
          </w:tcPr>
          <w:p w:rsidR="00F32D27" w:rsidRDefault="00F32D27">
            <w:pPr>
              <w:jc w:val="left"/>
              <w:rPr>
                <w:rFonts w:ascii="Arial" w:hAnsi="Arial" w:cs="Arial"/>
                <w:iCs/>
                <w:sz w:val="20"/>
              </w:rPr>
            </w:pPr>
            <w:r>
              <w:rPr>
                <w:rFonts w:ascii="Arial" w:hAnsi="Arial" w:cs="Arial"/>
                <w:iCs/>
                <w:sz w:val="20"/>
              </w:rPr>
              <w:t>New format. Changed CHEX to ELM.  Added Education Coordinator responsibility.</w:t>
            </w:r>
          </w:p>
        </w:tc>
      </w:tr>
    </w:tbl>
    <w:p w:rsidR="00F32D27" w:rsidRDefault="00F32D27">
      <w:pPr>
        <w:rPr>
          <w:rFonts w:ascii="Arial" w:hAnsi="Arial" w:cs="Arial"/>
        </w:rPr>
      </w:pPr>
    </w:p>
    <w:sectPr w:rsidR="00F32D27" w:rsidSect="00E01B0F">
      <w:headerReference w:type="default" r:id="rId11"/>
      <w:footerReference w:type="default" r:id="rId12"/>
      <w:pgSz w:w="12240" w:h="15840" w:code="1"/>
      <w:pgMar w:top="1260" w:right="1800" w:bottom="144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D27" w:rsidRDefault="00F32D27">
      <w:r>
        <w:separator/>
      </w:r>
    </w:p>
  </w:endnote>
  <w:endnote w:type="continuationSeparator" w:id="0">
    <w:p w:rsidR="00F32D27" w:rsidRDefault="00F32D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D27" w:rsidRDefault="00F32D27">
    <w:pPr>
      <w:pStyle w:val="Footer"/>
      <w:tabs>
        <w:tab w:val="clear" w:pos="8640"/>
        <w:tab w:val="right" w:pos="9900"/>
      </w:tabs>
      <w:ind w:left="-1260"/>
      <w:rPr>
        <w:sz w:val="16"/>
      </w:rPr>
    </w:pPr>
    <w:r>
      <w:rPr>
        <w:sz w:val="16"/>
      </w:rPr>
      <w:t xml:space="preserve">  Laboratory, Children’s Hospitals and Clinics of Minnesota, Minneapolis/St. Paul, MN</w:t>
    </w:r>
    <w:r>
      <w:rPr>
        <w:sz w:val="16"/>
      </w:rPr>
      <w:tab/>
      <w:t xml:space="preserve">Page </w:t>
    </w:r>
    <w:r w:rsidR="00E01B0F">
      <w:rPr>
        <w:sz w:val="16"/>
      </w:rPr>
      <w:fldChar w:fldCharType="begin"/>
    </w:r>
    <w:r>
      <w:rPr>
        <w:sz w:val="16"/>
      </w:rPr>
      <w:instrText xml:space="preserve"> PAGE </w:instrText>
    </w:r>
    <w:r w:rsidR="00E01B0F">
      <w:rPr>
        <w:sz w:val="16"/>
      </w:rPr>
      <w:fldChar w:fldCharType="separate"/>
    </w:r>
    <w:r w:rsidR="00C71D50">
      <w:rPr>
        <w:noProof/>
        <w:sz w:val="16"/>
      </w:rPr>
      <w:t>2</w:t>
    </w:r>
    <w:r w:rsidR="00E01B0F">
      <w:rPr>
        <w:sz w:val="16"/>
      </w:rPr>
      <w:fldChar w:fldCharType="end"/>
    </w:r>
    <w:r>
      <w:rPr>
        <w:sz w:val="16"/>
      </w:rPr>
      <w:t xml:space="preserve"> of </w:t>
    </w:r>
    <w:r w:rsidR="00E01B0F">
      <w:rPr>
        <w:sz w:val="16"/>
      </w:rPr>
      <w:fldChar w:fldCharType="begin"/>
    </w:r>
    <w:r>
      <w:rPr>
        <w:sz w:val="16"/>
      </w:rPr>
      <w:instrText xml:space="preserve"> NUMPAGES </w:instrText>
    </w:r>
    <w:r w:rsidR="00E01B0F">
      <w:rPr>
        <w:sz w:val="16"/>
      </w:rPr>
      <w:fldChar w:fldCharType="separate"/>
    </w:r>
    <w:r w:rsidR="00C71D50">
      <w:rPr>
        <w:noProof/>
        <w:sz w:val="16"/>
      </w:rPr>
      <w:t>3</w:t>
    </w:r>
    <w:r w:rsidR="00E01B0F">
      <w:rPr>
        <w:sz w:val="16"/>
      </w:rPr>
      <w:fldChar w:fldCharType="end"/>
    </w:r>
  </w:p>
  <w:p w:rsidR="00F32D27" w:rsidRDefault="00F32D27">
    <w:pPr>
      <w:pStyle w:val="Footer"/>
      <w:tabs>
        <w:tab w:val="clear" w:pos="8640"/>
        <w:tab w:val="left" w:pos="5235"/>
      </w:tabs>
      <w:ind w:left="-1260"/>
      <w:rPr>
        <w:sz w:val="16"/>
      </w:rPr>
    </w:pPr>
    <w:r>
      <w:rPr>
        <w:sz w:val="16"/>
      </w:rPr>
      <w:t xml:space="preserve">  Printed copy expires at 2359 on date of print</w:t>
    </w:r>
    <w:r>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D27" w:rsidRDefault="00F32D27">
      <w:r>
        <w:separator/>
      </w:r>
    </w:p>
  </w:footnote>
  <w:footnote w:type="continuationSeparator" w:id="0">
    <w:p w:rsidR="00F32D27" w:rsidRDefault="00F32D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D27" w:rsidRDefault="004145CC">
    <w:pPr>
      <w:ind w:left="-1260" w:right="-1260"/>
      <w:rPr>
        <w:sz w:val="18"/>
      </w:rPr>
    </w:pPr>
    <w:r>
      <w:rPr>
        <w:noProof/>
        <w:sz w:val="20"/>
      </w:rPr>
      <w:drawing>
        <wp:anchor distT="0" distB="0" distL="114300" distR="114300" simplePos="0" relativeHeight="251657728" behindDoc="1" locked="0" layoutInCell="1" allowOverlap="1">
          <wp:simplePos x="0" y="0"/>
          <wp:positionH relativeFrom="column">
            <wp:posOffset>5497830</wp:posOffset>
          </wp:positionH>
          <wp:positionV relativeFrom="paragraph">
            <wp:posOffset>-40640</wp:posOffset>
          </wp:positionV>
          <wp:extent cx="788670" cy="452120"/>
          <wp:effectExtent l="0" t="0" r="0" b="0"/>
          <wp:wrapThrough wrapText="bothSides">
            <wp:wrapPolygon edited="0">
              <wp:start x="0" y="0"/>
              <wp:lineTo x="0" y="20933"/>
              <wp:lineTo x="20870" y="20933"/>
              <wp:lineTo x="20870" y="0"/>
              <wp:lineTo x="0" y="0"/>
            </wp:wrapPolygon>
          </wp:wrapThrough>
          <wp:docPr id="3" name="Picture 3" descr="Children's logo 3-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logo 3-colo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8670" cy="452120"/>
                  </a:xfrm>
                  <a:prstGeom prst="rect">
                    <a:avLst/>
                  </a:prstGeom>
                  <a:noFill/>
                </pic:spPr>
              </pic:pic>
            </a:graphicData>
          </a:graphic>
        </wp:anchor>
      </w:drawing>
    </w:r>
    <w:r w:rsidR="00F32D27">
      <w:rPr>
        <w:iCs/>
        <w:sz w:val="18"/>
      </w:rPr>
      <w:t>Continuing Education and Certification</w:t>
    </w:r>
    <w:r w:rsidR="00F32D27">
      <w:rPr>
        <w:sz w:val="18"/>
      </w:rPr>
      <w:t xml:space="preserve">                                                                  </w:t>
    </w:r>
    <w:r w:rsidR="00F32D27">
      <w:rPr>
        <w:sz w:val="18"/>
      </w:rPr>
      <w:tab/>
    </w:r>
    <w:r w:rsidR="00F32D27">
      <w:rPr>
        <w:sz w:val="18"/>
      </w:rPr>
      <w:tab/>
    </w:r>
    <w:r w:rsidR="00F32D27">
      <w:rPr>
        <w:sz w:val="18"/>
      </w:rPr>
      <w:tab/>
    </w:r>
    <w:r w:rsidR="00F32D27">
      <w:rPr>
        <w:sz w:val="18"/>
      </w:rPr>
      <w:tab/>
    </w:r>
    <w:r w:rsidR="00F32D27">
      <w:rPr>
        <w:sz w:val="18"/>
      </w:rPr>
      <w:tab/>
    </w:r>
    <w:r w:rsidR="00F32D27">
      <w:rPr>
        <w:sz w:val="18"/>
      </w:rPr>
      <w:tab/>
      <w:t xml:space="preserve"> </w:t>
    </w:r>
  </w:p>
  <w:p w:rsidR="00F32D27" w:rsidRDefault="00F32D27">
    <w:pPr>
      <w:ind w:left="-1260" w:right="-1260"/>
      <w:rPr>
        <w:bCs/>
        <w:sz w:val="18"/>
        <w:szCs w:val="26"/>
      </w:rPr>
    </w:pPr>
    <w:r>
      <w:rPr>
        <w:bCs/>
        <w:sz w:val="18"/>
        <w:szCs w:val="26"/>
      </w:rPr>
      <w:t>Document: GL 1.6 Version 4</w:t>
    </w:r>
  </w:p>
  <w:p w:rsidR="00F32D27" w:rsidRDefault="00F32D27">
    <w:pPr>
      <w:ind w:left="-1260" w:right="-1260"/>
      <w:rPr>
        <w:bCs/>
        <w:sz w:val="18"/>
        <w:szCs w:val="26"/>
      </w:rPr>
    </w:pPr>
    <w:r>
      <w:rPr>
        <w:bCs/>
        <w:sz w:val="18"/>
        <w:szCs w:val="26"/>
      </w:rPr>
      <w:t>Effective Date: 7/12/2012</w:t>
    </w:r>
  </w:p>
  <w:p w:rsidR="00F32D27" w:rsidRDefault="00F32D27">
    <w:pPr>
      <w:pStyle w:val="Header"/>
      <w:jc w:val="center"/>
      <w:rPr>
        <w:b/>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DD49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24F18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A052E0"/>
    <w:multiLevelType w:val="hybridMultilevel"/>
    <w:tmpl w:val="6A605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692260"/>
    <w:multiLevelType w:val="hybridMultilevel"/>
    <w:tmpl w:val="C4EE7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EA469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43CA4D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AC80D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73E354C"/>
    <w:multiLevelType w:val="hybridMultilevel"/>
    <w:tmpl w:val="AB4E43FA"/>
    <w:lvl w:ilvl="0" w:tplc="FFFFFFFF">
      <w:start w:val="2"/>
      <w:numFmt w:val="upperLetter"/>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5A675C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B1E326E"/>
    <w:multiLevelType w:val="hybridMultilevel"/>
    <w:tmpl w:val="CB1A3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74565B78"/>
    <w:multiLevelType w:val="hybridMultilevel"/>
    <w:tmpl w:val="C2EA366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nsid w:val="7462374D"/>
    <w:multiLevelType w:val="hybridMultilevel"/>
    <w:tmpl w:val="901615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5C60B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7AB21F4"/>
    <w:multiLevelType w:val="hybridMultilevel"/>
    <w:tmpl w:val="95B6E9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9643B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97E245E"/>
    <w:multiLevelType w:val="hybridMultilevel"/>
    <w:tmpl w:val="D0CA4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BFB0E30"/>
    <w:multiLevelType w:val="hybridMultilevel"/>
    <w:tmpl w:val="006A5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16"/>
  </w:num>
  <w:num w:numId="4">
    <w:abstractNumId w:val="1"/>
  </w:num>
  <w:num w:numId="5">
    <w:abstractNumId w:val="0"/>
  </w:num>
  <w:num w:numId="6">
    <w:abstractNumId w:val="11"/>
  </w:num>
  <w:num w:numId="7">
    <w:abstractNumId w:val="4"/>
  </w:num>
  <w:num w:numId="8">
    <w:abstractNumId w:val="17"/>
  </w:num>
  <w:num w:numId="9">
    <w:abstractNumId w:val="18"/>
  </w:num>
  <w:num w:numId="10">
    <w:abstractNumId w:val="12"/>
  </w:num>
  <w:num w:numId="11">
    <w:abstractNumId w:val="3"/>
  </w:num>
  <w:num w:numId="12">
    <w:abstractNumId w:val="21"/>
  </w:num>
  <w:num w:numId="13">
    <w:abstractNumId w:val="13"/>
  </w:num>
  <w:num w:numId="14">
    <w:abstractNumId w:val="2"/>
  </w:num>
  <w:num w:numId="15">
    <w:abstractNumId w:val="10"/>
  </w:num>
  <w:num w:numId="16">
    <w:abstractNumId w:val="9"/>
  </w:num>
  <w:num w:numId="17">
    <w:abstractNumId w:val="5"/>
  </w:num>
  <w:num w:numId="18">
    <w:abstractNumId w:val="20"/>
  </w:num>
  <w:num w:numId="19">
    <w:abstractNumId w:val="7"/>
  </w:num>
  <w:num w:numId="20">
    <w:abstractNumId w:val="19"/>
  </w:num>
  <w:num w:numId="21">
    <w:abstractNumId w:val="15"/>
  </w:num>
  <w:num w:numId="22">
    <w:abstractNumId w:val="6"/>
  </w:num>
  <w:num w:numId="23">
    <w:abstractNumId w:val="22"/>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hdrShapeDefaults>
    <o:shapedefaults v:ext="edit" spidmax="7169"/>
  </w:hdrShapeDefaults>
  <w:footnotePr>
    <w:footnote w:id="-1"/>
    <w:footnote w:id="0"/>
  </w:footnotePr>
  <w:endnotePr>
    <w:endnote w:id="-1"/>
    <w:endnote w:id="0"/>
  </w:endnotePr>
  <w:compat/>
  <w:rsids>
    <w:rsidRoot w:val="005A77FC"/>
    <w:rsid w:val="004145CC"/>
    <w:rsid w:val="005A77FC"/>
    <w:rsid w:val="0069629D"/>
    <w:rsid w:val="00BD2BC1"/>
    <w:rsid w:val="00C71D50"/>
    <w:rsid w:val="00E01B0F"/>
    <w:rsid w:val="00F32D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B0F"/>
    <w:pPr>
      <w:jc w:val="both"/>
    </w:pPr>
    <w:rPr>
      <w:sz w:val="22"/>
      <w:szCs w:val="24"/>
    </w:rPr>
  </w:style>
  <w:style w:type="paragraph" w:styleId="Heading1">
    <w:name w:val="heading 1"/>
    <w:basedOn w:val="Normal"/>
    <w:next w:val="Normal"/>
    <w:qFormat/>
    <w:rsid w:val="00E01B0F"/>
    <w:pPr>
      <w:keepNext/>
      <w:numPr>
        <w:numId w:val="5"/>
      </w:numPr>
      <w:outlineLvl w:val="0"/>
    </w:pPr>
    <w:rPr>
      <w:rFonts w:cs="Arial"/>
      <w:b/>
      <w:bCs/>
      <w:kern w:val="32"/>
      <w:sz w:val="26"/>
      <w:szCs w:val="32"/>
    </w:rPr>
  </w:style>
  <w:style w:type="paragraph" w:styleId="Heading2">
    <w:name w:val="heading 2"/>
    <w:basedOn w:val="Normal"/>
    <w:next w:val="Normal"/>
    <w:qFormat/>
    <w:rsid w:val="00E01B0F"/>
    <w:pPr>
      <w:keepNext/>
      <w:numPr>
        <w:ilvl w:val="1"/>
        <w:numId w:val="5"/>
      </w:numPr>
      <w:outlineLvl w:val="1"/>
    </w:pPr>
    <w:rPr>
      <w:rFonts w:cs="Arial"/>
      <w:b/>
      <w:bCs/>
      <w:iCs/>
      <w:sz w:val="24"/>
      <w:szCs w:val="28"/>
    </w:rPr>
  </w:style>
  <w:style w:type="paragraph" w:styleId="Heading3">
    <w:name w:val="heading 3"/>
    <w:basedOn w:val="Normal"/>
    <w:next w:val="Normal"/>
    <w:qFormat/>
    <w:rsid w:val="00E01B0F"/>
    <w:pPr>
      <w:keepNext/>
      <w:numPr>
        <w:ilvl w:val="2"/>
        <w:numId w:val="5"/>
      </w:numPr>
      <w:outlineLvl w:val="2"/>
    </w:pPr>
    <w:rPr>
      <w:rFonts w:cs="Arial"/>
      <w:b/>
      <w:bCs/>
      <w:szCs w:val="26"/>
    </w:rPr>
  </w:style>
  <w:style w:type="paragraph" w:styleId="Heading4">
    <w:name w:val="heading 4"/>
    <w:aliases w:val="Map Title"/>
    <w:basedOn w:val="Normal"/>
    <w:next w:val="Normal"/>
    <w:qFormat/>
    <w:rsid w:val="00E01B0F"/>
    <w:pPr>
      <w:keepNext/>
      <w:numPr>
        <w:ilvl w:val="3"/>
        <w:numId w:val="5"/>
      </w:numPr>
      <w:outlineLvl w:val="3"/>
    </w:pPr>
    <w:rPr>
      <w:bCs/>
      <w:szCs w:val="28"/>
    </w:rPr>
  </w:style>
  <w:style w:type="paragraph" w:styleId="Heading5">
    <w:name w:val="heading 5"/>
    <w:aliases w:val="Block Label"/>
    <w:basedOn w:val="Normal"/>
    <w:next w:val="Normal"/>
    <w:qFormat/>
    <w:rsid w:val="00E01B0F"/>
    <w:pPr>
      <w:keepNext/>
      <w:numPr>
        <w:ilvl w:val="4"/>
        <w:numId w:val="5"/>
      </w:numPr>
      <w:spacing w:before="20"/>
      <w:outlineLvl w:val="4"/>
    </w:pPr>
  </w:style>
  <w:style w:type="paragraph" w:styleId="Heading6">
    <w:name w:val="heading 6"/>
    <w:basedOn w:val="Normal"/>
    <w:next w:val="Normal"/>
    <w:qFormat/>
    <w:rsid w:val="00E01B0F"/>
    <w:pPr>
      <w:keepNext/>
      <w:numPr>
        <w:ilvl w:val="5"/>
        <w:numId w:val="5"/>
      </w:numPr>
      <w:outlineLvl w:val="5"/>
    </w:pPr>
    <w:rPr>
      <w:b/>
      <w:bCs/>
      <w:sz w:val="18"/>
    </w:rPr>
  </w:style>
  <w:style w:type="paragraph" w:styleId="Heading7">
    <w:name w:val="heading 7"/>
    <w:basedOn w:val="Normal"/>
    <w:next w:val="Normal"/>
    <w:qFormat/>
    <w:rsid w:val="00E01B0F"/>
    <w:pPr>
      <w:keepNext/>
      <w:numPr>
        <w:ilvl w:val="6"/>
        <w:numId w:val="5"/>
      </w:numPr>
      <w:outlineLvl w:val="6"/>
    </w:pPr>
    <w:rPr>
      <w:sz w:val="28"/>
    </w:rPr>
  </w:style>
  <w:style w:type="paragraph" w:styleId="Heading8">
    <w:name w:val="heading 8"/>
    <w:basedOn w:val="Normal"/>
    <w:next w:val="Normal"/>
    <w:qFormat/>
    <w:rsid w:val="00E01B0F"/>
    <w:pPr>
      <w:keepNext/>
      <w:numPr>
        <w:ilvl w:val="7"/>
        <w:numId w:val="5"/>
      </w:numPr>
      <w:jc w:val="center"/>
      <w:outlineLvl w:val="7"/>
    </w:pPr>
    <w:rPr>
      <w:b/>
      <w:bCs/>
    </w:rPr>
  </w:style>
  <w:style w:type="paragraph" w:styleId="Heading9">
    <w:name w:val="heading 9"/>
    <w:basedOn w:val="Normal"/>
    <w:next w:val="Normal"/>
    <w:qFormat/>
    <w:rsid w:val="00E01B0F"/>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01B0F"/>
    <w:rPr>
      <w:bCs/>
      <w:iCs/>
      <w:color w:val="000000"/>
    </w:rPr>
  </w:style>
  <w:style w:type="paragraph" w:styleId="Header">
    <w:name w:val="header"/>
    <w:basedOn w:val="Normal"/>
    <w:semiHidden/>
    <w:rsid w:val="00E01B0F"/>
    <w:pPr>
      <w:tabs>
        <w:tab w:val="center" w:pos="4320"/>
        <w:tab w:val="right" w:pos="8640"/>
      </w:tabs>
    </w:pPr>
  </w:style>
  <w:style w:type="paragraph" w:styleId="List">
    <w:name w:val="List"/>
    <w:basedOn w:val="Normal"/>
    <w:semiHidden/>
    <w:rsid w:val="00E01B0F"/>
    <w:pPr>
      <w:ind w:left="360" w:hanging="360"/>
    </w:pPr>
  </w:style>
  <w:style w:type="paragraph" w:styleId="Title">
    <w:name w:val="Title"/>
    <w:basedOn w:val="Normal"/>
    <w:qFormat/>
    <w:rsid w:val="00E01B0F"/>
    <w:pPr>
      <w:spacing w:before="240" w:after="60"/>
      <w:jc w:val="center"/>
    </w:pPr>
    <w:rPr>
      <w:rFonts w:cs="Arial"/>
      <w:b/>
      <w:bCs/>
      <w:kern w:val="28"/>
      <w:sz w:val="28"/>
      <w:szCs w:val="32"/>
    </w:rPr>
  </w:style>
  <w:style w:type="paragraph" w:styleId="BodyText2">
    <w:name w:val="Body Text 2"/>
    <w:basedOn w:val="Normal"/>
    <w:semiHidden/>
    <w:rsid w:val="00E01B0F"/>
    <w:pPr>
      <w:jc w:val="left"/>
    </w:pPr>
    <w:rPr>
      <w:b/>
      <w:bCs/>
      <w:color w:val="0000FF"/>
    </w:rPr>
  </w:style>
  <w:style w:type="paragraph" w:styleId="Footer">
    <w:name w:val="footer"/>
    <w:basedOn w:val="Normal"/>
    <w:semiHidden/>
    <w:rsid w:val="00E01B0F"/>
    <w:pPr>
      <w:tabs>
        <w:tab w:val="center" w:pos="4320"/>
        <w:tab w:val="right" w:pos="8640"/>
      </w:tabs>
    </w:pPr>
  </w:style>
  <w:style w:type="character" w:styleId="FootnoteReference">
    <w:name w:val="footnote reference"/>
    <w:basedOn w:val="DefaultParagraphFont"/>
    <w:semiHidden/>
    <w:rsid w:val="00E01B0F"/>
    <w:rPr>
      <w:rFonts w:ascii="Times New Roman" w:hAnsi="Times New Roman"/>
      <w:sz w:val="18"/>
      <w:vertAlign w:val="superscript"/>
    </w:rPr>
  </w:style>
  <w:style w:type="paragraph" w:customStyle="1" w:styleId="Heading">
    <w:name w:val="Heading"/>
    <w:basedOn w:val="Heading1"/>
    <w:next w:val="Normal"/>
    <w:rsid w:val="00E01B0F"/>
    <w:pPr>
      <w:numPr>
        <w:numId w:val="0"/>
      </w:numPr>
    </w:pPr>
  </w:style>
  <w:style w:type="paragraph" w:customStyle="1" w:styleId="TableText">
    <w:name w:val="Table Text"/>
    <w:basedOn w:val="Normal"/>
    <w:rsid w:val="00E01B0F"/>
    <w:pPr>
      <w:autoSpaceDE w:val="0"/>
      <w:autoSpaceDN w:val="0"/>
      <w:jc w:val="left"/>
    </w:pPr>
    <w:rPr>
      <w:sz w:val="20"/>
    </w:rPr>
  </w:style>
  <w:style w:type="paragraph" w:customStyle="1" w:styleId="TableHeaderText">
    <w:name w:val="Table Header Text"/>
    <w:basedOn w:val="TableText"/>
    <w:rsid w:val="00E01B0F"/>
    <w:pPr>
      <w:jc w:val="center"/>
    </w:pPr>
    <w:rPr>
      <w:b/>
      <w:bCs/>
    </w:rPr>
  </w:style>
  <w:style w:type="paragraph" w:styleId="BodyText3">
    <w:name w:val="Body Text 3"/>
    <w:basedOn w:val="Normal"/>
    <w:semiHidden/>
    <w:rsid w:val="00E01B0F"/>
    <w:rPr>
      <w:b/>
      <w:color w:val="0000FF"/>
    </w:rPr>
  </w:style>
  <w:style w:type="character" w:styleId="CommentReference">
    <w:name w:val="annotation reference"/>
    <w:basedOn w:val="DefaultParagraphFont"/>
    <w:semiHidden/>
    <w:rsid w:val="00E01B0F"/>
    <w:rPr>
      <w:sz w:val="16"/>
      <w:szCs w:val="16"/>
    </w:rPr>
  </w:style>
  <w:style w:type="paragraph" w:styleId="CommentText">
    <w:name w:val="annotation text"/>
    <w:basedOn w:val="Normal"/>
    <w:semiHidden/>
    <w:rsid w:val="00E01B0F"/>
    <w:pPr>
      <w:jc w:val="left"/>
    </w:pPr>
    <w:rPr>
      <w:rFonts w:ascii="Comic Sans MS" w:hAnsi="Comic Sans M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lated_x0020_Documents xmlns="199f0838-75a6-4f0c-9be1-f2c07140bccc" xsi:nil="true"/>
    <WFStatus xmlns="199f0838-75a6-4f0c-9be1-f2c07140bccc" xsi:nil="true"/>
    <Renewal_x0020_Date xmlns="199f0838-75a6-4f0c-9be1-f2c07140bccc">2016-07-12T05:00:00+00:00</Renewal_x0020_Date>
    <Legacy_x0020_Name xmlns="199f0838-75a6-4f0c-9be1-f2c07140bccc">GL1.6 Continuing Education and Certification.doc</Legacy_x0020_Name>
    <Publish_x0020_As xmlns="199f0838-75a6-4f0c-9be1-f2c07140bccc">Default</Publish_x0020_As>
    <Legacy_x0020_Document_x0020_ID xmlns="199f0838-75a6-4f0c-9be1-f2c07140bccc">203278</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F6TN54CWY5RS-50183619-29340</_dlc_DocId>
    <_Version xmlns="http://schemas.microsoft.com/sharepoint/v3/fields">3</_Version>
    <Meta_x0020_Tag_x0020_Keywords xmlns="199f0838-75a6-4f0c-9be1-f2c07140bccc" xsi:nil="true"/>
    <Study_x0020_Status xmlns="c1848e11-9cf6-4ce4-877e-6837d2c2fa23" xsi:nil="true"/>
    <_dlc_DocIdUrl xmlns="199f0838-75a6-4f0c-9be1-f2c07140bccc">
      <Url>http://vcpsharepoint2/references/_layouts/15/DocIdRedir.aspx?ID=F6TN54CWY5RS-50183619-29340</Url>
      <Description>F6TN54CWY5RS-50183619-29340</Description>
    </_dlc_DocIdUrl>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CHC_x0020_Approval_x0020_Workflow_x0020_2 xmlns="c1848e11-9cf6-4ce4-877e-6837d2c2fa23">
      <Url xsi:nil="true"/>
      <Description xsi:nil="true"/>
    </CHC_x0020_Approval_x0020_Workflow_x0020_2>
    <Document_x0020_Title xmlns="199f0838-75a6-4f0c-9be1-f2c07140bccc">GL 1.6 Continuing Education and Certification</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GEN</Owner>
    <_DCDateCreated xmlns="http://schemas.microsoft.com/sharepoint/v3/fields">2015-08-03T21:49:03+00:00</_DCDateCreated>
    <Summary xmlns="199f0838-75a6-4f0c-9be1-f2c07140bccc">7/30/2015 Reviewed jh</Summary>
    <SubTitle xmlns="199f0838-75a6-4f0c-9be1-f2c07140bccc" xsi:nil="true"/>
    <Content_x0020_Release_x0020_Date xmlns="199f0838-75a6-4f0c-9be1-f2c07140bccc">2015-08-03T21:48:00+00:00</Content_x0020_Release_x0020_Date>
  </documentManagement>
</p:properties>
</file>

<file path=customXml/itemProps1.xml><?xml version="1.0" encoding="utf-8"?>
<ds:datastoreItem xmlns:ds="http://schemas.openxmlformats.org/officeDocument/2006/customXml" ds:itemID="{0758F301-3E9E-420E-95A8-964A8397E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0FDCA-744B-4F50-B80B-4665C3B00297}">
  <ds:schemaRefs>
    <ds:schemaRef ds:uri="http://schemas.microsoft.com/sharepoint/events"/>
  </ds:schemaRefs>
</ds:datastoreItem>
</file>

<file path=customXml/itemProps3.xml><?xml version="1.0" encoding="utf-8"?>
<ds:datastoreItem xmlns:ds="http://schemas.openxmlformats.org/officeDocument/2006/customXml" ds:itemID="{00403797-BC1A-4A40-AAF5-9C496CC1DA65}">
  <ds:schemaRefs>
    <ds:schemaRef ds:uri="http://schemas.microsoft.com/sharepoint/v3/contenttype/forms"/>
  </ds:schemaRefs>
</ds:datastoreItem>
</file>

<file path=customXml/itemProps4.xml><?xml version="1.0" encoding="utf-8"?>
<ds:datastoreItem xmlns:ds="http://schemas.openxmlformats.org/officeDocument/2006/customXml" ds:itemID="{D550CD6D-8A79-456E-B202-5A49C5B9BC3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CE132454</dc:creator>
  <cp:lastModifiedBy>CE132454</cp:lastModifiedBy>
  <cp:revision>2</cp:revision>
  <cp:lastPrinted>2012-06-08T18:11:00Z</cp:lastPrinted>
  <dcterms:created xsi:type="dcterms:W3CDTF">2017-07-13T17:18:00Z</dcterms:created>
  <dcterms:modified xsi:type="dcterms:W3CDTF">2017-07-13T17:18:00Z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01e46461-d148-4692-ae4b-a1a470923d63</vt:lpwstr>
  </property>
</Properties>
</file>