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Ind w:w="-1152" w:type="dxa"/>
        <w:tblLayout w:type="fixed"/>
        <w:tblLook w:val="0000"/>
      </w:tblPr>
      <w:tblGrid>
        <w:gridCol w:w="2160"/>
        <w:gridCol w:w="1170"/>
        <w:gridCol w:w="2340"/>
        <w:gridCol w:w="1710"/>
        <w:gridCol w:w="3690"/>
      </w:tblGrid>
      <w:tr w:rsidR="008C6EDC">
        <w:trPr>
          <w:cantSplit/>
          <w:tblHeader/>
        </w:trPr>
        <w:tc>
          <w:tcPr>
            <w:tcW w:w="11070" w:type="dxa"/>
            <w:gridSpan w:val="5"/>
          </w:tcPr>
          <w:p w:rsidR="008C6EDC" w:rsidRDefault="008C6EDC">
            <w:pPr>
              <w:pStyle w:val="Header"/>
              <w:tabs>
                <w:tab w:val="clear" w:pos="4320"/>
                <w:tab w:val="clear" w:pos="8640"/>
                <w:tab w:val="left" w:pos="11520"/>
              </w:tabs>
              <w:jc w:val="both"/>
              <w:rPr>
                <w:rFonts w:cs="Arial"/>
                <w:b/>
                <w:bCs/>
                <w:color w:val="0000FF"/>
                <w:sz w:val="36"/>
              </w:rPr>
            </w:pPr>
            <w:r>
              <w:rPr>
                <w:rFonts w:cs="Arial"/>
                <w:b/>
                <w:bCs/>
                <w:color w:val="0000FF"/>
                <w:sz w:val="36"/>
              </w:rPr>
              <w:t>Alanine Aminotransferase (ALT)</w:t>
            </w:r>
          </w:p>
          <w:p w:rsidR="008C6EDC" w:rsidRDefault="008C6EDC">
            <w:pPr>
              <w:pStyle w:val="Header"/>
              <w:tabs>
                <w:tab w:val="clear" w:pos="4320"/>
                <w:tab w:val="clear" w:pos="8640"/>
                <w:tab w:val="left" w:pos="11520"/>
              </w:tabs>
              <w:jc w:val="both"/>
              <w:rPr>
                <w:rFonts w:cs="Arial"/>
                <w:color w:val="0000FF"/>
              </w:rPr>
            </w:pPr>
          </w:p>
        </w:tc>
      </w:tr>
      <w:tr w:rsidR="008C6EDC" w:rsidTr="00B816B4">
        <w:trPr>
          <w:tblHeader/>
        </w:trPr>
        <w:tc>
          <w:tcPr>
            <w:tcW w:w="2160" w:type="dxa"/>
          </w:tcPr>
          <w:p w:rsidR="008C6EDC" w:rsidRDefault="008C6EDC">
            <w:pPr>
              <w:rPr>
                <w:rFonts w:cs="Arial"/>
                <w:b/>
                <w:bCs/>
                <w:color w:val="0000FF"/>
              </w:rPr>
            </w:pPr>
          </w:p>
          <w:p w:rsidR="008C6EDC" w:rsidRDefault="008C6EDC">
            <w:pPr>
              <w:rPr>
                <w:rFonts w:cs="Arial"/>
                <w:b/>
                <w:bCs/>
                <w:color w:val="0000FF"/>
              </w:rPr>
            </w:pPr>
            <w:r>
              <w:rPr>
                <w:rFonts w:cs="Arial"/>
                <w:b/>
                <w:bCs/>
                <w:color w:val="0000FF"/>
              </w:rPr>
              <w:t>Purpose</w:t>
            </w:r>
          </w:p>
        </w:tc>
        <w:tc>
          <w:tcPr>
            <w:tcW w:w="8910" w:type="dxa"/>
            <w:gridSpan w:val="4"/>
            <w:tcBorders>
              <w:top w:val="single" w:sz="18" w:space="0" w:color="BFBFBF"/>
              <w:bottom w:val="single" w:sz="18" w:space="0" w:color="BFBFBF"/>
            </w:tcBorders>
            <w:vAlign w:val="center"/>
          </w:tcPr>
          <w:p w:rsidR="008C6EDC" w:rsidRPr="008634BF" w:rsidRDefault="008C6EDC" w:rsidP="008C6EDC">
            <w:pPr>
              <w:jc w:val="both"/>
              <w:rPr>
                <w:rFonts w:cs="Arial"/>
                <w:szCs w:val="20"/>
              </w:rPr>
            </w:pPr>
          </w:p>
          <w:p w:rsidR="008C6EDC" w:rsidRPr="008634BF" w:rsidRDefault="008C6EDC" w:rsidP="008C6EDC">
            <w:pPr>
              <w:autoSpaceDE w:val="0"/>
              <w:autoSpaceDN w:val="0"/>
              <w:adjustRightInd w:val="0"/>
              <w:jc w:val="both"/>
              <w:rPr>
                <w:rFonts w:cs="Arial"/>
                <w:szCs w:val="20"/>
              </w:rPr>
            </w:pPr>
            <w:r w:rsidRPr="008634BF">
              <w:rPr>
                <w:rFonts w:cs="Arial"/>
                <w:szCs w:val="20"/>
              </w:rPr>
              <w:t xml:space="preserve">This procedure provides instructions for ALANINE AMINOTRANSFERASE (ALT). The alanine aminotransferase (ALTI) method is an </w:t>
            </w:r>
            <w:r w:rsidRPr="008634BF">
              <w:rPr>
                <w:rFonts w:cs="Arial"/>
                <w:i/>
                <w:iCs/>
                <w:szCs w:val="20"/>
              </w:rPr>
              <w:t xml:space="preserve">in vitro </w:t>
            </w:r>
            <w:r w:rsidRPr="008634BF">
              <w:rPr>
                <w:rFonts w:cs="Arial"/>
                <w:szCs w:val="20"/>
              </w:rPr>
              <w:t>diagnostic test for the quantitative</w:t>
            </w:r>
            <w:r>
              <w:rPr>
                <w:rFonts w:cs="Arial"/>
                <w:szCs w:val="20"/>
              </w:rPr>
              <w:t xml:space="preserve"> </w:t>
            </w:r>
            <w:r w:rsidRPr="008634BF">
              <w:rPr>
                <w:rFonts w:cs="Arial"/>
                <w:szCs w:val="20"/>
              </w:rPr>
              <w:t>measurement of alanine aminotransferase activity in human serum or plasma on the Dimension Vista®</w:t>
            </w:r>
            <w:r>
              <w:rPr>
                <w:rFonts w:cs="Arial"/>
                <w:szCs w:val="20"/>
              </w:rPr>
              <w:t xml:space="preserve"> 500 or RxL Chemistry Systems.</w:t>
            </w:r>
          </w:p>
          <w:p w:rsidR="008C6EDC" w:rsidRPr="008634BF" w:rsidRDefault="008C6EDC" w:rsidP="008C6EDC">
            <w:pPr>
              <w:jc w:val="both"/>
              <w:rPr>
                <w:rFonts w:cs="Arial"/>
                <w:szCs w:val="20"/>
              </w:rPr>
            </w:pPr>
          </w:p>
        </w:tc>
      </w:tr>
      <w:tr w:rsidR="008C6EDC" w:rsidTr="00B816B4">
        <w:trPr>
          <w:trHeight w:val="935"/>
          <w:tblHeader/>
        </w:trPr>
        <w:tc>
          <w:tcPr>
            <w:tcW w:w="2160" w:type="dxa"/>
          </w:tcPr>
          <w:p w:rsidR="008C6EDC" w:rsidRDefault="008C6EDC" w:rsidP="008C6EDC">
            <w:pPr>
              <w:rPr>
                <w:rFonts w:cs="Arial"/>
                <w:b/>
                <w:bCs/>
                <w:color w:val="0000FF"/>
              </w:rPr>
            </w:pPr>
          </w:p>
          <w:p w:rsidR="008C6EDC" w:rsidRDefault="008C6EDC" w:rsidP="008C6EDC">
            <w:pPr>
              <w:rPr>
                <w:rFonts w:cs="Arial"/>
                <w:b/>
                <w:bCs/>
                <w:color w:val="0000FF"/>
              </w:rPr>
            </w:pPr>
            <w:r>
              <w:rPr>
                <w:rFonts w:cs="Arial"/>
                <w:b/>
                <w:bCs/>
                <w:color w:val="0000FF"/>
              </w:rPr>
              <w:t>Policy Statements</w:t>
            </w:r>
          </w:p>
        </w:tc>
        <w:tc>
          <w:tcPr>
            <w:tcW w:w="8910" w:type="dxa"/>
            <w:gridSpan w:val="4"/>
            <w:tcBorders>
              <w:top w:val="single" w:sz="18" w:space="0" w:color="BFBFBF"/>
              <w:bottom w:val="single" w:sz="18" w:space="0" w:color="BFBFBF"/>
            </w:tcBorders>
            <w:vAlign w:val="center"/>
          </w:tcPr>
          <w:p w:rsidR="008C6EDC" w:rsidRPr="001246C0" w:rsidRDefault="008C6EDC" w:rsidP="008C6EDC">
            <w:pPr>
              <w:autoSpaceDE w:val="0"/>
              <w:autoSpaceDN w:val="0"/>
              <w:adjustRightInd w:val="0"/>
              <w:jc w:val="both"/>
              <w:rPr>
                <w:rFonts w:cs="Arial"/>
                <w:szCs w:val="20"/>
              </w:rPr>
            </w:pPr>
            <w:r>
              <w:rPr>
                <w:rFonts w:cs="Arial"/>
                <w:szCs w:val="15"/>
              </w:rPr>
              <w:t xml:space="preserve">This procedure applies to all personnel responsible for performing testing on the </w:t>
            </w:r>
            <w:r w:rsidRPr="008634BF">
              <w:rPr>
                <w:rFonts w:cs="Arial"/>
                <w:szCs w:val="20"/>
              </w:rPr>
              <w:t>Dimension Vista®</w:t>
            </w:r>
            <w:r>
              <w:rPr>
                <w:rFonts w:cs="Arial"/>
                <w:szCs w:val="20"/>
              </w:rPr>
              <w:t xml:space="preserve"> or RxL Chemistry Systems </w:t>
            </w:r>
            <w:r>
              <w:rPr>
                <w:rFonts w:cs="Arial"/>
                <w:szCs w:val="15"/>
              </w:rPr>
              <w:t>at Children’s Hospitals and Clinics of Minnesota</w:t>
            </w:r>
            <w:r>
              <w:rPr>
                <w:rFonts w:cs="Arial"/>
                <w:szCs w:val="20"/>
              </w:rPr>
              <w:t>.</w:t>
            </w:r>
          </w:p>
        </w:tc>
      </w:tr>
      <w:tr w:rsidR="008C6EDC" w:rsidTr="00B816B4">
        <w:trPr>
          <w:tblHeader/>
        </w:trPr>
        <w:tc>
          <w:tcPr>
            <w:tcW w:w="2160" w:type="dxa"/>
          </w:tcPr>
          <w:p w:rsidR="008C6EDC" w:rsidRDefault="008C6EDC">
            <w:pPr>
              <w:rPr>
                <w:rFonts w:cs="Arial"/>
                <w:b/>
                <w:bCs/>
                <w:color w:val="0000FF"/>
              </w:rPr>
            </w:pPr>
          </w:p>
          <w:p w:rsidR="008C6EDC" w:rsidRDefault="008C6EDC">
            <w:pPr>
              <w:rPr>
                <w:rFonts w:cs="Arial"/>
                <w:b/>
                <w:bCs/>
                <w:color w:val="0000FF"/>
              </w:rPr>
            </w:pPr>
            <w:r>
              <w:rPr>
                <w:rFonts w:cs="Arial"/>
                <w:b/>
                <w:bCs/>
                <w:color w:val="0000FF"/>
              </w:rPr>
              <w:t>Principle</w:t>
            </w:r>
          </w:p>
          <w:p w:rsidR="008C6EDC" w:rsidRDefault="008C6EDC">
            <w:pPr>
              <w:rPr>
                <w:rFonts w:cs="Arial"/>
                <w:b/>
                <w:bCs/>
                <w:color w:val="0000FF"/>
              </w:rPr>
            </w:pPr>
          </w:p>
        </w:tc>
        <w:tc>
          <w:tcPr>
            <w:tcW w:w="8910" w:type="dxa"/>
            <w:gridSpan w:val="4"/>
            <w:tcBorders>
              <w:top w:val="single" w:sz="18" w:space="0" w:color="BFBFBF"/>
              <w:bottom w:val="single" w:sz="18" w:space="0" w:color="BFBFBF"/>
            </w:tcBorders>
            <w:vAlign w:val="center"/>
          </w:tcPr>
          <w:p w:rsidR="008C6EDC" w:rsidRDefault="008C6EDC" w:rsidP="008C6EDC">
            <w:pPr>
              <w:pStyle w:val="BodyText"/>
              <w:spacing w:after="0"/>
              <w:jc w:val="both"/>
              <w:rPr>
                <w:rFonts w:cs="Arial"/>
              </w:rPr>
            </w:pPr>
          </w:p>
          <w:p w:rsidR="008C6EDC" w:rsidRDefault="008C6EDC" w:rsidP="008C6EDC">
            <w:pPr>
              <w:pStyle w:val="BodyText"/>
              <w:jc w:val="both"/>
              <w:rPr>
                <w:rFonts w:cs="Arial"/>
              </w:rPr>
            </w:pPr>
            <w:r>
              <w:rPr>
                <w:rFonts w:cs="Arial"/>
              </w:rPr>
              <w:t>The alanine aminotransferase method is an adaptation of the recommended procedure of the IFCC as described by Bergmeyer. The procedure is based on the principles outlined by Wroblewski and LaDue but is modified to contain pyridoxal-5-phosphate (P5P) as an activator and to replace phosphate buffer with tris (hydroxymethyl) aminomethane.</w:t>
            </w:r>
          </w:p>
          <w:p w:rsidR="008C6EDC" w:rsidRDefault="008C6EDC" w:rsidP="008C6EDC">
            <w:pPr>
              <w:jc w:val="both"/>
              <w:rPr>
                <w:rFonts w:cs="Arial"/>
              </w:rPr>
            </w:pPr>
            <w:r>
              <w:rPr>
                <w:rFonts w:cs="Arial"/>
              </w:rPr>
              <w:t>Alanine aminotransferase (ALT) catalyzes the transamination of L-alanine to a-ketoglutarate (a-KG), forming L-glutamate and pyruvate. The pyruvate formed is reduced to lactate by lactate dehydrogenase (LDH) with simultaneous oxidation of reduced nicotinamide-adenine dinucleotide (NADH). The change in absorbance is directly proportional to the ALT activity and is measured using a bichromatic (340, 700 nm) rate technique.</w:t>
            </w:r>
          </w:p>
          <w:p w:rsidR="008C6EDC" w:rsidRDefault="008C6EDC" w:rsidP="008C6EDC">
            <w:pPr>
              <w:jc w:val="both"/>
              <w:rPr>
                <w:rFonts w:cs="Arial"/>
              </w:rPr>
            </w:pPr>
          </w:p>
        </w:tc>
      </w:tr>
      <w:tr w:rsidR="008C6EDC" w:rsidTr="00B816B4">
        <w:trPr>
          <w:tblHeader/>
        </w:trPr>
        <w:tc>
          <w:tcPr>
            <w:tcW w:w="2160" w:type="dxa"/>
          </w:tcPr>
          <w:p w:rsidR="008C6EDC" w:rsidRDefault="008C6EDC">
            <w:pPr>
              <w:rPr>
                <w:rFonts w:cs="Arial"/>
                <w:b/>
                <w:bCs/>
                <w:color w:val="0000FF"/>
              </w:rPr>
            </w:pPr>
          </w:p>
          <w:p w:rsidR="008C6EDC" w:rsidRDefault="008C6EDC">
            <w:pPr>
              <w:rPr>
                <w:rFonts w:cs="Arial"/>
                <w:b/>
                <w:bCs/>
                <w:color w:val="0000FF"/>
              </w:rPr>
            </w:pPr>
            <w:r>
              <w:rPr>
                <w:rFonts w:cs="Arial"/>
                <w:b/>
                <w:bCs/>
                <w:color w:val="0000FF"/>
              </w:rPr>
              <w:t>Clinical Significance</w:t>
            </w:r>
          </w:p>
          <w:p w:rsidR="008C6EDC" w:rsidRDefault="008C6EDC">
            <w:pPr>
              <w:rPr>
                <w:rFonts w:cs="Arial"/>
                <w:b/>
                <w:bCs/>
                <w:color w:val="0000FF"/>
              </w:rPr>
            </w:pPr>
          </w:p>
        </w:tc>
        <w:tc>
          <w:tcPr>
            <w:tcW w:w="8910" w:type="dxa"/>
            <w:gridSpan w:val="4"/>
            <w:tcBorders>
              <w:top w:val="single" w:sz="18" w:space="0" w:color="BFBFBF"/>
              <w:bottom w:val="single" w:sz="18" w:space="0" w:color="BFBFBF"/>
            </w:tcBorders>
            <w:vAlign w:val="center"/>
          </w:tcPr>
          <w:p w:rsidR="008C6EDC" w:rsidRDefault="008C6EDC" w:rsidP="008C6EDC">
            <w:pPr>
              <w:pStyle w:val="Header"/>
              <w:tabs>
                <w:tab w:val="clear" w:pos="4320"/>
                <w:tab w:val="clear" w:pos="8640"/>
              </w:tabs>
              <w:jc w:val="both"/>
              <w:rPr>
                <w:rFonts w:cs="Arial"/>
                <w:szCs w:val="15"/>
              </w:rPr>
            </w:pPr>
          </w:p>
          <w:p w:rsidR="008C6EDC" w:rsidRDefault="008C6EDC" w:rsidP="008C6EDC">
            <w:pPr>
              <w:pStyle w:val="Header"/>
              <w:tabs>
                <w:tab w:val="clear" w:pos="4320"/>
                <w:tab w:val="clear" w:pos="8640"/>
              </w:tabs>
              <w:jc w:val="both"/>
              <w:rPr>
                <w:rFonts w:cs="Arial"/>
                <w:szCs w:val="15"/>
              </w:rPr>
            </w:pPr>
            <w:r w:rsidRPr="008634BF">
              <w:rPr>
                <w:rFonts w:cs="Arial"/>
                <w:szCs w:val="20"/>
              </w:rPr>
              <w:t>Measurements of alanine aminotransferase are used in the diagnosis and treatment of certain liver</w:t>
            </w:r>
            <w:r>
              <w:rPr>
                <w:rFonts w:cs="Arial"/>
                <w:szCs w:val="20"/>
              </w:rPr>
              <w:t xml:space="preserve"> </w:t>
            </w:r>
            <w:r w:rsidRPr="008634BF">
              <w:rPr>
                <w:rFonts w:cs="Arial"/>
                <w:szCs w:val="20"/>
              </w:rPr>
              <w:t>diseases and heart diseases.</w:t>
            </w:r>
            <w:r>
              <w:rPr>
                <w:rFonts w:cs="Arial"/>
                <w:szCs w:val="20"/>
              </w:rPr>
              <w:t xml:space="preserve"> </w:t>
            </w:r>
            <w:r>
              <w:rPr>
                <w:rFonts w:cs="Arial"/>
                <w:szCs w:val="15"/>
              </w:rPr>
              <w:t xml:space="preserve">Significant elevations are found in diseases of the liver, such as hepatitis, necrosis, jaundice and cirrhosis. Alanine aminotransferase levels can be elevated even before clinical jaundice appears. </w:t>
            </w:r>
          </w:p>
          <w:p w:rsidR="008C6EDC" w:rsidRDefault="008C6EDC" w:rsidP="008C6EDC">
            <w:pPr>
              <w:pStyle w:val="Header"/>
              <w:tabs>
                <w:tab w:val="clear" w:pos="4320"/>
                <w:tab w:val="clear" w:pos="8640"/>
              </w:tabs>
              <w:jc w:val="both"/>
              <w:rPr>
                <w:rFonts w:cs="Arial"/>
                <w:szCs w:val="15"/>
              </w:rPr>
            </w:pPr>
          </w:p>
          <w:p w:rsidR="008C6EDC" w:rsidRDefault="008C6EDC" w:rsidP="008C6EDC">
            <w:pPr>
              <w:pStyle w:val="Header"/>
              <w:tabs>
                <w:tab w:val="clear" w:pos="4320"/>
                <w:tab w:val="clear" w:pos="8640"/>
              </w:tabs>
              <w:jc w:val="both"/>
              <w:rPr>
                <w:rFonts w:cs="Arial"/>
                <w:szCs w:val="15"/>
              </w:rPr>
            </w:pPr>
            <w:r>
              <w:rPr>
                <w:rFonts w:cs="Arial"/>
                <w:szCs w:val="15"/>
              </w:rPr>
              <w:t>ALT is more sensitive to cellular injury than biliary obstruction, and is more specific for liver injury than AST.  Chronic increases occur in alcohol abuse, chronic hepatitis B and C, steatohepatitis, cirrhosis, hemochromatosis, and viral hepatitis.</w:t>
            </w:r>
          </w:p>
          <w:p w:rsidR="008C6EDC" w:rsidRDefault="008C6EDC" w:rsidP="008C6EDC">
            <w:pPr>
              <w:pStyle w:val="Header"/>
              <w:tabs>
                <w:tab w:val="clear" w:pos="4320"/>
                <w:tab w:val="clear" w:pos="8640"/>
              </w:tabs>
              <w:jc w:val="both"/>
              <w:rPr>
                <w:rFonts w:cs="Arial"/>
                <w:szCs w:val="15"/>
              </w:rPr>
            </w:pPr>
          </w:p>
        </w:tc>
      </w:tr>
      <w:tr w:rsidR="008C6EDC" w:rsidTr="00B816B4">
        <w:trPr>
          <w:tblHeader/>
        </w:trPr>
        <w:tc>
          <w:tcPr>
            <w:tcW w:w="2160" w:type="dxa"/>
          </w:tcPr>
          <w:p w:rsidR="008C6EDC" w:rsidRDefault="008C6EDC">
            <w:pPr>
              <w:rPr>
                <w:rFonts w:cs="Arial"/>
                <w:b/>
                <w:bCs/>
                <w:color w:val="0000FF"/>
              </w:rPr>
            </w:pPr>
          </w:p>
          <w:p w:rsidR="008C6EDC" w:rsidRDefault="008C6EDC">
            <w:pPr>
              <w:rPr>
                <w:rFonts w:cs="Arial"/>
                <w:b/>
                <w:bCs/>
                <w:color w:val="0000FF"/>
              </w:rPr>
            </w:pPr>
            <w:r>
              <w:rPr>
                <w:rFonts w:cs="Arial"/>
                <w:b/>
                <w:bCs/>
                <w:color w:val="0000FF"/>
              </w:rPr>
              <w:t>Instrument</w:t>
            </w:r>
          </w:p>
        </w:tc>
        <w:tc>
          <w:tcPr>
            <w:tcW w:w="8910" w:type="dxa"/>
            <w:gridSpan w:val="4"/>
            <w:tcBorders>
              <w:top w:val="single" w:sz="18" w:space="0" w:color="BFBFBF"/>
              <w:bottom w:val="single" w:sz="18" w:space="0" w:color="BFBFBF"/>
            </w:tcBorders>
            <w:vAlign w:val="center"/>
          </w:tcPr>
          <w:p w:rsidR="008C6EDC" w:rsidRDefault="008C6EDC" w:rsidP="008C6EDC">
            <w:pPr>
              <w:pStyle w:val="Header"/>
              <w:tabs>
                <w:tab w:val="clear" w:pos="4320"/>
                <w:tab w:val="clear" w:pos="8640"/>
              </w:tabs>
              <w:jc w:val="both"/>
              <w:rPr>
                <w:rFonts w:cs="Arial"/>
              </w:rPr>
            </w:pPr>
          </w:p>
          <w:p w:rsidR="008C6EDC" w:rsidRDefault="008C6EDC" w:rsidP="008C6EDC">
            <w:pPr>
              <w:pStyle w:val="Header"/>
              <w:tabs>
                <w:tab w:val="clear" w:pos="4320"/>
                <w:tab w:val="clear" w:pos="8640"/>
              </w:tabs>
              <w:spacing w:line="360" w:lineRule="auto"/>
              <w:jc w:val="both"/>
              <w:rPr>
                <w:rFonts w:cs="Arial"/>
              </w:rPr>
            </w:pPr>
            <w:r w:rsidRPr="00D05869">
              <w:rPr>
                <w:b/>
                <w:bCs/>
                <w:color w:val="5F497A"/>
              </w:rPr>
              <w:t>PRIMARY METHOD:</w:t>
            </w:r>
            <w:r w:rsidRPr="00B1018B">
              <w:rPr>
                <w:b/>
                <w:bCs/>
              </w:rPr>
              <w:t xml:space="preserve"> </w:t>
            </w:r>
            <w:r w:rsidRPr="00B1018B">
              <w:t>Siemens Dimension Vista 500</w:t>
            </w:r>
            <w:r>
              <w:t>,</w:t>
            </w:r>
            <w:r>
              <w:rPr>
                <w:rFonts w:cs="Arial"/>
              </w:rPr>
              <w:t xml:space="preserve"> Siemens Healthcare Diagnostics Inc</w:t>
            </w:r>
          </w:p>
          <w:p w:rsidR="008C6EDC" w:rsidRDefault="008C6EDC" w:rsidP="008C6EDC">
            <w:pPr>
              <w:pStyle w:val="Header"/>
              <w:tabs>
                <w:tab w:val="clear" w:pos="4320"/>
                <w:tab w:val="clear" w:pos="8640"/>
              </w:tabs>
              <w:spacing w:line="360" w:lineRule="auto"/>
              <w:jc w:val="both"/>
              <w:rPr>
                <w:rFonts w:cs="Arial"/>
              </w:rPr>
            </w:pPr>
            <w:r w:rsidRPr="00D05869">
              <w:rPr>
                <w:b/>
                <w:bCs/>
                <w:color w:val="76923C"/>
              </w:rPr>
              <w:t>SECONDARY (BACKUP) METHOD</w:t>
            </w:r>
            <w:r w:rsidRPr="00B1018B">
              <w:rPr>
                <w:b/>
                <w:bCs/>
              </w:rPr>
              <w:t xml:space="preserve">: </w:t>
            </w:r>
            <w:r w:rsidRPr="00B1018B">
              <w:t>Siemens Dimension RxL MAX</w:t>
            </w:r>
            <w:r>
              <w:rPr>
                <w:rFonts w:cs="Arial"/>
              </w:rPr>
              <w:t xml:space="preserve"> </w:t>
            </w:r>
          </w:p>
          <w:p w:rsidR="008C6EDC" w:rsidRDefault="008C6EDC" w:rsidP="008C6EDC">
            <w:pPr>
              <w:pStyle w:val="Header"/>
              <w:tabs>
                <w:tab w:val="clear" w:pos="4320"/>
                <w:tab w:val="clear" w:pos="8640"/>
              </w:tabs>
              <w:jc w:val="both"/>
              <w:rPr>
                <w:rFonts w:cs="Arial"/>
                <w:szCs w:val="15"/>
              </w:rPr>
            </w:pPr>
          </w:p>
        </w:tc>
      </w:tr>
      <w:tr w:rsidR="00B816B4" w:rsidTr="00B816B4">
        <w:trPr>
          <w:trHeight w:val="697"/>
          <w:tblHeader/>
        </w:trPr>
        <w:tc>
          <w:tcPr>
            <w:tcW w:w="2160" w:type="dxa"/>
            <w:vAlign w:val="center"/>
          </w:tcPr>
          <w:p w:rsidR="00B816B4" w:rsidRDefault="00B816B4">
            <w:pPr>
              <w:rPr>
                <w:rFonts w:cs="Arial"/>
                <w:b/>
                <w:bCs/>
                <w:color w:val="0000FF"/>
              </w:rPr>
            </w:pPr>
            <w:r>
              <w:rPr>
                <w:rFonts w:cs="Arial"/>
                <w:b/>
                <w:bCs/>
                <w:color w:val="0000FF"/>
              </w:rPr>
              <w:t>Sunquest Test Code</w:t>
            </w:r>
          </w:p>
        </w:tc>
        <w:tc>
          <w:tcPr>
            <w:tcW w:w="8910" w:type="dxa"/>
            <w:gridSpan w:val="4"/>
            <w:tcBorders>
              <w:top w:val="single" w:sz="18" w:space="0" w:color="BFBFBF"/>
              <w:bottom w:val="single" w:sz="18" w:space="0" w:color="BFBFBF"/>
            </w:tcBorders>
            <w:vAlign w:val="center"/>
          </w:tcPr>
          <w:p w:rsidR="00B816B4" w:rsidRDefault="00B816B4">
            <w:pPr>
              <w:rPr>
                <w:rFonts w:cs="Arial"/>
                <w:b/>
                <w:bCs/>
              </w:rPr>
            </w:pPr>
          </w:p>
          <w:p w:rsidR="00B816B4" w:rsidRDefault="00B816B4">
            <w:pPr>
              <w:rPr>
                <w:rFonts w:cs="Arial"/>
                <w:sz w:val="18"/>
              </w:rPr>
            </w:pPr>
            <w:r>
              <w:rPr>
                <w:rFonts w:cs="Arial"/>
                <w:b/>
                <w:bCs/>
                <w:sz w:val="18"/>
              </w:rPr>
              <w:t>ALT</w:t>
            </w:r>
            <w:r>
              <w:rPr>
                <w:rFonts w:cs="Arial"/>
                <w:sz w:val="18"/>
              </w:rPr>
              <w:t>:</w:t>
            </w:r>
            <w:r>
              <w:rPr>
                <w:rFonts w:cs="Arial"/>
              </w:rPr>
              <w:t xml:space="preserve"> Alanine Aminotransferase in serum or plasma</w:t>
            </w:r>
          </w:p>
          <w:p w:rsidR="00B816B4" w:rsidRDefault="00B816B4">
            <w:pPr>
              <w:pStyle w:val="Header"/>
              <w:tabs>
                <w:tab w:val="clear" w:pos="4320"/>
                <w:tab w:val="clear" w:pos="8640"/>
              </w:tabs>
              <w:rPr>
                <w:rFonts w:cs="Arial"/>
                <w:szCs w:val="15"/>
              </w:rPr>
            </w:pPr>
          </w:p>
        </w:tc>
      </w:tr>
      <w:tr w:rsidR="008C6EDC" w:rsidTr="00B816B4">
        <w:trPr>
          <w:cantSplit/>
          <w:trHeight w:val="2095"/>
          <w:tblHeader/>
        </w:trPr>
        <w:tc>
          <w:tcPr>
            <w:tcW w:w="2160" w:type="dxa"/>
          </w:tcPr>
          <w:p w:rsidR="008C6EDC" w:rsidRDefault="008C6EDC">
            <w:pPr>
              <w:rPr>
                <w:rFonts w:cs="Arial"/>
                <w:b/>
                <w:bCs/>
                <w:color w:val="0000FF"/>
              </w:rPr>
            </w:pPr>
          </w:p>
          <w:p w:rsidR="008C6EDC" w:rsidRDefault="008C6EDC">
            <w:pPr>
              <w:rPr>
                <w:rFonts w:cs="Arial"/>
                <w:b/>
                <w:bCs/>
                <w:color w:val="0000FF"/>
              </w:rPr>
            </w:pPr>
            <w:r>
              <w:rPr>
                <w:rFonts w:cs="Arial"/>
                <w:b/>
                <w:bCs/>
                <w:color w:val="0000FF"/>
              </w:rPr>
              <w:t>Specimen</w:t>
            </w:r>
          </w:p>
          <w:p w:rsidR="008C6EDC" w:rsidRDefault="008C6EDC">
            <w:pPr>
              <w:rPr>
                <w:rFonts w:cs="Arial"/>
                <w:b/>
                <w:bCs/>
                <w:color w:val="0000FF"/>
              </w:rPr>
            </w:pPr>
          </w:p>
        </w:tc>
        <w:tc>
          <w:tcPr>
            <w:tcW w:w="8910" w:type="dxa"/>
            <w:gridSpan w:val="4"/>
            <w:tcBorders>
              <w:top w:val="single" w:sz="18" w:space="0" w:color="BFBFBF"/>
              <w:bottom w:val="single" w:sz="18" w:space="0" w:color="BFBFBF"/>
            </w:tcBorders>
          </w:tcPr>
          <w:p w:rsidR="008C6EDC" w:rsidRDefault="008C6EDC" w:rsidP="008C6EDC">
            <w:pPr>
              <w:pStyle w:val="Header"/>
              <w:tabs>
                <w:tab w:val="clear" w:pos="4320"/>
                <w:tab w:val="clear" w:pos="8640"/>
              </w:tabs>
              <w:jc w:val="both"/>
              <w:rPr>
                <w:rFonts w:cs="Arial"/>
              </w:rPr>
            </w:pPr>
          </w:p>
          <w:p w:rsidR="008C6EDC" w:rsidRDefault="008C6EDC" w:rsidP="008C6EDC">
            <w:pPr>
              <w:pStyle w:val="Header"/>
              <w:tabs>
                <w:tab w:val="clear" w:pos="4320"/>
                <w:tab w:val="clear" w:pos="8640"/>
              </w:tabs>
              <w:jc w:val="both"/>
              <w:rPr>
                <w:rFonts w:cs="Arial"/>
              </w:rPr>
            </w:pPr>
            <w:r>
              <w:rPr>
                <w:rFonts w:cs="Arial"/>
              </w:rPr>
              <w:t>Plasma (lithium hepa</w:t>
            </w:r>
            <w:r w:rsidR="000625DB">
              <w:rPr>
                <w:rFonts w:cs="Arial"/>
              </w:rPr>
              <w:t>rin) preferred or Serum</w:t>
            </w:r>
            <w:r>
              <w:rPr>
                <w:rFonts w:cs="Arial"/>
              </w:rPr>
              <w:t>. In the preparation of serum or plasma samples, avoid prolonged contact with separated red cells.</w:t>
            </w:r>
          </w:p>
          <w:p w:rsidR="008C6EDC" w:rsidRDefault="008C6EDC" w:rsidP="008C6EDC">
            <w:pPr>
              <w:jc w:val="both"/>
              <w:rPr>
                <w:rFonts w:cs="Arial"/>
              </w:rPr>
            </w:pPr>
          </w:p>
          <w:p w:rsidR="008C6EDC" w:rsidRDefault="008C6EDC" w:rsidP="008C6EDC">
            <w:pPr>
              <w:pStyle w:val="Header"/>
              <w:tabs>
                <w:tab w:val="clear" w:pos="4320"/>
                <w:tab w:val="clear" w:pos="8640"/>
              </w:tabs>
              <w:jc w:val="both"/>
              <w:rPr>
                <w:rFonts w:cs="Arial"/>
              </w:rPr>
            </w:pPr>
            <w:r>
              <w:rPr>
                <w:rFonts w:cs="Arial"/>
                <w:b/>
                <w:bCs/>
              </w:rPr>
              <w:t>Minimum volume:</w:t>
            </w:r>
            <w:r>
              <w:rPr>
                <w:rFonts w:cs="Arial"/>
              </w:rPr>
              <w:t xml:space="preserve"> </w:t>
            </w:r>
            <w:r w:rsidRPr="009F5F31">
              <w:rPr>
                <w:rFonts w:cs="Arial"/>
                <w:szCs w:val="20"/>
              </w:rPr>
              <w:t>200 µL preferred, 100 µL minimum</w:t>
            </w:r>
            <w:r w:rsidRPr="002C7912">
              <w:rPr>
                <w:rFonts w:cs="Arial"/>
                <w:b/>
              </w:rPr>
              <w:t xml:space="preserve"> </w:t>
            </w:r>
            <w:r>
              <w:rPr>
                <w:rFonts w:cs="Arial"/>
                <w:b/>
              </w:rPr>
              <w:tab/>
            </w:r>
            <w:r w:rsidRPr="002C7912">
              <w:rPr>
                <w:rFonts w:cs="Arial"/>
                <w:b/>
              </w:rPr>
              <w:t>Actual Test Volume:</w:t>
            </w:r>
            <w:r>
              <w:rPr>
                <w:rFonts w:cs="Arial"/>
              </w:rPr>
              <w:t xml:space="preserve"> 14.6 µL (35 µL secondary method)</w:t>
            </w:r>
          </w:p>
          <w:p w:rsidR="008C6EDC" w:rsidRDefault="008C6EDC" w:rsidP="008C6EDC">
            <w:pPr>
              <w:jc w:val="both"/>
              <w:rPr>
                <w:rFonts w:cs="Arial"/>
              </w:rPr>
            </w:pPr>
          </w:p>
          <w:p w:rsidR="008C6EDC" w:rsidRDefault="008C6EDC" w:rsidP="008C6EDC">
            <w:pPr>
              <w:pStyle w:val="Header"/>
              <w:tabs>
                <w:tab w:val="clear" w:pos="4320"/>
                <w:tab w:val="clear" w:pos="8640"/>
              </w:tabs>
              <w:jc w:val="both"/>
              <w:rPr>
                <w:rFonts w:cs="Arial"/>
              </w:rPr>
            </w:pPr>
            <w:r>
              <w:rPr>
                <w:rFonts w:cs="Arial"/>
                <w:b/>
                <w:bCs/>
              </w:rPr>
              <w:t>Stability:</w:t>
            </w:r>
            <w:r>
              <w:rPr>
                <w:rFonts w:cs="Arial"/>
              </w:rPr>
              <w:t xml:space="preserve"> 2-8 </w:t>
            </w:r>
            <w:r>
              <w:rPr>
                <w:rFonts w:cs="Arial"/>
              </w:rPr>
              <w:sym w:font="Symbol" w:char="F0B0"/>
            </w:r>
            <w:r>
              <w:rPr>
                <w:rFonts w:cs="Arial"/>
              </w:rPr>
              <w:t>C / 7 days, &lt; -20</w:t>
            </w:r>
            <w:r>
              <w:rPr>
                <w:rFonts w:cs="Arial"/>
              </w:rPr>
              <w:sym w:font="Symbol" w:char="F0B0"/>
            </w:r>
            <w:r>
              <w:rPr>
                <w:rFonts w:cs="Arial"/>
              </w:rPr>
              <w:t>C / 1 month (centrifuge thawed samples prior to use). Avoid repeated freeze thaw cycles.</w:t>
            </w:r>
          </w:p>
          <w:p w:rsidR="008C6EDC" w:rsidRDefault="008C6EDC" w:rsidP="008C6EDC">
            <w:pPr>
              <w:pStyle w:val="Header"/>
              <w:tabs>
                <w:tab w:val="clear" w:pos="4320"/>
                <w:tab w:val="clear" w:pos="8640"/>
              </w:tabs>
              <w:jc w:val="both"/>
              <w:rPr>
                <w:rFonts w:cs="Arial"/>
                <w:szCs w:val="14"/>
              </w:rPr>
            </w:pPr>
          </w:p>
          <w:p w:rsidR="008C6EDC" w:rsidRDefault="008C6EDC" w:rsidP="008C6EDC">
            <w:pPr>
              <w:jc w:val="both"/>
              <w:rPr>
                <w:rFonts w:cs="Arial"/>
              </w:rPr>
            </w:pPr>
            <w:r>
              <w:rPr>
                <w:rFonts w:cs="Arial"/>
                <w:b/>
                <w:bCs/>
              </w:rPr>
              <w:t>Rejection criteria:</w:t>
            </w:r>
            <w:r>
              <w:rPr>
                <w:rFonts w:cs="Arial"/>
              </w:rPr>
              <w:t xml:space="preserve"> Unlabeled tube, other than heparinized plasma, or serum</w:t>
            </w:r>
          </w:p>
          <w:p w:rsidR="008C6EDC" w:rsidRDefault="008C6EDC" w:rsidP="008C6EDC">
            <w:pPr>
              <w:jc w:val="both"/>
              <w:rPr>
                <w:rFonts w:cs="Arial"/>
                <w:b/>
                <w:bCs/>
                <w:szCs w:val="20"/>
              </w:rPr>
            </w:pPr>
          </w:p>
          <w:p w:rsidR="008C6EDC" w:rsidRPr="009F5F31" w:rsidRDefault="008C6EDC" w:rsidP="008C6EDC">
            <w:pPr>
              <w:jc w:val="both"/>
              <w:rPr>
                <w:rFonts w:cs="Arial"/>
                <w:szCs w:val="20"/>
              </w:rPr>
            </w:pPr>
            <w:r w:rsidRPr="009F5F31">
              <w:rPr>
                <w:rFonts w:cs="Arial"/>
                <w:b/>
                <w:bCs/>
                <w:szCs w:val="20"/>
              </w:rPr>
              <w:t>Preparation:</w:t>
            </w:r>
            <w:r w:rsidRPr="009F5F31">
              <w:rPr>
                <w:rFonts w:cs="Arial"/>
                <w:szCs w:val="20"/>
              </w:rPr>
              <w:t xml:space="preserve"> </w:t>
            </w:r>
          </w:p>
          <w:p w:rsidR="008C6EDC" w:rsidRPr="009F5F31" w:rsidRDefault="008C6EDC" w:rsidP="008C6EDC">
            <w:pPr>
              <w:numPr>
                <w:ilvl w:val="0"/>
                <w:numId w:val="14"/>
              </w:numPr>
              <w:jc w:val="both"/>
              <w:rPr>
                <w:rFonts w:cs="Arial"/>
                <w:szCs w:val="20"/>
              </w:rPr>
            </w:pPr>
            <w:r w:rsidRPr="009F5F31">
              <w:rPr>
                <w:rFonts w:cs="Arial"/>
                <w:szCs w:val="20"/>
              </w:rPr>
              <w:t>Whole blood specimens should be centrifuged following complete clot formation, according to Specimen Processing procedures prior to analysis.</w:t>
            </w:r>
          </w:p>
          <w:p w:rsidR="008C6EDC" w:rsidRDefault="008C6EDC" w:rsidP="008C6EDC">
            <w:pPr>
              <w:numPr>
                <w:ilvl w:val="0"/>
                <w:numId w:val="14"/>
              </w:numPr>
              <w:autoSpaceDE w:val="0"/>
              <w:autoSpaceDN w:val="0"/>
              <w:adjustRightInd w:val="0"/>
              <w:jc w:val="both"/>
              <w:rPr>
                <w:rFonts w:cs="Arial"/>
                <w:szCs w:val="20"/>
              </w:rPr>
            </w:pPr>
            <w:r w:rsidRPr="009F5F31">
              <w:rPr>
                <w:rFonts w:cs="Arial"/>
                <w:szCs w:val="20"/>
              </w:rPr>
              <w:t>Serum or plasma should be physically separated from cells as soon as possible with a maximum limit of two hours from the time of collection.</w:t>
            </w:r>
          </w:p>
          <w:p w:rsidR="00C0536C" w:rsidRPr="0006367E" w:rsidRDefault="00C0536C" w:rsidP="00C0536C">
            <w:pPr>
              <w:numPr>
                <w:ilvl w:val="0"/>
                <w:numId w:val="14"/>
              </w:numPr>
              <w:autoSpaceDE w:val="0"/>
              <w:autoSpaceDN w:val="0"/>
              <w:adjustRightInd w:val="0"/>
              <w:jc w:val="both"/>
              <w:rPr>
                <w:rFonts w:cs="Arial"/>
                <w:szCs w:val="20"/>
              </w:rPr>
            </w:pPr>
            <w:r>
              <w:rPr>
                <w:rFonts w:cs="Arial"/>
                <w:szCs w:val="20"/>
              </w:rPr>
              <w:t>Lipemic samples should be ultrafuged.</w:t>
            </w:r>
          </w:p>
          <w:p w:rsidR="008C6EDC" w:rsidRPr="009F5F31" w:rsidRDefault="008C6EDC" w:rsidP="008C6EDC">
            <w:pPr>
              <w:numPr>
                <w:ilvl w:val="0"/>
                <w:numId w:val="14"/>
              </w:numPr>
              <w:autoSpaceDE w:val="0"/>
              <w:autoSpaceDN w:val="0"/>
              <w:adjustRightInd w:val="0"/>
              <w:jc w:val="both"/>
              <w:rPr>
                <w:rFonts w:cs="Arial"/>
                <w:szCs w:val="20"/>
              </w:rPr>
            </w:pPr>
            <w:r w:rsidRPr="009F5F31">
              <w:rPr>
                <w:rFonts w:cs="Arial"/>
                <w:szCs w:val="20"/>
              </w:rPr>
              <w:t xml:space="preserve">Specimens should be free of particulate matter. </w:t>
            </w:r>
          </w:p>
          <w:p w:rsidR="008C6EDC" w:rsidRPr="009F5F31" w:rsidRDefault="008C6EDC" w:rsidP="008C6EDC">
            <w:pPr>
              <w:numPr>
                <w:ilvl w:val="0"/>
                <w:numId w:val="14"/>
              </w:numPr>
              <w:autoSpaceDE w:val="0"/>
              <w:autoSpaceDN w:val="0"/>
              <w:adjustRightInd w:val="0"/>
              <w:jc w:val="both"/>
              <w:rPr>
                <w:rFonts w:cs="Arial"/>
                <w:szCs w:val="20"/>
              </w:rPr>
            </w:pPr>
            <w:r w:rsidRPr="009F5F31">
              <w:rPr>
                <w:rFonts w:cs="Arial"/>
                <w:szCs w:val="20"/>
              </w:rPr>
              <w:t>Transfer serum or plasma to a properly labeled Siemens SSC nested on a bar-coded pilot tube. Minimum labeling includes sample accession ID, and/ or patient name, medical record number, collection date and time.</w:t>
            </w:r>
          </w:p>
          <w:p w:rsidR="008C6EDC" w:rsidRDefault="008C6EDC" w:rsidP="008C6EDC">
            <w:pPr>
              <w:autoSpaceDE w:val="0"/>
              <w:autoSpaceDN w:val="0"/>
              <w:adjustRightInd w:val="0"/>
              <w:jc w:val="both"/>
              <w:rPr>
                <w:rFonts w:cs="Arial"/>
              </w:rPr>
            </w:pPr>
          </w:p>
        </w:tc>
      </w:tr>
      <w:tr w:rsidR="00B816B4" w:rsidTr="00B816B4">
        <w:trPr>
          <w:trHeight w:val="5417"/>
          <w:tblHeader/>
        </w:trPr>
        <w:tc>
          <w:tcPr>
            <w:tcW w:w="2160" w:type="dxa"/>
          </w:tcPr>
          <w:p w:rsidR="00B816B4" w:rsidRDefault="00B816B4">
            <w:pPr>
              <w:rPr>
                <w:rFonts w:cs="Arial"/>
                <w:b/>
                <w:bCs/>
                <w:color w:val="0000FF"/>
              </w:rPr>
            </w:pPr>
          </w:p>
          <w:p w:rsidR="00B816B4" w:rsidRDefault="00B816B4">
            <w:pPr>
              <w:rPr>
                <w:rFonts w:cs="Arial"/>
                <w:b/>
                <w:bCs/>
                <w:color w:val="0000FF"/>
              </w:rPr>
            </w:pPr>
            <w:r>
              <w:rPr>
                <w:rFonts w:cs="Arial"/>
                <w:b/>
                <w:bCs/>
                <w:color w:val="0000FF"/>
              </w:rPr>
              <w:t>Reagents</w:t>
            </w:r>
          </w:p>
          <w:p w:rsidR="00B816B4" w:rsidRDefault="00B816B4">
            <w:pPr>
              <w:rPr>
                <w:rFonts w:cs="Arial"/>
                <w:b/>
                <w:bCs/>
                <w:color w:val="0000FF"/>
              </w:rPr>
            </w:pPr>
          </w:p>
        </w:tc>
        <w:tc>
          <w:tcPr>
            <w:tcW w:w="8910" w:type="dxa"/>
            <w:gridSpan w:val="4"/>
            <w:tcBorders>
              <w:top w:val="single" w:sz="18" w:space="0" w:color="BFBFBF"/>
              <w:bottom w:val="single" w:sz="18" w:space="0" w:color="BFBFBF"/>
            </w:tcBorders>
          </w:tcPr>
          <w:p w:rsidR="00B816B4" w:rsidRDefault="00B816B4" w:rsidP="008C6EDC">
            <w:pPr>
              <w:pStyle w:val="Reagents"/>
              <w:rPr>
                <w:rFonts w:ascii="Arial" w:hAnsi="Arial" w:cs="Arial"/>
                <w:b/>
                <w:bCs/>
                <w:color w:val="365F91"/>
              </w:rPr>
            </w:pPr>
          </w:p>
          <w:p w:rsidR="00B816B4" w:rsidRPr="00EF1741" w:rsidRDefault="00B816B4" w:rsidP="008C6EDC">
            <w:pPr>
              <w:pStyle w:val="Reagents"/>
              <w:rPr>
                <w:rFonts w:ascii="Arial" w:hAnsi="Arial" w:cs="Arial"/>
                <w:b/>
                <w:bCs/>
                <w:color w:val="365F91"/>
              </w:rPr>
            </w:pPr>
            <w:r w:rsidRPr="006D1E54">
              <w:rPr>
                <w:rFonts w:ascii="Arial" w:hAnsi="Arial" w:cs="Arial"/>
                <w:b/>
                <w:bCs/>
                <w:color w:val="365F91"/>
              </w:rPr>
              <w:t>PRIMARY METHOD:</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7"/>
              <w:gridCol w:w="1710"/>
              <w:gridCol w:w="4140"/>
              <w:gridCol w:w="393"/>
            </w:tblGrid>
            <w:tr w:rsidR="00B816B4">
              <w:tc>
                <w:tcPr>
                  <w:tcW w:w="2857" w:type="dxa"/>
                </w:tcPr>
                <w:p w:rsidR="00B816B4" w:rsidRDefault="00B816B4" w:rsidP="008C6EDC">
                  <w:pPr>
                    <w:pStyle w:val="Reagents"/>
                    <w:rPr>
                      <w:rFonts w:ascii="Arial" w:hAnsi="Arial" w:cs="Arial"/>
                      <w:b/>
                      <w:bCs/>
                    </w:rPr>
                  </w:pPr>
                  <w:r w:rsidRPr="006D1E54">
                    <w:rPr>
                      <w:rFonts w:ascii="Arial" w:hAnsi="Arial" w:cs="Arial"/>
                      <w:b/>
                      <w:bCs/>
                      <w:i/>
                      <w:iCs/>
                    </w:rPr>
                    <w:t>Product Description</w:t>
                  </w:r>
                </w:p>
              </w:tc>
              <w:tc>
                <w:tcPr>
                  <w:tcW w:w="1710" w:type="dxa"/>
                </w:tcPr>
                <w:p w:rsidR="00B816B4" w:rsidRDefault="00B816B4" w:rsidP="008C6EDC">
                  <w:pPr>
                    <w:pStyle w:val="Reagents"/>
                    <w:rPr>
                      <w:rFonts w:ascii="Arial" w:hAnsi="Arial" w:cs="Arial"/>
                      <w:b/>
                      <w:bCs/>
                    </w:rPr>
                  </w:pPr>
                  <w:r w:rsidRPr="006D1E54">
                    <w:rPr>
                      <w:rFonts w:ascii="Arial" w:hAnsi="Arial" w:cs="Arial"/>
                      <w:b/>
                      <w:bCs/>
                      <w:i/>
                      <w:iCs/>
                    </w:rPr>
                    <w:t xml:space="preserve">Product </w:t>
                  </w:r>
                  <w:r>
                    <w:rPr>
                      <w:rFonts w:ascii="Arial" w:hAnsi="Arial" w:cs="Arial"/>
                      <w:b/>
                      <w:bCs/>
                      <w:i/>
                      <w:iCs/>
                    </w:rPr>
                    <w:t>Code</w:t>
                  </w:r>
                </w:p>
              </w:tc>
              <w:tc>
                <w:tcPr>
                  <w:tcW w:w="4533" w:type="dxa"/>
                  <w:gridSpan w:val="2"/>
                </w:tcPr>
                <w:p w:rsidR="00B816B4" w:rsidRDefault="00B816B4" w:rsidP="008C6EDC">
                  <w:pPr>
                    <w:pStyle w:val="Reagents"/>
                    <w:rPr>
                      <w:rFonts w:ascii="Arial" w:hAnsi="Arial" w:cs="Arial"/>
                      <w:b/>
                      <w:bCs/>
                    </w:rPr>
                  </w:pPr>
                  <w:r w:rsidRPr="006D1E54">
                    <w:rPr>
                      <w:rFonts w:ascii="Arial" w:hAnsi="Arial" w:cs="Arial"/>
                      <w:b/>
                      <w:bCs/>
                      <w:i/>
                      <w:iCs/>
                    </w:rPr>
                    <w:t>Stability</w:t>
                  </w:r>
                </w:p>
              </w:tc>
            </w:tr>
            <w:tr w:rsidR="00B816B4" w:rsidRPr="00C709DD">
              <w:trPr>
                <w:gridAfter w:val="1"/>
                <w:wAfter w:w="393" w:type="dxa"/>
              </w:trPr>
              <w:tc>
                <w:tcPr>
                  <w:tcW w:w="2857" w:type="dxa"/>
                </w:tcPr>
                <w:p w:rsidR="00B816B4" w:rsidRPr="006A36C8" w:rsidRDefault="00B816B4" w:rsidP="008C6EDC">
                  <w:pPr>
                    <w:autoSpaceDE w:val="0"/>
                    <w:autoSpaceDN w:val="0"/>
                    <w:adjustRightInd w:val="0"/>
                    <w:rPr>
                      <w:rFonts w:cs="Arial"/>
                      <w:szCs w:val="20"/>
                    </w:rPr>
                  </w:pPr>
                  <w:r>
                    <w:rPr>
                      <w:rFonts w:cs="Arial"/>
                      <w:szCs w:val="20"/>
                    </w:rPr>
                    <w:t>ALTI Flex® reagent cartridge</w:t>
                  </w:r>
                </w:p>
                <w:p w:rsidR="00B816B4" w:rsidRPr="006A36C8" w:rsidRDefault="00B816B4" w:rsidP="008C6EDC">
                  <w:pPr>
                    <w:autoSpaceDE w:val="0"/>
                    <w:autoSpaceDN w:val="0"/>
                    <w:adjustRightInd w:val="0"/>
                    <w:rPr>
                      <w:rFonts w:cs="Arial"/>
                      <w:szCs w:val="20"/>
                    </w:rPr>
                  </w:pPr>
                </w:p>
                <w:p w:rsidR="00B816B4" w:rsidRPr="006A36C8" w:rsidRDefault="00B816B4" w:rsidP="008C6EDC">
                  <w:pPr>
                    <w:autoSpaceDE w:val="0"/>
                    <w:autoSpaceDN w:val="0"/>
                    <w:adjustRightInd w:val="0"/>
                    <w:rPr>
                      <w:rFonts w:cs="Arial"/>
                      <w:szCs w:val="20"/>
                    </w:rPr>
                  </w:pPr>
                </w:p>
              </w:tc>
              <w:tc>
                <w:tcPr>
                  <w:tcW w:w="1710" w:type="dxa"/>
                </w:tcPr>
                <w:p w:rsidR="00B816B4" w:rsidRPr="006A36C8" w:rsidRDefault="00B816B4" w:rsidP="008C6EDC">
                  <w:pPr>
                    <w:pStyle w:val="BodyText"/>
                    <w:tabs>
                      <w:tab w:val="left" w:pos="3240"/>
                    </w:tabs>
                    <w:rPr>
                      <w:rFonts w:cs="Arial"/>
                      <w:szCs w:val="20"/>
                    </w:rPr>
                  </w:pPr>
                  <w:r w:rsidRPr="006A36C8">
                    <w:rPr>
                      <w:rFonts w:cs="Arial"/>
                      <w:szCs w:val="20"/>
                    </w:rPr>
                    <w:t>K2143</w:t>
                  </w:r>
                </w:p>
              </w:tc>
              <w:tc>
                <w:tcPr>
                  <w:tcW w:w="4140" w:type="dxa"/>
                  <w:vAlign w:val="center"/>
                </w:tcPr>
                <w:p w:rsidR="00B816B4" w:rsidRPr="00214007" w:rsidRDefault="00B816B4" w:rsidP="008C6EDC">
                  <w:pPr>
                    <w:pStyle w:val="Reagents"/>
                    <w:spacing w:after="80"/>
                    <w:jc w:val="both"/>
                    <w:rPr>
                      <w:rFonts w:ascii="Arial" w:hAnsi="Arial" w:cs="Arial"/>
                      <w:bCs/>
                    </w:rPr>
                  </w:pPr>
                  <w:r w:rsidRPr="00214007">
                    <w:rPr>
                      <w:rFonts w:ascii="Arial" w:hAnsi="Arial" w:cs="Arial"/>
                      <w:b/>
                      <w:bCs/>
                    </w:rPr>
                    <w:t>Store at:</w:t>
                  </w:r>
                  <w:r w:rsidRPr="00214007">
                    <w:rPr>
                      <w:rFonts w:ascii="Arial" w:hAnsi="Arial" w:cs="Arial"/>
                      <w:bCs/>
                    </w:rPr>
                    <w:t xml:space="preserve"> 2 – 8 °C</w:t>
                  </w:r>
                </w:p>
                <w:p w:rsidR="00B816B4" w:rsidRPr="00214007" w:rsidRDefault="00B816B4" w:rsidP="008C6EDC">
                  <w:pPr>
                    <w:pStyle w:val="Reagents"/>
                    <w:spacing w:after="80"/>
                    <w:jc w:val="both"/>
                    <w:rPr>
                      <w:rFonts w:ascii="Arial" w:hAnsi="Arial" w:cs="Arial"/>
                      <w:bCs/>
                    </w:rPr>
                  </w:pPr>
                  <w:r w:rsidRPr="00214007">
                    <w:rPr>
                      <w:rFonts w:ascii="Arial" w:hAnsi="Arial" w:cs="Arial"/>
                      <w:b/>
                      <w:bCs/>
                    </w:rPr>
                    <w:t xml:space="preserve">Unopened: </w:t>
                  </w:r>
                  <w:r w:rsidRPr="00214007">
                    <w:rPr>
                      <w:rFonts w:ascii="Arial" w:hAnsi="Arial" w:cs="Arial"/>
                      <w:bCs/>
                    </w:rPr>
                    <w:t>Date on carton.</w:t>
                  </w:r>
                </w:p>
                <w:p w:rsidR="00B816B4" w:rsidRPr="00214007" w:rsidRDefault="00B816B4" w:rsidP="008C6EDC">
                  <w:pPr>
                    <w:autoSpaceDE w:val="0"/>
                    <w:autoSpaceDN w:val="0"/>
                    <w:adjustRightInd w:val="0"/>
                    <w:spacing w:after="80"/>
                    <w:jc w:val="both"/>
                    <w:rPr>
                      <w:rFonts w:cs="Arial"/>
                      <w:szCs w:val="20"/>
                    </w:rPr>
                  </w:pPr>
                  <w:r w:rsidRPr="00214007">
                    <w:rPr>
                      <w:rFonts w:cs="Arial"/>
                      <w:b/>
                      <w:bCs/>
                      <w:szCs w:val="20"/>
                    </w:rPr>
                    <w:t xml:space="preserve">On-board: </w:t>
                  </w:r>
                  <w:r w:rsidRPr="00214007">
                    <w:rPr>
                      <w:rFonts w:cs="Arial"/>
                      <w:szCs w:val="20"/>
                    </w:rPr>
                    <w:t>Sealed wells on</w:t>
                  </w:r>
                  <w:r>
                    <w:rPr>
                      <w:rFonts w:cs="Arial"/>
                      <w:szCs w:val="20"/>
                    </w:rPr>
                    <w:t xml:space="preserve"> </w:t>
                  </w:r>
                  <w:r w:rsidRPr="00214007">
                    <w:rPr>
                      <w:rFonts w:cs="Arial"/>
                      <w:szCs w:val="20"/>
                    </w:rPr>
                    <w:t>the instrument are stable for 30 days.</w:t>
                  </w:r>
                </w:p>
                <w:p w:rsidR="00B816B4" w:rsidRPr="00214007" w:rsidRDefault="00B816B4" w:rsidP="008C6EDC">
                  <w:pPr>
                    <w:spacing w:after="80"/>
                    <w:jc w:val="both"/>
                    <w:rPr>
                      <w:rFonts w:cs="Arial"/>
                      <w:szCs w:val="20"/>
                    </w:rPr>
                  </w:pPr>
                  <w:r w:rsidRPr="00214007">
                    <w:rPr>
                      <w:rFonts w:cs="Arial"/>
                      <w:b/>
                      <w:bCs/>
                      <w:szCs w:val="20"/>
                    </w:rPr>
                    <w:t xml:space="preserve">Open Well Stability: </w:t>
                  </w:r>
                  <w:r>
                    <w:rPr>
                      <w:rFonts w:cs="Arial"/>
                      <w:szCs w:val="20"/>
                    </w:rPr>
                    <w:t>10</w:t>
                  </w:r>
                  <w:r w:rsidRPr="00214007">
                    <w:rPr>
                      <w:rFonts w:cs="Arial"/>
                      <w:szCs w:val="20"/>
                    </w:rPr>
                    <w:t xml:space="preserve"> days for wells 1–2</w:t>
                  </w:r>
                  <w:r>
                    <w:rPr>
                      <w:rFonts w:cs="Arial"/>
                      <w:szCs w:val="20"/>
                    </w:rPr>
                    <w:t>, 11 – 12, 5 days for wells 3 - 10</w:t>
                  </w:r>
                </w:p>
              </w:tc>
            </w:tr>
            <w:tr w:rsidR="00B816B4" w:rsidRPr="007B2A3E">
              <w:trPr>
                <w:gridAfter w:val="1"/>
                <w:wAfter w:w="393" w:type="dxa"/>
              </w:trPr>
              <w:tc>
                <w:tcPr>
                  <w:tcW w:w="2857" w:type="dxa"/>
                </w:tcPr>
                <w:p w:rsidR="00B816B4" w:rsidRPr="006A36C8" w:rsidRDefault="00B816B4" w:rsidP="008C6EDC">
                  <w:pPr>
                    <w:pStyle w:val="BodyText"/>
                    <w:rPr>
                      <w:rFonts w:cs="Arial"/>
                      <w:szCs w:val="20"/>
                    </w:rPr>
                  </w:pPr>
                  <w:r w:rsidRPr="006A36C8">
                    <w:rPr>
                      <w:rFonts w:cs="Arial"/>
                      <w:szCs w:val="20"/>
                    </w:rPr>
                    <w:t>ENZ 2 CAL – ready for use</w:t>
                  </w:r>
                </w:p>
                <w:p w:rsidR="00B816B4" w:rsidRPr="006A36C8" w:rsidRDefault="00B816B4" w:rsidP="008C6EDC">
                  <w:pPr>
                    <w:pStyle w:val="BodyText"/>
                    <w:rPr>
                      <w:rFonts w:cs="Arial"/>
                      <w:szCs w:val="20"/>
                    </w:rPr>
                  </w:pPr>
                  <w:r>
                    <w:rPr>
                      <w:rFonts w:cs="Arial"/>
                      <w:szCs w:val="20"/>
                    </w:rPr>
                    <w:t xml:space="preserve">Standardized </w:t>
                  </w:r>
                  <w:r w:rsidRPr="006A36C8">
                    <w:rPr>
                      <w:rFonts w:cs="Arial"/>
                      <w:szCs w:val="20"/>
                    </w:rPr>
                    <w:t xml:space="preserve">IFCC </w:t>
                  </w:r>
                  <w:r>
                    <w:rPr>
                      <w:rFonts w:cs="Arial"/>
                      <w:szCs w:val="20"/>
                    </w:rPr>
                    <w:t>at</w:t>
                  </w:r>
                  <w:r w:rsidRPr="006A36C8">
                    <w:rPr>
                      <w:rFonts w:cs="Arial"/>
                      <w:szCs w:val="20"/>
                    </w:rPr>
                    <w:t xml:space="preserve"> 37 </w:t>
                  </w:r>
                  <w:r w:rsidRPr="006A36C8">
                    <w:rPr>
                      <w:rFonts w:cs="Arial"/>
                      <w:szCs w:val="20"/>
                    </w:rPr>
                    <w:sym w:font="Symbol" w:char="F0B0"/>
                  </w:r>
                  <w:r w:rsidRPr="006A36C8">
                    <w:rPr>
                      <w:rFonts w:cs="Arial"/>
                      <w:szCs w:val="20"/>
                    </w:rPr>
                    <w:t xml:space="preserve"> C primary reference method</w:t>
                  </w:r>
                </w:p>
              </w:tc>
              <w:tc>
                <w:tcPr>
                  <w:tcW w:w="1710" w:type="dxa"/>
                </w:tcPr>
                <w:p w:rsidR="00B816B4" w:rsidRPr="006A36C8" w:rsidRDefault="00B816B4" w:rsidP="008C6EDC">
                  <w:pPr>
                    <w:pStyle w:val="BodyText"/>
                    <w:rPr>
                      <w:rFonts w:cs="Arial"/>
                      <w:szCs w:val="20"/>
                    </w:rPr>
                  </w:pPr>
                  <w:r w:rsidRPr="006A36C8">
                    <w:rPr>
                      <w:rFonts w:cs="Arial"/>
                      <w:szCs w:val="20"/>
                    </w:rPr>
                    <w:t>KC321</w:t>
                  </w:r>
                </w:p>
              </w:tc>
              <w:tc>
                <w:tcPr>
                  <w:tcW w:w="4140" w:type="dxa"/>
                  <w:vAlign w:val="center"/>
                </w:tcPr>
                <w:p w:rsidR="00B816B4" w:rsidRPr="007B2A3E" w:rsidRDefault="00B816B4" w:rsidP="008C6EDC">
                  <w:pPr>
                    <w:pStyle w:val="Reagents"/>
                    <w:spacing w:after="80"/>
                    <w:jc w:val="both"/>
                    <w:rPr>
                      <w:rFonts w:ascii="Arial" w:hAnsi="Arial" w:cs="Arial"/>
                      <w:bCs/>
                    </w:rPr>
                  </w:pPr>
                  <w:r w:rsidRPr="007B2A3E">
                    <w:rPr>
                      <w:rFonts w:ascii="Arial" w:hAnsi="Arial" w:cs="Arial"/>
                      <w:b/>
                      <w:bCs/>
                    </w:rPr>
                    <w:t>Store at:</w:t>
                  </w:r>
                  <w:r w:rsidRPr="007B2A3E">
                    <w:rPr>
                      <w:rFonts w:ascii="Arial" w:hAnsi="Arial" w:cs="Arial"/>
                      <w:bCs/>
                    </w:rPr>
                    <w:t xml:space="preserve"> 2 – 8 °C</w:t>
                  </w:r>
                </w:p>
                <w:p w:rsidR="00B816B4" w:rsidRPr="007B2A3E" w:rsidRDefault="00B816B4" w:rsidP="008C6EDC">
                  <w:pPr>
                    <w:pStyle w:val="Reagents"/>
                    <w:spacing w:after="80"/>
                    <w:jc w:val="both"/>
                    <w:rPr>
                      <w:rFonts w:ascii="Arial" w:hAnsi="Arial" w:cs="Arial"/>
                      <w:bCs/>
                    </w:rPr>
                  </w:pPr>
                  <w:r w:rsidRPr="007B2A3E">
                    <w:rPr>
                      <w:rFonts w:ascii="Arial" w:hAnsi="Arial" w:cs="Arial"/>
                      <w:b/>
                      <w:bCs/>
                    </w:rPr>
                    <w:t xml:space="preserve">Unopened: </w:t>
                  </w:r>
                  <w:r w:rsidRPr="007B2A3E">
                    <w:rPr>
                      <w:rFonts w:ascii="Arial" w:hAnsi="Arial" w:cs="Arial"/>
                      <w:bCs/>
                    </w:rPr>
                    <w:t>Date on carton.</w:t>
                  </w:r>
                </w:p>
                <w:p w:rsidR="00B816B4" w:rsidRPr="007B2A3E" w:rsidRDefault="00B816B4" w:rsidP="008C6EDC">
                  <w:pPr>
                    <w:pStyle w:val="Reagents"/>
                    <w:spacing w:after="80"/>
                    <w:jc w:val="both"/>
                    <w:rPr>
                      <w:rFonts w:ascii="Arial" w:hAnsi="Arial" w:cs="Arial"/>
                      <w:bCs/>
                    </w:rPr>
                  </w:pPr>
                  <w:r w:rsidRPr="007B2A3E">
                    <w:rPr>
                      <w:rFonts w:ascii="Arial" w:hAnsi="Arial" w:cs="Arial"/>
                      <w:b/>
                      <w:bCs/>
                    </w:rPr>
                    <w:t>On board:</w:t>
                  </w:r>
                  <w:r w:rsidRPr="007B2A3E">
                    <w:rPr>
                      <w:rFonts w:ascii="Arial" w:hAnsi="Arial" w:cs="Arial"/>
                      <w:bCs/>
                    </w:rPr>
                    <w:t xml:space="preserve"> 7 days</w:t>
                  </w:r>
                </w:p>
                <w:p w:rsidR="00B816B4" w:rsidRPr="007B2A3E" w:rsidRDefault="00B816B4" w:rsidP="008C6EDC">
                  <w:pPr>
                    <w:pStyle w:val="BodyText"/>
                    <w:spacing w:after="80"/>
                    <w:jc w:val="both"/>
                    <w:rPr>
                      <w:rFonts w:cs="Arial"/>
                      <w:szCs w:val="20"/>
                    </w:rPr>
                  </w:pPr>
                  <w:r w:rsidRPr="007B2A3E">
                    <w:rPr>
                      <w:rFonts w:cs="Arial"/>
                      <w:b/>
                      <w:bCs/>
                      <w:szCs w:val="20"/>
                    </w:rPr>
                    <w:t xml:space="preserve">Opened: </w:t>
                  </w:r>
                  <w:r w:rsidRPr="007B2A3E">
                    <w:rPr>
                      <w:rFonts w:cs="Arial"/>
                      <w:szCs w:val="20"/>
                    </w:rPr>
                    <w:t>3</w:t>
                  </w:r>
                  <w:r>
                    <w:rPr>
                      <w:rFonts w:cs="Arial"/>
                      <w:szCs w:val="20"/>
                    </w:rPr>
                    <w:t>0</w:t>
                  </w:r>
                  <w:r w:rsidRPr="007B2A3E">
                    <w:rPr>
                      <w:rFonts w:cs="Arial"/>
                      <w:szCs w:val="20"/>
                    </w:rPr>
                    <w:t xml:space="preserve"> days recapped and stored at </w:t>
                  </w:r>
                  <w:r w:rsidRPr="007B2A3E">
                    <w:rPr>
                      <w:rFonts w:cs="Arial"/>
                      <w:bCs/>
                      <w:szCs w:val="20"/>
                    </w:rPr>
                    <w:t>2 – 8 °C. Do not use this vial on board.</w:t>
                  </w:r>
                </w:p>
              </w:tc>
            </w:tr>
          </w:tbl>
          <w:p w:rsidR="00B816B4" w:rsidRDefault="00B816B4" w:rsidP="008C6EDC">
            <w:pPr>
              <w:pStyle w:val="Header"/>
              <w:tabs>
                <w:tab w:val="clear" w:pos="4320"/>
                <w:tab w:val="clear" w:pos="8640"/>
              </w:tabs>
              <w:rPr>
                <w:rFonts w:cs="Arial"/>
              </w:rPr>
            </w:pPr>
          </w:p>
        </w:tc>
      </w:tr>
      <w:tr w:rsidR="008C6EDC" w:rsidTr="00B816B4">
        <w:trPr>
          <w:trHeight w:val="4940"/>
          <w:tblHeader/>
        </w:trPr>
        <w:tc>
          <w:tcPr>
            <w:tcW w:w="2160" w:type="dxa"/>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Reagents (cont)</w:t>
            </w:r>
          </w:p>
          <w:p w:rsidR="008C6EDC" w:rsidRDefault="008C6EDC">
            <w:pPr>
              <w:rPr>
                <w:rFonts w:cs="Arial"/>
                <w:b/>
                <w:bCs/>
                <w:color w:val="0000FF"/>
              </w:rPr>
            </w:pPr>
          </w:p>
        </w:tc>
        <w:tc>
          <w:tcPr>
            <w:tcW w:w="8910" w:type="dxa"/>
            <w:gridSpan w:val="4"/>
            <w:tcBorders>
              <w:top w:val="single" w:sz="18" w:space="0" w:color="BFBFBF"/>
              <w:bottom w:val="single" w:sz="18" w:space="0" w:color="BFBFBF"/>
            </w:tcBorders>
            <w:vAlign w:val="center"/>
          </w:tcPr>
          <w:p w:rsidR="008C6EDC" w:rsidRPr="006D1E54" w:rsidRDefault="008C6EDC" w:rsidP="008C6EDC">
            <w:pPr>
              <w:pStyle w:val="Reagents"/>
              <w:rPr>
                <w:rFonts w:ascii="Arial" w:hAnsi="Arial" w:cs="Arial"/>
                <w:b/>
                <w:color w:val="76923C"/>
              </w:rPr>
            </w:pPr>
            <w:r w:rsidRPr="006D1E54">
              <w:rPr>
                <w:rFonts w:ascii="Arial" w:hAnsi="Arial" w:cs="Arial"/>
                <w:b/>
                <w:color w:val="76923C"/>
              </w:rPr>
              <w:t>SECONDARY METHOD:</w:t>
            </w:r>
          </w:p>
          <w:tbl>
            <w:tblPr>
              <w:tblW w:w="9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57"/>
              <w:gridCol w:w="1710"/>
              <w:gridCol w:w="4140"/>
              <w:gridCol w:w="422"/>
            </w:tblGrid>
            <w:tr w:rsidR="008C6EDC">
              <w:tc>
                <w:tcPr>
                  <w:tcW w:w="2857" w:type="dxa"/>
                </w:tcPr>
                <w:p w:rsidR="008C6EDC" w:rsidRPr="00EF1741" w:rsidRDefault="008C6EDC" w:rsidP="008C6EDC">
                  <w:pPr>
                    <w:pStyle w:val="Reagents"/>
                    <w:rPr>
                      <w:rFonts w:ascii="Arial" w:hAnsi="Arial" w:cs="Arial"/>
                    </w:rPr>
                  </w:pPr>
                  <w:r w:rsidRPr="00EF1741">
                    <w:rPr>
                      <w:rFonts w:ascii="Arial" w:hAnsi="Arial" w:cs="Arial"/>
                      <w:b/>
                      <w:bCs/>
                      <w:i/>
                      <w:iCs/>
                    </w:rPr>
                    <w:t>Product Description</w:t>
                  </w:r>
                </w:p>
              </w:tc>
              <w:tc>
                <w:tcPr>
                  <w:tcW w:w="1710" w:type="dxa"/>
                </w:tcPr>
                <w:p w:rsidR="008C6EDC" w:rsidRPr="00EF1741" w:rsidRDefault="008C6EDC" w:rsidP="008C6EDC">
                  <w:pPr>
                    <w:pStyle w:val="Reagents"/>
                    <w:rPr>
                      <w:rFonts w:ascii="Arial" w:hAnsi="Arial" w:cs="Arial"/>
                    </w:rPr>
                  </w:pPr>
                  <w:r w:rsidRPr="00EF1741">
                    <w:rPr>
                      <w:rFonts w:ascii="Arial" w:hAnsi="Arial" w:cs="Arial"/>
                      <w:b/>
                      <w:bCs/>
                      <w:i/>
                      <w:iCs/>
                    </w:rPr>
                    <w:t>Product Code</w:t>
                  </w:r>
                </w:p>
              </w:tc>
              <w:tc>
                <w:tcPr>
                  <w:tcW w:w="4562" w:type="dxa"/>
                  <w:gridSpan w:val="2"/>
                </w:tcPr>
                <w:p w:rsidR="008C6EDC" w:rsidRPr="00EF1741" w:rsidRDefault="008C6EDC" w:rsidP="008C6EDC">
                  <w:pPr>
                    <w:pStyle w:val="Reagents"/>
                    <w:rPr>
                      <w:rFonts w:ascii="Arial" w:hAnsi="Arial" w:cs="Arial"/>
                    </w:rPr>
                  </w:pPr>
                  <w:r w:rsidRPr="00EF1741">
                    <w:rPr>
                      <w:rFonts w:ascii="Arial" w:hAnsi="Arial" w:cs="Arial"/>
                      <w:b/>
                      <w:bCs/>
                      <w:i/>
                      <w:iCs/>
                    </w:rPr>
                    <w:t>Stability</w:t>
                  </w:r>
                </w:p>
              </w:tc>
            </w:tr>
            <w:tr w:rsidR="008C6EDC">
              <w:trPr>
                <w:gridAfter w:val="1"/>
                <w:wAfter w:w="422" w:type="dxa"/>
                <w:trHeight w:val="1592"/>
              </w:trPr>
              <w:tc>
                <w:tcPr>
                  <w:tcW w:w="2857" w:type="dxa"/>
                </w:tcPr>
                <w:p w:rsidR="008C6EDC" w:rsidRPr="006A36C8" w:rsidRDefault="008C6EDC" w:rsidP="008C6EDC">
                  <w:pPr>
                    <w:pStyle w:val="Reagents"/>
                    <w:rPr>
                      <w:rFonts w:ascii="Arial" w:hAnsi="Arial" w:cs="Arial"/>
                    </w:rPr>
                  </w:pPr>
                  <w:r w:rsidRPr="006A36C8">
                    <w:rPr>
                      <w:rFonts w:ascii="Arial" w:hAnsi="Arial" w:cs="Arial"/>
                    </w:rPr>
                    <w:t>ALTI Flex® reagent cartridge</w:t>
                  </w:r>
                </w:p>
              </w:tc>
              <w:tc>
                <w:tcPr>
                  <w:tcW w:w="1710" w:type="dxa"/>
                </w:tcPr>
                <w:p w:rsidR="008C6EDC" w:rsidRPr="006A36C8" w:rsidRDefault="008C6EDC" w:rsidP="008C6EDC">
                  <w:pPr>
                    <w:pStyle w:val="Reagents"/>
                    <w:rPr>
                      <w:rFonts w:ascii="Arial" w:hAnsi="Arial" w:cs="Arial"/>
                    </w:rPr>
                  </w:pPr>
                  <w:r w:rsidRPr="006A36C8">
                    <w:rPr>
                      <w:rFonts w:ascii="Arial" w:hAnsi="Arial" w:cs="Arial"/>
                    </w:rPr>
                    <w:t>DF143</w:t>
                  </w:r>
                </w:p>
              </w:tc>
              <w:tc>
                <w:tcPr>
                  <w:tcW w:w="4140" w:type="dxa"/>
                  <w:vAlign w:val="center"/>
                </w:tcPr>
                <w:p w:rsidR="008C6EDC" w:rsidRPr="00CF08A6" w:rsidRDefault="008C6EDC" w:rsidP="008C6EDC">
                  <w:pPr>
                    <w:pStyle w:val="Reagents"/>
                    <w:spacing w:after="80"/>
                    <w:rPr>
                      <w:rFonts w:ascii="Arial" w:hAnsi="Arial" w:cs="Arial"/>
                      <w:bCs/>
                    </w:rPr>
                  </w:pPr>
                  <w:r w:rsidRPr="00CF08A6">
                    <w:rPr>
                      <w:rFonts w:ascii="Arial" w:hAnsi="Arial" w:cs="Arial"/>
                      <w:b/>
                      <w:bCs/>
                    </w:rPr>
                    <w:t>Store at:</w:t>
                  </w:r>
                  <w:r w:rsidRPr="00CF08A6">
                    <w:rPr>
                      <w:rFonts w:ascii="Arial" w:hAnsi="Arial" w:cs="Arial"/>
                      <w:bCs/>
                    </w:rPr>
                    <w:t xml:space="preserve"> 2 – 8 °C</w:t>
                  </w:r>
                </w:p>
                <w:p w:rsidR="008C6EDC" w:rsidRPr="00CF08A6" w:rsidRDefault="008C6EDC" w:rsidP="008C6EDC">
                  <w:pPr>
                    <w:autoSpaceDE w:val="0"/>
                    <w:autoSpaceDN w:val="0"/>
                    <w:adjustRightInd w:val="0"/>
                    <w:spacing w:after="80"/>
                    <w:rPr>
                      <w:rFonts w:cs="Arial"/>
                      <w:bCs/>
                    </w:rPr>
                  </w:pPr>
                  <w:r w:rsidRPr="00CF08A6">
                    <w:rPr>
                      <w:rFonts w:cs="Arial"/>
                      <w:b/>
                      <w:bCs/>
                    </w:rPr>
                    <w:t xml:space="preserve">Unopened: </w:t>
                  </w:r>
                  <w:r w:rsidRPr="00CF08A6">
                    <w:rPr>
                      <w:rFonts w:cs="Arial"/>
                      <w:bCs/>
                    </w:rPr>
                    <w:t>Date on carton.</w:t>
                  </w:r>
                </w:p>
                <w:p w:rsidR="008C6EDC" w:rsidRPr="00CF08A6" w:rsidRDefault="008C6EDC" w:rsidP="008C6EDC">
                  <w:pPr>
                    <w:autoSpaceDE w:val="0"/>
                    <w:autoSpaceDN w:val="0"/>
                    <w:adjustRightInd w:val="0"/>
                    <w:spacing w:after="80"/>
                    <w:rPr>
                      <w:rFonts w:cs="Arial"/>
                      <w:szCs w:val="20"/>
                    </w:rPr>
                  </w:pPr>
                  <w:r w:rsidRPr="00CF08A6">
                    <w:rPr>
                      <w:rFonts w:cs="Arial"/>
                      <w:b/>
                      <w:bCs/>
                      <w:szCs w:val="20"/>
                    </w:rPr>
                    <w:t xml:space="preserve">On-board: </w:t>
                  </w:r>
                  <w:r w:rsidRPr="00CF08A6">
                    <w:rPr>
                      <w:rFonts w:cs="Arial"/>
                      <w:szCs w:val="20"/>
                    </w:rPr>
                    <w:t>Sealed wells on the instrument are stable for 30 days.</w:t>
                  </w:r>
                </w:p>
                <w:p w:rsidR="000625DB" w:rsidRPr="00CF08A6" w:rsidRDefault="008C6EDC" w:rsidP="008C6EDC">
                  <w:pPr>
                    <w:pStyle w:val="Reagents"/>
                    <w:spacing w:after="80"/>
                    <w:rPr>
                      <w:rFonts w:ascii="Arial" w:hAnsi="Arial" w:cs="Arial"/>
                    </w:rPr>
                  </w:pPr>
                  <w:r w:rsidRPr="00CF08A6">
                    <w:rPr>
                      <w:rFonts w:ascii="Arial" w:hAnsi="Arial" w:cs="Arial"/>
                      <w:b/>
                      <w:bCs/>
                    </w:rPr>
                    <w:t xml:space="preserve">Open well stability: </w:t>
                  </w:r>
                  <w:r w:rsidRPr="00CF08A6">
                    <w:rPr>
                      <w:rFonts w:ascii="Arial" w:hAnsi="Arial" w:cs="Arial"/>
                    </w:rPr>
                    <w:t xml:space="preserve">3 days for wells 1 </w:t>
                  </w:r>
                  <w:r w:rsidR="000625DB">
                    <w:rPr>
                      <w:rFonts w:ascii="Arial" w:hAnsi="Arial" w:cs="Arial"/>
                    </w:rPr>
                    <w:t>–</w:t>
                  </w:r>
                  <w:r w:rsidRPr="00CF08A6">
                    <w:rPr>
                      <w:rFonts w:ascii="Arial" w:hAnsi="Arial" w:cs="Arial"/>
                    </w:rPr>
                    <w:t xml:space="preserve"> 6</w:t>
                  </w:r>
                  <w:r w:rsidR="000625DB">
                    <w:rPr>
                      <w:rFonts w:ascii="Arial" w:hAnsi="Arial" w:cs="Arial"/>
                    </w:rPr>
                    <w:t>, 30 days for wells 7-8</w:t>
                  </w:r>
                </w:p>
              </w:tc>
            </w:tr>
            <w:tr w:rsidR="008C6EDC">
              <w:trPr>
                <w:gridAfter w:val="1"/>
                <w:wAfter w:w="422" w:type="dxa"/>
                <w:trHeight w:val="1223"/>
              </w:trPr>
              <w:tc>
                <w:tcPr>
                  <w:tcW w:w="2857" w:type="dxa"/>
                </w:tcPr>
                <w:p w:rsidR="008C6EDC" w:rsidRPr="006A36C8" w:rsidRDefault="008C6EDC" w:rsidP="008C6EDC">
                  <w:pPr>
                    <w:pStyle w:val="Reagents"/>
                    <w:rPr>
                      <w:rFonts w:ascii="Arial" w:hAnsi="Arial" w:cs="Arial"/>
                    </w:rPr>
                  </w:pPr>
                  <w:r w:rsidRPr="006A36C8">
                    <w:rPr>
                      <w:rFonts w:ascii="Arial" w:hAnsi="Arial" w:cs="Arial"/>
                    </w:rPr>
                    <w:t>Enzyme II Calibrator – ready to use.</w:t>
                  </w:r>
                </w:p>
              </w:tc>
              <w:tc>
                <w:tcPr>
                  <w:tcW w:w="1710" w:type="dxa"/>
                </w:tcPr>
                <w:p w:rsidR="008C6EDC" w:rsidRPr="006A36C8" w:rsidRDefault="008C6EDC" w:rsidP="008C6EDC">
                  <w:pPr>
                    <w:pStyle w:val="Reagents"/>
                    <w:rPr>
                      <w:rFonts w:ascii="Arial" w:hAnsi="Arial" w:cs="Arial"/>
                    </w:rPr>
                  </w:pPr>
                  <w:r w:rsidRPr="006A36C8">
                    <w:rPr>
                      <w:rFonts w:ascii="Arial" w:hAnsi="Arial" w:cs="Arial"/>
                    </w:rPr>
                    <w:t>DC143</w:t>
                  </w:r>
                </w:p>
              </w:tc>
              <w:tc>
                <w:tcPr>
                  <w:tcW w:w="4140" w:type="dxa"/>
                  <w:vAlign w:val="center"/>
                </w:tcPr>
                <w:p w:rsidR="008C6EDC" w:rsidRPr="00CF08A6" w:rsidRDefault="008C6EDC" w:rsidP="008C6EDC">
                  <w:pPr>
                    <w:pStyle w:val="Reagents"/>
                    <w:spacing w:after="80"/>
                    <w:rPr>
                      <w:rFonts w:ascii="Arial" w:hAnsi="Arial" w:cs="Arial"/>
                    </w:rPr>
                  </w:pPr>
                  <w:r w:rsidRPr="00CF08A6">
                    <w:rPr>
                      <w:rFonts w:ascii="Arial" w:hAnsi="Arial" w:cs="Arial"/>
                      <w:b/>
                    </w:rPr>
                    <w:t>Store at</w:t>
                  </w:r>
                  <w:r w:rsidRPr="00CF08A6">
                    <w:rPr>
                      <w:rFonts w:ascii="Arial" w:hAnsi="Arial" w:cs="Arial"/>
                    </w:rPr>
                    <w:t xml:space="preserve"> 2 – 8°C</w:t>
                  </w:r>
                </w:p>
                <w:p w:rsidR="008C6EDC" w:rsidRPr="00CF08A6" w:rsidRDefault="008C6EDC" w:rsidP="008C6EDC">
                  <w:pPr>
                    <w:pStyle w:val="Reagents"/>
                    <w:spacing w:after="80"/>
                    <w:rPr>
                      <w:rFonts w:ascii="Arial" w:hAnsi="Arial" w:cs="Arial"/>
                      <w:bCs/>
                    </w:rPr>
                  </w:pPr>
                  <w:r w:rsidRPr="00CF08A6">
                    <w:rPr>
                      <w:rFonts w:ascii="Arial" w:hAnsi="Arial" w:cs="Arial"/>
                      <w:b/>
                      <w:bCs/>
                    </w:rPr>
                    <w:t xml:space="preserve">Unopened: </w:t>
                  </w:r>
                  <w:r w:rsidRPr="00CF08A6">
                    <w:rPr>
                      <w:rFonts w:ascii="Arial" w:hAnsi="Arial" w:cs="Arial"/>
                      <w:bCs/>
                    </w:rPr>
                    <w:t>Date on carton.</w:t>
                  </w:r>
                </w:p>
                <w:p w:rsidR="008C6EDC" w:rsidRPr="00CF08A6" w:rsidRDefault="008C6EDC" w:rsidP="008C6EDC">
                  <w:pPr>
                    <w:pStyle w:val="Reagents"/>
                    <w:spacing w:after="80"/>
                    <w:rPr>
                      <w:rFonts w:ascii="Arial" w:hAnsi="Arial" w:cs="Arial"/>
                    </w:rPr>
                  </w:pPr>
                  <w:r w:rsidRPr="00CF08A6">
                    <w:rPr>
                      <w:rFonts w:ascii="Arial" w:hAnsi="Arial" w:cs="Arial"/>
                      <w:b/>
                    </w:rPr>
                    <w:t>Opened:</w:t>
                  </w:r>
                  <w:r w:rsidRPr="00CF08A6">
                    <w:rPr>
                      <w:rFonts w:ascii="Arial" w:hAnsi="Arial" w:cs="Arial"/>
                    </w:rPr>
                    <w:t xml:space="preserve"> Assigned values are stable for </w:t>
                  </w:r>
                  <w:r>
                    <w:rPr>
                      <w:rFonts w:ascii="Arial" w:hAnsi="Arial" w:cs="Arial"/>
                    </w:rPr>
                    <w:t>30</w:t>
                  </w:r>
                  <w:r w:rsidRPr="00CF08A6">
                    <w:rPr>
                      <w:rFonts w:ascii="Arial" w:hAnsi="Arial" w:cs="Arial"/>
                    </w:rPr>
                    <w:t xml:space="preserve"> </w:t>
                  </w:r>
                  <w:r>
                    <w:rPr>
                      <w:rFonts w:ascii="Arial" w:hAnsi="Arial" w:cs="Arial"/>
                    </w:rPr>
                    <w:t>day</w:t>
                  </w:r>
                  <w:r w:rsidRPr="00CF08A6">
                    <w:rPr>
                      <w:rFonts w:ascii="Arial" w:hAnsi="Arial" w:cs="Arial"/>
                    </w:rPr>
                    <w:t xml:space="preserve">s, </w:t>
                  </w:r>
                  <w:r>
                    <w:rPr>
                      <w:rFonts w:ascii="Arial" w:hAnsi="Arial" w:cs="Arial"/>
                    </w:rPr>
                    <w:t>capped</w:t>
                  </w:r>
                  <w:r w:rsidRPr="00CF08A6">
                    <w:rPr>
                      <w:rFonts w:ascii="Arial" w:hAnsi="Arial" w:cs="Arial"/>
                    </w:rPr>
                    <w:t xml:space="preserve"> and stored at 2 – 8°C</w:t>
                  </w:r>
                </w:p>
              </w:tc>
            </w:tr>
            <w:tr w:rsidR="008C6EDC">
              <w:trPr>
                <w:gridAfter w:val="1"/>
                <w:wAfter w:w="422" w:type="dxa"/>
                <w:trHeight w:val="980"/>
              </w:trPr>
              <w:tc>
                <w:tcPr>
                  <w:tcW w:w="2857" w:type="dxa"/>
                </w:tcPr>
                <w:p w:rsidR="008C6EDC" w:rsidRPr="006A36C8" w:rsidRDefault="008C6EDC" w:rsidP="008C6EDC">
                  <w:pPr>
                    <w:pStyle w:val="Reagents"/>
                    <w:rPr>
                      <w:rFonts w:ascii="Arial" w:hAnsi="Arial" w:cs="Arial"/>
                    </w:rPr>
                  </w:pPr>
                  <w:r w:rsidRPr="006A36C8">
                    <w:rPr>
                      <w:rFonts w:ascii="Arial" w:hAnsi="Arial" w:cs="Arial"/>
                    </w:rPr>
                    <w:t xml:space="preserve">Enzyme Diluent </w:t>
                  </w:r>
                </w:p>
              </w:tc>
              <w:tc>
                <w:tcPr>
                  <w:tcW w:w="1710" w:type="dxa"/>
                </w:tcPr>
                <w:p w:rsidR="008C6EDC" w:rsidRPr="006A36C8" w:rsidRDefault="008C6EDC" w:rsidP="008C6EDC">
                  <w:pPr>
                    <w:pStyle w:val="Reagents"/>
                    <w:rPr>
                      <w:rFonts w:ascii="Arial" w:hAnsi="Arial" w:cs="Arial"/>
                    </w:rPr>
                  </w:pPr>
                  <w:r w:rsidRPr="006A36C8">
                    <w:rPr>
                      <w:rFonts w:ascii="Arial" w:hAnsi="Arial" w:cs="Arial"/>
                    </w:rPr>
                    <w:t>790035901</w:t>
                  </w:r>
                </w:p>
              </w:tc>
              <w:tc>
                <w:tcPr>
                  <w:tcW w:w="4140" w:type="dxa"/>
                  <w:vAlign w:val="center"/>
                </w:tcPr>
                <w:p w:rsidR="008C6EDC" w:rsidRPr="00CF08A6" w:rsidRDefault="008C6EDC" w:rsidP="008C6EDC">
                  <w:pPr>
                    <w:pStyle w:val="Reagents"/>
                    <w:spacing w:after="80"/>
                    <w:rPr>
                      <w:rFonts w:ascii="Arial" w:hAnsi="Arial" w:cs="Arial"/>
                    </w:rPr>
                  </w:pPr>
                  <w:r w:rsidRPr="00CF08A6">
                    <w:rPr>
                      <w:rFonts w:ascii="Arial" w:hAnsi="Arial" w:cs="Arial"/>
                      <w:b/>
                    </w:rPr>
                    <w:t>Store at</w:t>
                  </w:r>
                  <w:r w:rsidRPr="00CF08A6">
                    <w:rPr>
                      <w:rFonts w:ascii="Arial" w:hAnsi="Arial" w:cs="Arial"/>
                    </w:rPr>
                    <w:t xml:space="preserve"> 2 – 8°C</w:t>
                  </w:r>
                </w:p>
                <w:p w:rsidR="008C6EDC" w:rsidRPr="00CF08A6" w:rsidRDefault="008C6EDC" w:rsidP="008C6EDC">
                  <w:pPr>
                    <w:pStyle w:val="Reagents"/>
                    <w:spacing w:after="80"/>
                    <w:rPr>
                      <w:rFonts w:ascii="Arial" w:hAnsi="Arial" w:cs="Arial"/>
                      <w:bCs/>
                    </w:rPr>
                  </w:pPr>
                  <w:r w:rsidRPr="00CF08A6">
                    <w:rPr>
                      <w:rFonts w:ascii="Arial" w:hAnsi="Arial" w:cs="Arial"/>
                      <w:b/>
                      <w:bCs/>
                    </w:rPr>
                    <w:t xml:space="preserve">Unopened: </w:t>
                  </w:r>
                  <w:r w:rsidRPr="00CF08A6">
                    <w:rPr>
                      <w:rFonts w:ascii="Arial" w:hAnsi="Arial" w:cs="Arial"/>
                      <w:bCs/>
                    </w:rPr>
                    <w:t>Date on carton.</w:t>
                  </w:r>
                </w:p>
                <w:p w:rsidR="008C6EDC" w:rsidRPr="00CF08A6" w:rsidRDefault="008C6EDC" w:rsidP="008C6EDC">
                  <w:pPr>
                    <w:pStyle w:val="Reagents"/>
                    <w:spacing w:after="80"/>
                    <w:rPr>
                      <w:rFonts w:ascii="Arial" w:hAnsi="Arial" w:cs="Arial"/>
                      <w:b/>
                    </w:rPr>
                  </w:pPr>
                  <w:r>
                    <w:rPr>
                      <w:rFonts w:ascii="Arial" w:hAnsi="Arial" w:cs="Arial"/>
                      <w:b/>
                    </w:rPr>
                    <w:t>Reconstituted</w:t>
                  </w:r>
                  <w:r w:rsidRPr="00CF08A6">
                    <w:rPr>
                      <w:rFonts w:ascii="Arial" w:hAnsi="Arial" w:cs="Arial"/>
                      <w:b/>
                    </w:rPr>
                    <w:t>:</w:t>
                  </w:r>
                  <w:r w:rsidRPr="00CF08A6">
                    <w:rPr>
                      <w:rFonts w:ascii="Arial" w:hAnsi="Arial" w:cs="Arial"/>
                    </w:rPr>
                    <w:t xml:space="preserve"> </w:t>
                  </w:r>
                  <w:r>
                    <w:rPr>
                      <w:rFonts w:ascii="Arial" w:hAnsi="Arial" w:cs="Arial"/>
                    </w:rPr>
                    <w:t>Discard after 7 days</w:t>
                  </w:r>
                </w:p>
              </w:tc>
            </w:tr>
          </w:tbl>
          <w:p w:rsidR="008C6EDC" w:rsidRDefault="008C6EDC" w:rsidP="008C6EDC">
            <w:pPr>
              <w:pStyle w:val="Reagents"/>
              <w:rPr>
                <w:rFonts w:ascii="Arial" w:hAnsi="Arial" w:cs="Arial"/>
                <w:b/>
                <w:bCs/>
                <w:color w:val="365F91"/>
              </w:rPr>
            </w:pPr>
          </w:p>
        </w:tc>
      </w:tr>
      <w:tr w:rsidR="008C6EDC" w:rsidTr="00B816B4">
        <w:trPr>
          <w:tblHeader/>
        </w:trPr>
        <w:tc>
          <w:tcPr>
            <w:tcW w:w="2160" w:type="dxa"/>
          </w:tcPr>
          <w:p w:rsidR="008C6EDC" w:rsidRDefault="008C6EDC">
            <w:pPr>
              <w:rPr>
                <w:rFonts w:cs="Arial"/>
                <w:b/>
                <w:bCs/>
                <w:color w:val="0000FF"/>
              </w:rPr>
            </w:pPr>
          </w:p>
          <w:p w:rsidR="008C6EDC" w:rsidRDefault="008C6EDC">
            <w:pPr>
              <w:rPr>
                <w:rFonts w:cs="Arial"/>
                <w:b/>
                <w:bCs/>
                <w:color w:val="0000FF"/>
              </w:rPr>
            </w:pPr>
            <w:r>
              <w:rPr>
                <w:rFonts w:cs="Arial"/>
                <w:b/>
                <w:bCs/>
                <w:color w:val="0000FF"/>
              </w:rPr>
              <w:t>Risk and Safety:</w:t>
            </w:r>
          </w:p>
        </w:tc>
        <w:tc>
          <w:tcPr>
            <w:tcW w:w="8910" w:type="dxa"/>
            <w:gridSpan w:val="4"/>
            <w:tcBorders>
              <w:top w:val="single" w:sz="18" w:space="0" w:color="BFBFBF"/>
              <w:bottom w:val="single" w:sz="18" w:space="0" w:color="BFBFBF"/>
            </w:tcBorders>
          </w:tcPr>
          <w:p w:rsidR="008C6EDC" w:rsidRPr="005516E7" w:rsidRDefault="008C6EDC">
            <w:pPr>
              <w:pStyle w:val="Pa13"/>
              <w:rPr>
                <w:rFonts w:ascii="Arial" w:hAnsi="Arial" w:cs="Arial"/>
                <w:color w:val="000000"/>
                <w:sz w:val="20"/>
                <w:szCs w:val="15"/>
              </w:rPr>
            </w:pPr>
          </w:p>
          <w:p w:rsidR="008C6EDC" w:rsidRPr="005516E7" w:rsidRDefault="008C6EDC" w:rsidP="008C6EDC">
            <w:pPr>
              <w:pStyle w:val="Pa13"/>
              <w:rPr>
                <w:rFonts w:ascii="Arial" w:hAnsi="Arial" w:cs="Arial"/>
                <w:color w:val="000000"/>
                <w:sz w:val="20"/>
                <w:szCs w:val="20"/>
              </w:rPr>
            </w:pPr>
            <w:r w:rsidRPr="005516E7">
              <w:rPr>
                <w:rFonts w:ascii="Arial" w:hAnsi="Arial" w:cs="Arial"/>
                <w:color w:val="000000"/>
                <w:sz w:val="20"/>
                <w:szCs w:val="20"/>
              </w:rPr>
              <w:t>Harmful. Irritant. Contains 2-chloroacetamide</w:t>
            </w:r>
          </w:p>
          <w:p w:rsidR="008C6EDC" w:rsidRPr="005516E7" w:rsidRDefault="008C6EDC" w:rsidP="008C6EDC">
            <w:pPr>
              <w:pStyle w:val="Default"/>
              <w:rPr>
                <w:rFonts w:ascii="Arial" w:hAnsi="Arial" w:cs="Arial"/>
                <w:sz w:val="20"/>
                <w:szCs w:val="20"/>
              </w:rPr>
            </w:pPr>
            <w:r w:rsidRPr="005516E7">
              <w:rPr>
                <w:rFonts w:ascii="Arial" w:hAnsi="Arial" w:cs="Arial"/>
                <w:sz w:val="20"/>
                <w:szCs w:val="20"/>
              </w:rPr>
              <w:t>Avoid contact with skin</w:t>
            </w:r>
          </w:p>
          <w:p w:rsidR="008C6EDC" w:rsidRPr="005516E7" w:rsidRDefault="008C6EDC" w:rsidP="008C6EDC">
            <w:pPr>
              <w:pStyle w:val="Default"/>
              <w:rPr>
                <w:rFonts w:ascii="Arial" w:hAnsi="Arial" w:cs="Arial"/>
                <w:sz w:val="20"/>
                <w:szCs w:val="20"/>
              </w:rPr>
            </w:pPr>
            <w:r w:rsidRPr="005516E7">
              <w:rPr>
                <w:rFonts w:ascii="Arial" w:hAnsi="Arial" w:cs="Arial"/>
                <w:sz w:val="20"/>
                <w:szCs w:val="20"/>
              </w:rPr>
              <w:t>May cause sensitization by skin contact</w:t>
            </w:r>
          </w:p>
          <w:p w:rsidR="008C6EDC" w:rsidRPr="005516E7" w:rsidRDefault="008C6EDC" w:rsidP="008C6EDC">
            <w:pPr>
              <w:pStyle w:val="Default"/>
              <w:rPr>
                <w:rFonts w:ascii="Arial" w:hAnsi="Arial" w:cs="Arial"/>
                <w:sz w:val="20"/>
                <w:szCs w:val="20"/>
              </w:rPr>
            </w:pPr>
            <w:r w:rsidRPr="005516E7">
              <w:rPr>
                <w:rFonts w:ascii="Arial" w:hAnsi="Arial" w:cs="Arial"/>
                <w:sz w:val="20"/>
                <w:szCs w:val="20"/>
              </w:rPr>
              <w:t>Wear gloves.</w:t>
            </w:r>
          </w:p>
          <w:p w:rsidR="008C6EDC" w:rsidRPr="005516E7" w:rsidRDefault="008C6EDC">
            <w:pPr>
              <w:pStyle w:val="Pa14"/>
              <w:spacing w:after="60"/>
              <w:rPr>
                <w:rFonts w:ascii="Arial" w:hAnsi="Arial" w:cs="Arial"/>
                <w:sz w:val="20"/>
              </w:rPr>
            </w:pPr>
            <w:r w:rsidRPr="005516E7">
              <w:rPr>
                <w:rFonts w:ascii="Arial" w:hAnsi="Arial" w:cs="Arial"/>
                <w:sz w:val="20"/>
                <w:szCs w:val="20"/>
              </w:rPr>
              <w:t>Safety data sheets (MSDS</w:t>
            </w:r>
            <w:r w:rsidRPr="005516E7">
              <w:rPr>
                <w:rFonts w:ascii="Arial" w:hAnsi="Arial" w:cs="Arial"/>
                <w:sz w:val="20"/>
              </w:rPr>
              <w:t xml:space="preserve">/SDS) available on </w:t>
            </w:r>
            <w:hyperlink r:id="rId11" w:history="1">
              <w:r w:rsidR="000625DB" w:rsidRPr="00FE76DA">
                <w:rPr>
                  <w:rStyle w:val="Hyperlink"/>
                  <w:rFonts w:ascii="Arial" w:hAnsi="Arial" w:cs="Arial"/>
                  <w:sz w:val="20"/>
                </w:rPr>
                <w:t>www.siemens.com/diagnostics</w:t>
              </w:r>
            </w:hyperlink>
            <w:r w:rsidR="000625DB">
              <w:rPr>
                <w:rFonts w:ascii="Arial" w:hAnsi="Arial" w:cs="Arial"/>
                <w:sz w:val="20"/>
              </w:rPr>
              <w:t xml:space="preserve"> and Children’s Intranet</w:t>
            </w:r>
          </w:p>
          <w:p w:rsidR="008C6EDC" w:rsidRPr="005516E7" w:rsidRDefault="008C6EDC">
            <w:pPr>
              <w:pStyle w:val="Default"/>
              <w:rPr>
                <w:rFonts w:ascii="Arial" w:hAnsi="Arial" w:cs="Arial"/>
              </w:rPr>
            </w:pPr>
          </w:p>
        </w:tc>
      </w:tr>
      <w:tr w:rsidR="00B816B4" w:rsidTr="00B816B4">
        <w:trPr>
          <w:trHeight w:val="5520"/>
          <w:tblHeader/>
        </w:trPr>
        <w:tc>
          <w:tcPr>
            <w:tcW w:w="2160" w:type="dxa"/>
          </w:tcPr>
          <w:p w:rsidR="00B816B4" w:rsidRDefault="00B816B4" w:rsidP="008C6EDC">
            <w:pPr>
              <w:pStyle w:val="BodyTextIndent"/>
            </w:pPr>
          </w:p>
          <w:p w:rsidR="00B816B4" w:rsidRDefault="00B816B4" w:rsidP="008C6EDC">
            <w:pPr>
              <w:pStyle w:val="BodyTextIndent"/>
            </w:pPr>
            <w:r>
              <w:t>Calibration/ Verification/AMR</w:t>
            </w:r>
          </w:p>
          <w:p w:rsidR="00B816B4" w:rsidRDefault="00B816B4" w:rsidP="008C6EDC">
            <w:pPr>
              <w:pStyle w:val="BodyTextIndent"/>
            </w:pPr>
          </w:p>
        </w:tc>
        <w:tc>
          <w:tcPr>
            <w:tcW w:w="8910" w:type="dxa"/>
            <w:gridSpan w:val="4"/>
            <w:tcBorders>
              <w:top w:val="single" w:sz="18" w:space="0" w:color="BFBFBF"/>
              <w:bottom w:val="single" w:sz="18" w:space="0" w:color="BFBFBF"/>
            </w:tcBorders>
          </w:tcPr>
          <w:p w:rsidR="00B816B4" w:rsidRDefault="00B816B4" w:rsidP="008C6EDC">
            <w:pPr>
              <w:pStyle w:val="Pa13"/>
              <w:rPr>
                <w:rFonts w:ascii="Arial" w:hAnsi="Arial" w:cs="Arial"/>
                <w:color w:val="000000"/>
                <w:sz w:val="20"/>
                <w:szCs w:val="15"/>
              </w:rPr>
            </w:pPr>
          </w:p>
          <w:p w:rsidR="00B816B4" w:rsidRPr="00B13C1A" w:rsidRDefault="00B816B4" w:rsidP="008C6EDC">
            <w:pPr>
              <w:rPr>
                <w:rFonts w:cs="Arial"/>
                <w:szCs w:val="20"/>
              </w:rPr>
            </w:pPr>
            <w:r w:rsidRPr="00B13C1A">
              <w:rPr>
                <w:rFonts w:cs="Arial"/>
                <w:b/>
                <w:bCs/>
                <w:color w:val="5F497A"/>
                <w:szCs w:val="20"/>
              </w:rPr>
              <w:t>PRIMARY METHOD:</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7"/>
              <w:gridCol w:w="5760"/>
              <w:gridCol w:w="509"/>
            </w:tblGrid>
            <w:tr w:rsidR="00B816B4" w:rsidTr="00814EAD">
              <w:trPr>
                <w:gridAfter w:val="1"/>
                <w:wAfter w:w="509" w:type="dxa"/>
                <w:trHeight w:val="377"/>
              </w:trPr>
              <w:tc>
                <w:tcPr>
                  <w:tcW w:w="2947" w:type="dxa"/>
                  <w:tcBorders>
                    <w:top w:val="single" w:sz="4" w:space="0" w:color="auto"/>
                    <w:left w:val="single" w:sz="4" w:space="0" w:color="auto"/>
                    <w:bottom w:val="single" w:sz="4" w:space="0" w:color="auto"/>
                    <w:right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Analytical Measuring Range:</w:t>
                  </w:r>
                </w:p>
              </w:tc>
              <w:tc>
                <w:tcPr>
                  <w:tcW w:w="5760" w:type="dxa"/>
                  <w:tcBorders>
                    <w:top w:val="single" w:sz="4" w:space="0" w:color="auto"/>
                    <w:left w:val="single" w:sz="4" w:space="0" w:color="auto"/>
                    <w:bottom w:val="single" w:sz="4" w:space="0" w:color="auto"/>
                    <w:right w:val="single" w:sz="4" w:space="0" w:color="auto"/>
                  </w:tcBorders>
                  <w:vAlign w:val="center"/>
                </w:tcPr>
                <w:p w:rsidR="00B816B4" w:rsidRPr="00E14C48" w:rsidRDefault="00B816B4" w:rsidP="008C6EDC">
                  <w:pPr>
                    <w:pStyle w:val="CalVerTable"/>
                    <w:ind w:left="0" w:firstLine="0"/>
                    <w:jc w:val="both"/>
                    <w:rPr>
                      <w:rFonts w:ascii="Arial" w:hAnsi="Arial" w:cs="Arial"/>
                    </w:rPr>
                  </w:pPr>
                  <w:r w:rsidRPr="00E14C48">
                    <w:rPr>
                      <w:rFonts w:ascii="Arial" w:hAnsi="Arial" w:cs="Arial"/>
                    </w:rPr>
                    <w:t>6–1000 U/L</w:t>
                  </w:r>
                </w:p>
              </w:tc>
            </w:tr>
            <w:tr w:rsidR="00B816B4" w:rsidTr="00814EAD">
              <w:trPr>
                <w:gridAfter w:val="1"/>
                <w:wAfter w:w="509" w:type="dxa"/>
                <w:trHeight w:val="494"/>
              </w:trPr>
              <w:tc>
                <w:tcPr>
                  <w:tcW w:w="2947" w:type="dxa"/>
                  <w:tcBorders>
                    <w:top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Reference Material:</w:t>
                  </w:r>
                </w:p>
              </w:tc>
              <w:tc>
                <w:tcPr>
                  <w:tcW w:w="5760" w:type="dxa"/>
                  <w:tcBorders>
                    <w:top w:val="single" w:sz="4" w:space="0" w:color="auto"/>
                  </w:tcBorders>
                  <w:vAlign w:val="center"/>
                </w:tcPr>
                <w:p w:rsidR="00B816B4" w:rsidRPr="00E14C48" w:rsidRDefault="00B816B4" w:rsidP="008C6EDC">
                  <w:pPr>
                    <w:pStyle w:val="CalVerTable"/>
                    <w:ind w:left="0" w:firstLine="0"/>
                    <w:jc w:val="both"/>
                    <w:rPr>
                      <w:rFonts w:ascii="Arial" w:hAnsi="Arial" w:cs="Arial"/>
                    </w:rPr>
                  </w:pPr>
                  <w:r w:rsidRPr="00E14C48">
                    <w:rPr>
                      <w:rFonts w:ascii="Arial" w:hAnsi="Arial" w:cs="Arial"/>
                    </w:rPr>
                    <w:t>ENZ 2 CAL, Cat. No. KC321</w:t>
                  </w:r>
                </w:p>
              </w:tc>
            </w:tr>
            <w:tr w:rsidR="00B816B4" w:rsidTr="00814EAD">
              <w:trPr>
                <w:gridAfter w:val="1"/>
                <w:wAfter w:w="509" w:type="dxa"/>
                <w:trHeight w:val="521"/>
              </w:trPr>
              <w:tc>
                <w:tcPr>
                  <w:tcW w:w="2947" w:type="dxa"/>
                </w:tcPr>
                <w:p w:rsidR="00B816B4" w:rsidRPr="00E14C48" w:rsidRDefault="00B816B4" w:rsidP="00814EAD">
                  <w:pPr>
                    <w:pStyle w:val="CalVerTable"/>
                    <w:ind w:left="0" w:firstLine="0"/>
                    <w:rPr>
                      <w:rFonts w:ascii="Arial" w:hAnsi="Arial" w:cs="Arial"/>
                    </w:rPr>
                  </w:pPr>
                  <w:r w:rsidRPr="00E14C48">
                    <w:rPr>
                      <w:rFonts w:ascii="Arial" w:hAnsi="Arial" w:cs="Arial"/>
                    </w:rPr>
                    <w:t>Suggested Calibration Levels</w:t>
                  </w:r>
                </w:p>
              </w:tc>
              <w:tc>
                <w:tcPr>
                  <w:tcW w:w="5760" w:type="dxa"/>
                  <w:vAlign w:val="center"/>
                </w:tcPr>
                <w:p w:rsidR="00B816B4" w:rsidRPr="00E14C48" w:rsidRDefault="00B816B4" w:rsidP="008C6EDC">
                  <w:pPr>
                    <w:autoSpaceDE w:val="0"/>
                    <w:autoSpaceDN w:val="0"/>
                    <w:adjustRightInd w:val="0"/>
                    <w:jc w:val="both"/>
                    <w:rPr>
                      <w:rFonts w:cs="Arial"/>
                      <w:szCs w:val="20"/>
                    </w:rPr>
                  </w:pPr>
                  <w:r w:rsidRPr="00E14C48">
                    <w:rPr>
                      <w:rFonts w:cs="Arial"/>
                      <w:szCs w:val="20"/>
                    </w:rPr>
                    <w:t xml:space="preserve">Level 1 (Calibrator A): 0 U/L </w:t>
                  </w:r>
                </w:p>
                <w:p w:rsidR="00B816B4" w:rsidRPr="00E14C48" w:rsidRDefault="00B816B4" w:rsidP="008C6EDC">
                  <w:pPr>
                    <w:pStyle w:val="CalVerTable"/>
                    <w:ind w:left="0" w:firstLine="0"/>
                    <w:jc w:val="both"/>
                    <w:rPr>
                      <w:rFonts w:ascii="Arial" w:hAnsi="Arial" w:cs="Arial"/>
                    </w:rPr>
                  </w:pPr>
                  <w:r w:rsidRPr="00E14C48">
                    <w:rPr>
                      <w:rFonts w:ascii="Arial" w:hAnsi="Arial" w:cs="Arial"/>
                    </w:rPr>
                    <w:t>L</w:t>
                  </w:r>
                  <w:r>
                    <w:rPr>
                      <w:rFonts w:ascii="Arial" w:hAnsi="Arial" w:cs="Arial"/>
                    </w:rPr>
                    <w:t>evel 2 (Calibrator B): 1050 U/L</w:t>
                  </w:r>
                </w:p>
              </w:tc>
            </w:tr>
            <w:tr w:rsidR="00B816B4" w:rsidTr="00814EAD">
              <w:trPr>
                <w:gridAfter w:val="1"/>
                <w:wAfter w:w="509" w:type="dxa"/>
                <w:trHeight w:val="440"/>
              </w:trPr>
              <w:tc>
                <w:tcPr>
                  <w:tcW w:w="2947" w:type="dxa"/>
                </w:tcPr>
                <w:p w:rsidR="00B816B4" w:rsidRPr="00E14C48" w:rsidRDefault="00B816B4" w:rsidP="008C6EDC">
                  <w:pPr>
                    <w:jc w:val="both"/>
                    <w:rPr>
                      <w:rFonts w:cs="Arial"/>
                      <w:szCs w:val="20"/>
                    </w:rPr>
                  </w:pPr>
                  <w:r w:rsidRPr="00E14C48">
                    <w:rPr>
                      <w:rFonts w:cs="Arial"/>
                      <w:szCs w:val="20"/>
                    </w:rPr>
                    <w:t>Verification Scheme:</w:t>
                  </w:r>
                </w:p>
              </w:tc>
              <w:tc>
                <w:tcPr>
                  <w:tcW w:w="5760" w:type="dxa"/>
                  <w:vAlign w:val="center"/>
                </w:tcPr>
                <w:p w:rsidR="00B816B4" w:rsidRPr="00E14C48" w:rsidRDefault="00B816B4" w:rsidP="008C6EDC">
                  <w:pPr>
                    <w:pStyle w:val="CalVerTable"/>
                    <w:ind w:left="0" w:firstLine="0"/>
                    <w:jc w:val="both"/>
                    <w:rPr>
                      <w:rFonts w:ascii="Arial" w:hAnsi="Arial" w:cs="Arial"/>
                    </w:rPr>
                  </w:pPr>
                  <w:r w:rsidRPr="00E14C48">
                    <w:rPr>
                      <w:rFonts w:ascii="Arial" w:hAnsi="Arial" w:cs="Arial"/>
                    </w:rPr>
                    <w:t>2 levels, n=5</w:t>
                  </w:r>
                </w:p>
              </w:tc>
            </w:tr>
            <w:tr w:rsidR="00B816B4" w:rsidTr="00814EAD">
              <w:trPr>
                <w:gridAfter w:val="1"/>
                <w:wAfter w:w="509" w:type="dxa"/>
                <w:trHeight w:val="1349"/>
              </w:trPr>
              <w:tc>
                <w:tcPr>
                  <w:tcW w:w="2947" w:type="dxa"/>
                </w:tcPr>
                <w:p w:rsidR="00B816B4" w:rsidRPr="00E14C48" w:rsidRDefault="00B816B4" w:rsidP="008C6EDC">
                  <w:pPr>
                    <w:jc w:val="both"/>
                    <w:rPr>
                      <w:rFonts w:cs="Arial"/>
                      <w:szCs w:val="20"/>
                    </w:rPr>
                  </w:pPr>
                  <w:r w:rsidRPr="00E14C48">
                    <w:rPr>
                      <w:rFonts w:cs="Arial"/>
                      <w:szCs w:val="20"/>
                    </w:rPr>
                    <w:t>Verification Frequency:</w:t>
                  </w:r>
                </w:p>
              </w:tc>
              <w:tc>
                <w:tcPr>
                  <w:tcW w:w="5760" w:type="dxa"/>
                  <w:vAlign w:val="center"/>
                </w:tcPr>
                <w:p w:rsidR="00B816B4" w:rsidRPr="00E14C48" w:rsidRDefault="00B816B4" w:rsidP="008C6EDC">
                  <w:pPr>
                    <w:numPr>
                      <w:ilvl w:val="0"/>
                      <w:numId w:val="8"/>
                    </w:numPr>
                    <w:autoSpaceDE w:val="0"/>
                    <w:autoSpaceDN w:val="0"/>
                    <w:adjustRightInd w:val="0"/>
                    <w:jc w:val="both"/>
                    <w:rPr>
                      <w:rFonts w:cs="Arial"/>
                      <w:szCs w:val="20"/>
                    </w:rPr>
                  </w:pPr>
                  <w:r w:rsidRPr="00E14C48">
                    <w:rPr>
                      <w:rFonts w:cs="Arial"/>
                      <w:szCs w:val="20"/>
                    </w:rPr>
                    <w:t>Every 90 days for any one lot.</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For each new lot of Flex® reagent cartridges</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After major maintenance or service, if indicated by quality control results</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As indicated in laboratory quality control procedures</w:t>
                  </w:r>
                </w:p>
              </w:tc>
            </w:tr>
            <w:tr w:rsidR="00B816B4" w:rsidTr="00814EAD">
              <w:trPr>
                <w:gridAfter w:val="1"/>
                <w:wAfter w:w="509" w:type="dxa"/>
                <w:trHeight w:val="1610"/>
              </w:trPr>
              <w:tc>
                <w:tcPr>
                  <w:tcW w:w="2947" w:type="dxa"/>
                  <w:tcBorders>
                    <w:bottom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AMR</w:t>
                  </w:r>
                </w:p>
              </w:tc>
              <w:tc>
                <w:tcPr>
                  <w:tcW w:w="5760" w:type="dxa"/>
                  <w:tcBorders>
                    <w:bottom w:val="single" w:sz="4" w:space="0" w:color="auto"/>
                  </w:tcBorders>
                  <w:vAlign w:val="center"/>
                </w:tcPr>
                <w:p w:rsidR="00B816B4" w:rsidRPr="00E14C48" w:rsidRDefault="00B816B4" w:rsidP="008C6EDC">
                  <w:pPr>
                    <w:jc w:val="both"/>
                    <w:rPr>
                      <w:rFonts w:cs="Arial"/>
                      <w:szCs w:val="20"/>
                    </w:rPr>
                  </w:pPr>
                  <w:r w:rsidRPr="00E14C48">
                    <w:rPr>
                      <w:rFonts w:cs="Arial"/>
                      <w:szCs w:val="20"/>
                    </w:rPr>
                    <w:t>Verification of AMR is accomplished with each calibration.</w:t>
                  </w:r>
                </w:p>
                <w:p w:rsidR="00B816B4" w:rsidRPr="00E14C48" w:rsidRDefault="00B816B4" w:rsidP="008C6EDC">
                  <w:pPr>
                    <w:numPr>
                      <w:ilvl w:val="0"/>
                      <w:numId w:val="15"/>
                    </w:numPr>
                    <w:jc w:val="both"/>
                    <w:rPr>
                      <w:rFonts w:cs="Arial"/>
                      <w:szCs w:val="20"/>
                    </w:rPr>
                  </w:pPr>
                  <w:r w:rsidRPr="00E14C48">
                    <w:rPr>
                      <w:rFonts w:cs="Arial"/>
                      <w:szCs w:val="20"/>
                    </w:rPr>
                    <w:t>Cal Verification and AMR verification are performed at least once every six (6) months.</w:t>
                  </w:r>
                </w:p>
                <w:p w:rsidR="00B816B4" w:rsidRPr="00E14C48" w:rsidRDefault="00B816B4" w:rsidP="008C6EDC">
                  <w:pPr>
                    <w:numPr>
                      <w:ilvl w:val="0"/>
                      <w:numId w:val="15"/>
                    </w:numPr>
                    <w:jc w:val="both"/>
                    <w:rPr>
                      <w:rFonts w:cs="Arial"/>
                      <w:szCs w:val="20"/>
                    </w:rPr>
                  </w:pPr>
                  <w:r w:rsidRPr="00E14C48">
                    <w:rPr>
                      <w:rFonts w:cs="Arial"/>
                      <w:szCs w:val="20"/>
                    </w:rPr>
                    <w:t xml:space="preserve">Touch  Advanced </w:t>
                  </w:r>
                  <w:r w:rsidRPr="00E14C48">
                    <w:rPr>
                      <w:rFonts w:cs="Arial"/>
                      <w:szCs w:val="20"/>
                    </w:rPr>
                    <w:sym w:font="Wingdings" w:char="F0E0"/>
                  </w:r>
                  <w:r w:rsidRPr="00E14C48">
                    <w:rPr>
                      <w:rFonts w:cs="Arial"/>
                      <w:szCs w:val="20"/>
                    </w:rPr>
                    <w:t xml:space="preserve"> Calibrations </w:t>
                  </w:r>
                  <w:r w:rsidRPr="00E14C48">
                    <w:rPr>
                      <w:rFonts w:cs="Arial"/>
                      <w:szCs w:val="20"/>
                    </w:rPr>
                    <w:sym w:font="Wingdings" w:char="F0E0"/>
                  </w:r>
                  <w:r w:rsidRPr="00E14C48">
                    <w:rPr>
                      <w:rFonts w:cs="Arial"/>
                      <w:szCs w:val="20"/>
                    </w:rPr>
                    <w:t xml:space="preserve"> Calibrations by Lot, select method ALTI and “Order a Linearity Study”</w:t>
                  </w:r>
                </w:p>
                <w:p w:rsidR="00B816B4" w:rsidRPr="00E14C48" w:rsidRDefault="00B816B4" w:rsidP="008C6EDC">
                  <w:pPr>
                    <w:numPr>
                      <w:ilvl w:val="0"/>
                      <w:numId w:val="8"/>
                    </w:numPr>
                    <w:autoSpaceDE w:val="0"/>
                    <w:autoSpaceDN w:val="0"/>
                    <w:adjustRightInd w:val="0"/>
                    <w:jc w:val="both"/>
                    <w:rPr>
                      <w:rFonts w:cs="Arial"/>
                      <w:szCs w:val="20"/>
                    </w:rPr>
                  </w:pPr>
                  <w:r w:rsidRPr="00E14C48">
                    <w:rPr>
                      <w:rFonts w:cs="Arial"/>
                      <w:szCs w:val="20"/>
                    </w:rPr>
                    <w:t>See iGuide “Calibration by Lot” for more information.</w:t>
                  </w:r>
                </w:p>
              </w:tc>
            </w:tr>
            <w:tr w:rsidR="00B816B4" w:rsidTr="00B816B4">
              <w:tc>
                <w:tcPr>
                  <w:tcW w:w="9216" w:type="dxa"/>
                  <w:gridSpan w:val="3"/>
                  <w:tcBorders>
                    <w:left w:val="nil"/>
                    <w:bottom w:val="nil"/>
                    <w:right w:val="nil"/>
                  </w:tcBorders>
                </w:tcPr>
                <w:p w:rsidR="00B816B4" w:rsidRPr="00B13C1A" w:rsidRDefault="00B816B4" w:rsidP="008C6EDC">
                  <w:pPr>
                    <w:rPr>
                      <w:rFonts w:cs="Arial"/>
                      <w:szCs w:val="20"/>
                    </w:rPr>
                  </w:pPr>
                </w:p>
              </w:tc>
            </w:tr>
          </w:tbl>
          <w:p w:rsidR="00B816B4" w:rsidRPr="00FB1EFD" w:rsidRDefault="00B816B4" w:rsidP="008C6EDC">
            <w:pPr>
              <w:pStyle w:val="Default"/>
            </w:pPr>
          </w:p>
        </w:tc>
      </w:tr>
      <w:tr w:rsidR="00B816B4" w:rsidTr="00B816B4">
        <w:trPr>
          <w:trHeight w:val="23"/>
          <w:tblHeader/>
        </w:trPr>
        <w:tc>
          <w:tcPr>
            <w:tcW w:w="2160" w:type="dxa"/>
          </w:tcPr>
          <w:p w:rsidR="00B816B4" w:rsidRDefault="00B816B4" w:rsidP="008C6EDC">
            <w:pPr>
              <w:pStyle w:val="BodyTextIndent"/>
            </w:pPr>
          </w:p>
        </w:tc>
        <w:tc>
          <w:tcPr>
            <w:tcW w:w="8910" w:type="dxa"/>
            <w:gridSpan w:val="4"/>
            <w:tcBorders>
              <w:top w:val="single" w:sz="18" w:space="0" w:color="BFBFBF"/>
            </w:tcBorders>
          </w:tcPr>
          <w:p w:rsidR="00B816B4" w:rsidRDefault="00B816B4" w:rsidP="008C6EDC">
            <w:pPr>
              <w:pStyle w:val="Default"/>
              <w:rPr>
                <w:rFonts w:ascii="Arial" w:hAnsi="Arial" w:cs="Arial"/>
                <w:sz w:val="20"/>
                <w:szCs w:val="15"/>
              </w:rPr>
            </w:pPr>
          </w:p>
        </w:tc>
      </w:tr>
      <w:tr w:rsidR="008C6EDC" w:rsidTr="00B816B4">
        <w:trPr>
          <w:trHeight w:val="5039"/>
          <w:tblHeader/>
        </w:trPr>
        <w:tc>
          <w:tcPr>
            <w:tcW w:w="2160" w:type="dxa"/>
          </w:tcPr>
          <w:p w:rsidR="008C6EDC" w:rsidRDefault="008C6EDC" w:rsidP="008C6EDC">
            <w:pPr>
              <w:pStyle w:val="BodyTextIndent"/>
            </w:pPr>
            <w:r>
              <w:rPr>
                <w:b w:val="0"/>
                <w:bCs w:val="0"/>
              </w:rPr>
              <w:lastRenderedPageBreak/>
              <w:br w:type="page"/>
            </w:r>
          </w:p>
          <w:p w:rsidR="008C6EDC" w:rsidRDefault="008C6EDC" w:rsidP="008C6EDC">
            <w:pPr>
              <w:pStyle w:val="BodyTextIndent"/>
            </w:pPr>
            <w:r>
              <w:t>Calibration/ Verification/AMR</w:t>
            </w:r>
          </w:p>
          <w:p w:rsidR="008C6EDC" w:rsidRDefault="008C6EDC" w:rsidP="008C6EDC">
            <w:pPr>
              <w:pStyle w:val="BodyTextIndent"/>
            </w:pPr>
          </w:p>
        </w:tc>
        <w:tc>
          <w:tcPr>
            <w:tcW w:w="8910" w:type="dxa"/>
            <w:gridSpan w:val="4"/>
            <w:tcBorders>
              <w:top w:val="single" w:sz="18" w:space="0" w:color="BFBFBF"/>
              <w:bottom w:val="single" w:sz="18" w:space="0" w:color="BFBFBF"/>
            </w:tcBorders>
          </w:tcPr>
          <w:p w:rsidR="008C6EDC" w:rsidRDefault="008C6EDC" w:rsidP="008C6EDC">
            <w:pPr>
              <w:rPr>
                <w:rFonts w:cs="Arial"/>
                <w:szCs w:val="20"/>
              </w:rPr>
            </w:pPr>
          </w:p>
          <w:p w:rsidR="008C6EDC" w:rsidRPr="006D1E54" w:rsidRDefault="008C6EDC" w:rsidP="008C6EDC">
            <w:pPr>
              <w:pStyle w:val="Reagents"/>
              <w:rPr>
                <w:rFonts w:ascii="Arial" w:hAnsi="Arial" w:cs="Arial"/>
                <w:b/>
                <w:color w:val="76923C"/>
              </w:rPr>
            </w:pPr>
            <w:r w:rsidRPr="006D1E54">
              <w:rPr>
                <w:rFonts w:ascii="Arial" w:hAnsi="Arial" w:cs="Arial"/>
                <w:b/>
                <w:color w:val="76923C"/>
              </w:rPr>
              <w:t>SECONDARY METHOD:</w:t>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1"/>
              <w:gridCol w:w="5926"/>
            </w:tblGrid>
            <w:tr w:rsidR="008C6EDC">
              <w:trPr>
                <w:trHeight w:val="377"/>
              </w:trPr>
              <w:tc>
                <w:tcPr>
                  <w:tcW w:w="2781" w:type="dxa"/>
                  <w:tcBorders>
                    <w:top w:val="single" w:sz="4" w:space="0" w:color="auto"/>
                    <w:left w:val="single" w:sz="4" w:space="0" w:color="auto"/>
                    <w:bottom w:val="single" w:sz="4" w:space="0" w:color="auto"/>
                    <w:right w:val="single" w:sz="4" w:space="0" w:color="auto"/>
                  </w:tcBorders>
                </w:tcPr>
                <w:p w:rsidR="008C6EDC" w:rsidRPr="00682B00" w:rsidRDefault="008C6EDC" w:rsidP="008C6EDC">
                  <w:pPr>
                    <w:pStyle w:val="CalVerTable"/>
                    <w:ind w:left="0" w:firstLine="0"/>
                    <w:rPr>
                      <w:rFonts w:ascii="Arial" w:hAnsi="Arial" w:cs="Arial"/>
                    </w:rPr>
                  </w:pPr>
                  <w:r w:rsidRPr="00682B00">
                    <w:rPr>
                      <w:rFonts w:ascii="Arial" w:hAnsi="Arial" w:cs="Arial"/>
                    </w:rPr>
                    <w:t>Analytical Measuring Range:</w:t>
                  </w:r>
                </w:p>
              </w:tc>
              <w:tc>
                <w:tcPr>
                  <w:tcW w:w="5926" w:type="dxa"/>
                  <w:tcBorders>
                    <w:top w:val="single" w:sz="4" w:space="0" w:color="auto"/>
                    <w:left w:val="single" w:sz="4" w:space="0" w:color="auto"/>
                    <w:bottom w:val="single" w:sz="4" w:space="0" w:color="auto"/>
                    <w:right w:val="single" w:sz="4" w:space="0" w:color="auto"/>
                  </w:tcBorders>
                  <w:vAlign w:val="center"/>
                </w:tcPr>
                <w:p w:rsidR="008C6EDC" w:rsidRPr="00682B00" w:rsidRDefault="008C6EDC" w:rsidP="008C6EDC">
                  <w:pPr>
                    <w:pStyle w:val="CalVerTable"/>
                    <w:ind w:left="0" w:firstLine="0"/>
                    <w:rPr>
                      <w:rFonts w:ascii="Arial" w:hAnsi="Arial" w:cs="Arial"/>
                    </w:rPr>
                  </w:pPr>
                  <w:r w:rsidRPr="00682B00">
                    <w:rPr>
                      <w:rFonts w:ascii="Arial" w:hAnsi="Arial" w:cs="Arial"/>
                    </w:rPr>
                    <w:t>6–1000 U/L</w:t>
                  </w:r>
                </w:p>
              </w:tc>
            </w:tr>
            <w:tr w:rsidR="008C6EDC">
              <w:trPr>
                <w:trHeight w:val="458"/>
              </w:trPr>
              <w:tc>
                <w:tcPr>
                  <w:tcW w:w="2781" w:type="dxa"/>
                  <w:tcBorders>
                    <w:top w:val="single" w:sz="4" w:space="0" w:color="auto"/>
                  </w:tcBorders>
                </w:tcPr>
                <w:p w:rsidR="008C6EDC" w:rsidRPr="00682B00" w:rsidRDefault="008C6EDC" w:rsidP="008C6EDC">
                  <w:pPr>
                    <w:pStyle w:val="CalVerTable"/>
                    <w:ind w:left="0" w:firstLine="0"/>
                    <w:rPr>
                      <w:rFonts w:ascii="Arial" w:hAnsi="Arial" w:cs="Arial"/>
                    </w:rPr>
                  </w:pPr>
                  <w:r w:rsidRPr="00682B00">
                    <w:rPr>
                      <w:rFonts w:ascii="Arial" w:hAnsi="Arial" w:cs="Arial"/>
                    </w:rPr>
                    <w:t>Reference Material:</w:t>
                  </w:r>
                </w:p>
              </w:tc>
              <w:tc>
                <w:tcPr>
                  <w:tcW w:w="5926" w:type="dxa"/>
                  <w:tcBorders>
                    <w:top w:val="single" w:sz="4" w:space="0" w:color="auto"/>
                  </w:tcBorders>
                  <w:vAlign w:val="center"/>
                </w:tcPr>
                <w:p w:rsidR="008C6EDC" w:rsidRPr="00682B00" w:rsidRDefault="00814EAD" w:rsidP="00814EAD">
                  <w:pPr>
                    <w:pStyle w:val="CalVerTable"/>
                    <w:ind w:left="0" w:firstLine="0"/>
                    <w:rPr>
                      <w:rFonts w:ascii="Arial" w:hAnsi="Arial" w:cs="Arial"/>
                    </w:rPr>
                  </w:pPr>
                  <w:r>
                    <w:rPr>
                      <w:rFonts w:ascii="Arial" w:hAnsi="Arial" w:cs="Arial"/>
                    </w:rPr>
                    <w:t>Enzyme II Calibrator (</w:t>
                  </w:r>
                  <w:r w:rsidR="008C6EDC" w:rsidRPr="00682B00">
                    <w:rPr>
                      <w:rFonts w:ascii="Arial" w:hAnsi="Arial" w:cs="Arial"/>
                    </w:rPr>
                    <w:t>DC143</w:t>
                  </w:r>
                  <w:r>
                    <w:rPr>
                      <w:rFonts w:ascii="Arial" w:hAnsi="Arial" w:cs="Arial"/>
                    </w:rPr>
                    <w:t>)</w:t>
                  </w:r>
                </w:p>
              </w:tc>
            </w:tr>
            <w:tr w:rsidR="008C6EDC">
              <w:trPr>
                <w:trHeight w:val="800"/>
              </w:trPr>
              <w:tc>
                <w:tcPr>
                  <w:tcW w:w="2781" w:type="dxa"/>
                </w:tcPr>
                <w:p w:rsidR="008C6EDC" w:rsidRPr="00682B00" w:rsidRDefault="008C6EDC" w:rsidP="008C6EDC">
                  <w:pPr>
                    <w:pStyle w:val="CalVerTable"/>
                    <w:ind w:left="0" w:firstLine="0"/>
                    <w:rPr>
                      <w:rFonts w:ascii="Arial" w:hAnsi="Arial" w:cs="Arial"/>
                    </w:rPr>
                  </w:pPr>
                  <w:r w:rsidRPr="00682B00">
                    <w:rPr>
                      <w:rFonts w:ascii="Arial" w:hAnsi="Arial" w:cs="Arial"/>
                    </w:rPr>
                    <w:t>Suggested Calibration Levels</w:t>
                  </w:r>
                </w:p>
              </w:tc>
              <w:tc>
                <w:tcPr>
                  <w:tcW w:w="5926" w:type="dxa"/>
                  <w:vAlign w:val="center"/>
                </w:tcPr>
                <w:p w:rsidR="008C6EDC" w:rsidRPr="00682B00" w:rsidRDefault="008C6EDC" w:rsidP="008C6EDC">
                  <w:pPr>
                    <w:autoSpaceDE w:val="0"/>
                    <w:autoSpaceDN w:val="0"/>
                    <w:adjustRightInd w:val="0"/>
                    <w:rPr>
                      <w:rFonts w:cs="Arial"/>
                      <w:szCs w:val="20"/>
                    </w:rPr>
                  </w:pPr>
                  <w:r w:rsidRPr="00682B00">
                    <w:rPr>
                      <w:rFonts w:cs="Arial"/>
                      <w:szCs w:val="20"/>
                    </w:rPr>
                    <w:t xml:space="preserve">Level 1: 0 U/L </w:t>
                  </w:r>
                </w:p>
                <w:p w:rsidR="008C6EDC" w:rsidRPr="00682B00" w:rsidRDefault="008C6EDC" w:rsidP="008C6EDC">
                  <w:pPr>
                    <w:autoSpaceDE w:val="0"/>
                    <w:autoSpaceDN w:val="0"/>
                    <w:adjustRightInd w:val="0"/>
                    <w:rPr>
                      <w:rFonts w:cs="Arial"/>
                      <w:szCs w:val="20"/>
                    </w:rPr>
                  </w:pPr>
                  <w:r w:rsidRPr="00682B00">
                    <w:rPr>
                      <w:rFonts w:cs="Arial"/>
                      <w:szCs w:val="20"/>
                    </w:rPr>
                    <w:t xml:space="preserve">Level 2: 500 U/L </w:t>
                  </w:r>
                </w:p>
                <w:p w:rsidR="008C6EDC" w:rsidRPr="00682B00" w:rsidRDefault="008C6EDC" w:rsidP="008C6EDC">
                  <w:pPr>
                    <w:pStyle w:val="CalVerTable"/>
                    <w:ind w:left="0" w:firstLine="0"/>
                    <w:rPr>
                      <w:rFonts w:ascii="Arial" w:hAnsi="Arial" w:cs="Arial"/>
                    </w:rPr>
                  </w:pPr>
                  <w:r w:rsidRPr="00682B00">
                    <w:rPr>
                      <w:rFonts w:ascii="Arial" w:hAnsi="Arial" w:cs="Arial"/>
                    </w:rPr>
                    <w:t xml:space="preserve">Level 3: 1050 U/L </w:t>
                  </w:r>
                </w:p>
              </w:tc>
            </w:tr>
            <w:tr w:rsidR="008C6EDC">
              <w:trPr>
                <w:trHeight w:val="377"/>
              </w:trPr>
              <w:tc>
                <w:tcPr>
                  <w:tcW w:w="2781" w:type="dxa"/>
                </w:tcPr>
                <w:p w:rsidR="008C6EDC" w:rsidRPr="00682B00" w:rsidRDefault="008C6EDC" w:rsidP="008C6EDC">
                  <w:pPr>
                    <w:rPr>
                      <w:rFonts w:cs="Arial"/>
                      <w:szCs w:val="20"/>
                    </w:rPr>
                  </w:pPr>
                  <w:r w:rsidRPr="00682B00">
                    <w:rPr>
                      <w:rFonts w:cs="Arial"/>
                      <w:szCs w:val="20"/>
                    </w:rPr>
                    <w:t>Verification Scheme:</w:t>
                  </w:r>
                </w:p>
              </w:tc>
              <w:tc>
                <w:tcPr>
                  <w:tcW w:w="5926" w:type="dxa"/>
                  <w:vAlign w:val="center"/>
                </w:tcPr>
                <w:p w:rsidR="008C6EDC" w:rsidRPr="00682B00" w:rsidRDefault="008C6EDC" w:rsidP="008C6EDC">
                  <w:pPr>
                    <w:pStyle w:val="CalVerTable"/>
                    <w:ind w:left="0" w:firstLine="0"/>
                    <w:rPr>
                      <w:rFonts w:ascii="Arial" w:hAnsi="Arial" w:cs="Arial"/>
                    </w:rPr>
                  </w:pPr>
                  <w:r w:rsidRPr="00682B00">
                    <w:rPr>
                      <w:rFonts w:ascii="Arial" w:hAnsi="Arial" w:cs="Arial"/>
                    </w:rPr>
                    <w:t>3 levels, n = 3</w:t>
                  </w:r>
                </w:p>
              </w:tc>
            </w:tr>
            <w:tr w:rsidR="008C6EDC">
              <w:trPr>
                <w:trHeight w:val="1403"/>
              </w:trPr>
              <w:tc>
                <w:tcPr>
                  <w:tcW w:w="2781" w:type="dxa"/>
                </w:tcPr>
                <w:p w:rsidR="008C6EDC" w:rsidRPr="00682B00" w:rsidRDefault="008C6EDC" w:rsidP="008C6EDC">
                  <w:pPr>
                    <w:rPr>
                      <w:rFonts w:cs="Arial"/>
                      <w:szCs w:val="20"/>
                    </w:rPr>
                  </w:pPr>
                  <w:r w:rsidRPr="00682B00">
                    <w:rPr>
                      <w:rFonts w:cs="Arial"/>
                      <w:szCs w:val="20"/>
                    </w:rPr>
                    <w:t>Verification Frequency:</w:t>
                  </w:r>
                </w:p>
              </w:tc>
              <w:tc>
                <w:tcPr>
                  <w:tcW w:w="5926" w:type="dxa"/>
                  <w:vAlign w:val="center"/>
                </w:tcPr>
                <w:p w:rsidR="008C6EDC" w:rsidRPr="00682B00" w:rsidRDefault="008C6EDC" w:rsidP="008C6EDC">
                  <w:pPr>
                    <w:numPr>
                      <w:ilvl w:val="0"/>
                      <w:numId w:val="8"/>
                    </w:numPr>
                    <w:autoSpaceDE w:val="0"/>
                    <w:autoSpaceDN w:val="0"/>
                    <w:adjustRightInd w:val="0"/>
                    <w:rPr>
                      <w:rFonts w:cs="Arial"/>
                      <w:szCs w:val="20"/>
                    </w:rPr>
                  </w:pPr>
                  <w:r w:rsidRPr="00682B00">
                    <w:rPr>
                      <w:rFonts w:cs="Arial"/>
                      <w:szCs w:val="20"/>
                    </w:rPr>
                    <w:t>Every 90 days for any one lot.</w:t>
                  </w:r>
                </w:p>
                <w:p w:rsidR="008C6EDC" w:rsidRPr="00682B00" w:rsidRDefault="008C6EDC" w:rsidP="008C6EDC">
                  <w:pPr>
                    <w:pStyle w:val="Pa10"/>
                    <w:numPr>
                      <w:ilvl w:val="0"/>
                      <w:numId w:val="8"/>
                    </w:numPr>
                    <w:rPr>
                      <w:rFonts w:ascii="Arial" w:hAnsi="Arial" w:cs="Arial"/>
                      <w:color w:val="000000"/>
                      <w:sz w:val="20"/>
                      <w:szCs w:val="20"/>
                    </w:rPr>
                  </w:pPr>
                  <w:r w:rsidRPr="00682B00">
                    <w:rPr>
                      <w:rFonts w:ascii="Arial" w:hAnsi="Arial" w:cs="Arial"/>
                      <w:color w:val="000000"/>
                      <w:sz w:val="20"/>
                      <w:szCs w:val="20"/>
                    </w:rPr>
                    <w:t>For each new lot of Flex® reagent cartridges</w:t>
                  </w:r>
                </w:p>
                <w:p w:rsidR="008C6EDC" w:rsidRPr="00682B00" w:rsidRDefault="008C6EDC" w:rsidP="008C6EDC">
                  <w:pPr>
                    <w:pStyle w:val="Pa10"/>
                    <w:numPr>
                      <w:ilvl w:val="0"/>
                      <w:numId w:val="8"/>
                    </w:numPr>
                    <w:rPr>
                      <w:rFonts w:ascii="Arial" w:hAnsi="Arial" w:cs="Arial"/>
                      <w:color w:val="000000"/>
                      <w:sz w:val="20"/>
                      <w:szCs w:val="20"/>
                    </w:rPr>
                  </w:pPr>
                  <w:r w:rsidRPr="00682B00">
                    <w:rPr>
                      <w:rFonts w:ascii="Arial" w:hAnsi="Arial" w:cs="Arial"/>
                      <w:color w:val="000000"/>
                      <w:sz w:val="20"/>
                      <w:szCs w:val="20"/>
                    </w:rPr>
                    <w:t>After major maintenance or service, if indicated by quality control results</w:t>
                  </w:r>
                </w:p>
                <w:p w:rsidR="008C6EDC" w:rsidRPr="00682B00" w:rsidRDefault="008C6EDC" w:rsidP="008C6EDC">
                  <w:pPr>
                    <w:pStyle w:val="Pa10"/>
                    <w:numPr>
                      <w:ilvl w:val="0"/>
                      <w:numId w:val="8"/>
                    </w:numPr>
                    <w:rPr>
                      <w:rFonts w:ascii="Arial" w:hAnsi="Arial" w:cs="Arial"/>
                      <w:color w:val="000000"/>
                      <w:sz w:val="20"/>
                      <w:szCs w:val="20"/>
                    </w:rPr>
                  </w:pPr>
                  <w:r w:rsidRPr="00682B00">
                    <w:rPr>
                      <w:rFonts w:ascii="Arial" w:hAnsi="Arial" w:cs="Arial"/>
                      <w:color w:val="000000"/>
                      <w:sz w:val="20"/>
                      <w:szCs w:val="20"/>
                    </w:rPr>
                    <w:t>As indicated in laboratory quality control procedures</w:t>
                  </w:r>
                </w:p>
              </w:tc>
            </w:tr>
            <w:tr w:rsidR="008C6EDC" w:rsidTr="00814EAD">
              <w:trPr>
                <w:trHeight w:val="809"/>
              </w:trPr>
              <w:tc>
                <w:tcPr>
                  <w:tcW w:w="2781" w:type="dxa"/>
                </w:tcPr>
                <w:p w:rsidR="008C6EDC" w:rsidRPr="00682B00" w:rsidRDefault="008C6EDC" w:rsidP="008C6EDC">
                  <w:pPr>
                    <w:pStyle w:val="CalVerTable"/>
                    <w:ind w:left="0" w:firstLine="0"/>
                    <w:rPr>
                      <w:rFonts w:ascii="Arial" w:hAnsi="Arial" w:cs="Arial"/>
                    </w:rPr>
                  </w:pPr>
                  <w:r w:rsidRPr="00682B00">
                    <w:rPr>
                      <w:rFonts w:ascii="Arial" w:hAnsi="Arial" w:cs="Arial"/>
                    </w:rPr>
                    <w:t>AMR</w:t>
                  </w:r>
                </w:p>
              </w:tc>
              <w:tc>
                <w:tcPr>
                  <w:tcW w:w="5926" w:type="dxa"/>
                  <w:vAlign w:val="center"/>
                </w:tcPr>
                <w:p w:rsidR="008C6EDC" w:rsidRPr="00682B00" w:rsidRDefault="008C6EDC" w:rsidP="008C6EDC">
                  <w:pPr>
                    <w:rPr>
                      <w:rFonts w:cs="Arial"/>
                      <w:szCs w:val="20"/>
                    </w:rPr>
                  </w:pPr>
                  <w:r w:rsidRPr="00682B00">
                    <w:rPr>
                      <w:rFonts w:cs="Arial"/>
                      <w:szCs w:val="20"/>
                    </w:rPr>
                    <w:t>Verification of AMR is accomplished with each calibration using 3 calibrators that span the reportable range.</w:t>
                  </w:r>
                  <w:r w:rsidR="00814EAD">
                    <w:rPr>
                      <w:rFonts w:cs="Arial"/>
                      <w:szCs w:val="20"/>
                    </w:rPr>
                    <w:t xml:space="preserve"> Additional studies are not required.</w:t>
                  </w:r>
                </w:p>
              </w:tc>
            </w:tr>
          </w:tbl>
          <w:p w:rsidR="008C6EDC" w:rsidRDefault="008C6EDC">
            <w:pPr>
              <w:rPr>
                <w:rFonts w:cs="Arial"/>
              </w:rPr>
            </w:pPr>
          </w:p>
        </w:tc>
      </w:tr>
      <w:tr w:rsidR="00B816B4" w:rsidTr="00B816B4">
        <w:trPr>
          <w:cantSplit/>
          <w:trHeight w:val="3035"/>
          <w:tblHeader/>
        </w:trPr>
        <w:tc>
          <w:tcPr>
            <w:tcW w:w="2160" w:type="dxa"/>
          </w:tcPr>
          <w:p w:rsidR="00B816B4" w:rsidRDefault="00B816B4" w:rsidP="008C6EDC">
            <w:pPr>
              <w:ind w:right="-108"/>
              <w:rPr>
                <w:rFonts w:cs="Arial"/>
                <w:b/>
                <w:bCs/>
                <w:color w:val="0000FF"/>
              </w:rPr>
            </w:pPr>
          </w:p>
          <w:p w:rsidR="00B816B4" w:rsidRDefault="00B816B4" w:rsidP="008C6EDC">
            <w:pPr>
              <w:ind w:right="-108"/>
              <w:rPr>
                <w:rFonts w:cs="Arial"/>
                <w:b/>
                <w:bCs/>
                <w:color w:val="0000FF"/>
              </w:rPr>
            </w:pPr>
            <w:r>
              <w:rPr>
                <w:rFonts w:cs="Arial"/>
                <w:b/>
                <w:bCs/>
                <w:color w:val="0000FF"/>
              </w:rPr>
              <w:t>Quality Control</w:t>
            </w:r>
          </w:p>
        </w:tc>
        <w:tc>
          <w:tcPr>
            <w:tcW w:w="8910" w:type="dxa"/>
            <w:gridSpan w:val="4"/>
            <w:vMerge w:val="restart"/>
            <w:tcBorders>
              <w:top w:val="single" w:sz="18" w:space="0" w:color="BFBFBF"/>
            </w:tcBorders>
            <w:vAlign w:val="center"/>
          </w:tcPr>
          <w:p w:rsidR="00B816B4" w:rsidRDefault="00B816B4" w:rsidP="008C6EDC">
            <w:pPr>
              <w:jc w:val="both"/>
              <w:rPr>
                <w:rFonts w:cs="Arial"/>
                <w:b/>
                <w:bCs/>
                <w:color w:val="5F497A"/>
                <w:szCs w:val="20"/>
              </w:rPr>
            </w:pPr>
            <w:r>
              <w:rPr>
                <w:rFonts w:cs="Arial"/>
                <w:b/>
                <w:bCs/>
                <w:color w:val="5F497A"/>
                <w:szCs w:val="20"/>
              </w:rPr>
              <w:t xml:space="preserve">PRIMARY METHOD: </w:t>
            </w:r>
            <w:r>
              <w:rPr>
                <w:rFonts w:cs="Arial"/>
                <w:color w:val="000000"/>
                <w:szCs w:val="20"/>
              </w:rPr>
              <w:t>BioRad Mulitqual® 1 &amp; 3 Control Levels, contained in Vista vials</w:t>
            </w:r>
          </w:p>
          <w:p w:rsidR="00B816B4" w:rsidRDefault="00B816B4"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 xml:space="preserve">Frequency: </w:t>
            </w:r>
            <w:r>
              <w:rPr>
                <w:rFonts w:cs="Arial"/>
                <w:szCs w:val="20"/>
              </w:rPr>
              <w:t>Two levels each day of use</w:t>
            </w:r>
          </w:p>
          <w:p w:rsidR="00B816B4" w:rsidRDefault="00B816B4"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 xml:space="preserve">Stability: </w:t>
            </w:r>
            <w:r>
              <w:rPr>
                <w:rFonts w:cs="Arial"/>
                <w:szCs w:val="20"/>
              </w:rPr>
              <w:t xml:space="preserve">Stable until the date on vial when stored at -20 to -50 </w:t>
            </w:r>
            <w:r>
              <w:rPr>
                <w:rFonts w:ascii="Symbol" w:hAnsi="Symbol" w:cs="Symbol"/>
                <w:szCs w:val="20"/>
              </w:rPr>
              <w:t></w:t>
            </w:r>
            <w:r>
              <w:rPr>
                <w:rFonts w:cs="Arial"/>
                <w:szCs w:val="20"/>
              </w:rPr>
              <w:t xml:space="preserve">C protect from light. Thawed and unopened, 7 days at 2 -8 </w:t>
            </w:r>
            <w:r>
              <w:rPr>
                <w:rFonts w:ascii="Symbol" w:hAnsi="Symbol" w:cs="Symbol"/>
                <w:szCs w:val="20"/>
              </w:rPr>
              <w:t></w:t>
            </w:r>
            <w:r>
              <w:rPr>
                <w:rFonts w:cs="Arial"/>
                <w:szCs w:val="20"/>
              </w:rPr>
              <w:t xml:space="preserve">C. 7 days on board the Vista, and 5 days opened and stored at 2 – 8 </w:t>
            </w:r>
            <w:r>
              <w:rPr>
                <w:rFonts w:ascii="Symbol" w:hAnsi="Symbol" w:cs="Symbol"/>
                <w:szCs w:val="20"/>
              </w:rPr>
              <w:t></w:t>
            </w:r>
            <w:r>
              <w:rPr>
                <w:rFonts w:cs="Arial"/>
                <w:szCs w:val="20"/>
              </w:rPr>
              <w:t>C</w:t>
            </w:r>
          </w:p>
          <w:p w:rsidR="00B816B4" w:rsidRDefault="00B816B4"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Preparation</w:t>
            </w:r>
            <w:r>
              <w:rPr>
                <w:rFonts w:cs="Arial"/>
                <w:szCs w:val="20"/>
              </w:rPr>
              <w:t xml:space="preserve">: Allow the control to stand at 18 – 25 </w:t>
            </w:r>
            <w:r>
              <w:rPr>
                <w:rFonts w:ascii="Symbol" w:hAnsi="Symbol" w:cs="Symbol"/>
                <w:szCs w:val="20"/>
              </w:rPr>
              <w:t></w:t>
            </w:r>
            <w:r>
              <w:rPr>
                <w:rFonts w:cs="Arial"/>
                <w:szCs w:val="20"/>
              </w:rPr>
              <w:t>C for 30 minutes until completely thawed. Gently mix the vials until homogeneous to dissolve any precipitate.</w:t>
            </w:r>
          </w:p>
          <w:p w:rsidR="00B816B4" w:rsidRDefault="00B816B4"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Sunquest Control names:</w:t>
            </w:r>
            <w:r>
              <w:rPr>
                <w:rFonts w:cs="Arial"/>
                <w:szCs w:val="20"/>
              </w:rPr>
              <w:t xml:space="preserve"> Level 1 = C-MQ1, Level 2 = C-MQ3</w:t>
            </w:r>
          </w:p>
          <w:p w:rsidR="00B816B4" w:rsidRDefault="00B816B4" w:rsidP="008C6EDC">
            <w:pPr>
              <w:autoSpaceDE w:val="0"/>
              <w:autoSpaceDN w:val="0"/>
              <w:adjustRightInd w:val="0"/>
              <w:jc w:val="both"/>
              <w:rPr>
                <w:rFonts w:cs="Arial"/>
                <w:b/>
                <w:bCs/>
                <w:szCs w:val="20"/>
              </w:rPr>
            </w:pPr>
          </w:p>
          <w:p w:rsidR="00B816B4" w:rsidRDefault="00B816B4" w:rsidP="008C6EDC">
            <w:pPr>
              <w:pStyle w:val="Header"/>
              <w:tabs>
                <w:tab w:val="clear" w:pos="4320"/>
                <w:tab w:val="clear" w:pos="8640"/>
              </w:tabs>
              <w:jc w:val="both"/>
              <w:rPr>
                <w:rFonts w:cs="Arial"/>
              </w:rPr>
            </w:pPr>
          </w:p>
          <w:p w:rsidR="00B816B4" w:rsidRDefault="00B816B4" w:rsidP="008C6EDC">
            <w:pPr>
              <w:pStyle w:val="Header"/>
              <w:tabs>
                <w:tab w:val="clear" w:pos="4320"/>
                <w:tab w:val="clear" w:pos="8640"/>
              </w:tabs>
              <w:jc w:val="both"/>
              <w:rPr>
                <w:rFonts w:cs="Arial"/>
              </w:rPr>
            </w:pPr>
            <w:r>
              <w:rPr>
                <w:rFonts w:cs="Arial"/>
                <w:b/>
                <w:bCs/>
                <w:color w:val="76933C"/>
                <w:szCs w:val="20"/>
              </w:rPr>
              <w:t>SECONDARY METHOD</w:t>
            </w:r>
            <w:r>
              <w:rPr>
                <w:rFonts w:cs="Arial"/>
                <w:color w:val="76933C"/>
                <w:szCs w:val="20"/>
              </w:rPr>
              <w:t>:</w:t>
            </w:r>
            <w:r w:rsidRPr="0073119F">
              <w:rPr>
                <w:rFonts w:cs="Arial"/>
              </w:rPr>
              <w:t xml:space="preserve"> </w:t>
            </w:r>
            <w:r>
              <w:rPr>
                <w:rFonts w:cs="Arial"/>
              </w:rPr>
              <w:t>Biorad Liquichek</w:t>
            </w:r>
            <w:r>
              <w:rPr>
                <w:rFonts w:cs="Arial"/>
              </w:rPr>
              <w:sym w:font="Symbol" w:char="F0D4"/>
            </w:r>
            <w:r>
              <w:rPr>
                <w:rFonts w:cs="Arial"/>
              </w:rPr>
              <w:t xml:space="preserve"> Unassayed Chemistry Control (Human) Levels 1 &amp; 2</w:t>
            </w:r>
          </w:p>
          <w:p w:rsidR="00B816B4" w:rsidRDefault="00B816B4" w:rsidP="008C6EDC">
            <w:pPr>
              <w:jc w:val="both"/>
              <w:rPr>
                <w:rFonts w:cs="Arial"/>
              </w:rPr>
            </w:pPr>
          </w:p>
          <w:p w:rsidR="00B816B4" w:rsidRDefault="00B816B4" w:rsidP="008C6EDC">
            <w:pPr>
              <w:jc w:val="both"/>
              <w:rPr>
                <w:rFonts w:cs="Arial"/>
              </w:rPr>
            </w:pPr>
            <w:r>
              <w:rPr>
                <w:rFonts w:cs="Arial"/>
                <w:b/>
                <w:bCs/>
              </w:rPr>
              <w:t>Frequency:</w:t>
            </w:r>
            <w:r>
              <w:rPr>
                <w:rFonts w:cs="Arial"/>
              </w:rPr>
              <w:t xml:space="preserve"> </w:t>
            </w:r>
            <w:r>
              <w:rPr>
                <w:rFonts w:cs="Arial"/>
                <w:szCs w:val="20"/>
              </w:rPr>
              <w:t>Two levels each day of use</w:t>
            </w:r>
          </w:p>
          <w:p w:rsidR="00B816B4" w:rsidRDefault="00B816B4" w:rsidP="008C6EDC">
            <w:pPr>
              <w:jc w:val="both"/>
              <w:rPr>
                <w:rFonts w:cs="Arial"/>
              </w:rPr>
            </w:pPr>
          </w:p>
          <w:p w:rsidR="00B816B4" w:rsidRDefault="00B816B4" w:rsidP="008C6EDC">
            <w:pPr>
              <w:ind w:right="-108"/>
              <w:jc w:val="both"/>
              <w:rPr>
                <w:rFonts w:cs="Arial"/>
              </w:rPr>
            </w:pPr>
            <w:r>
              <w:rPr>
                <w:rFonts w:cs="Arial"/>
                <w:b/>
                <w:bCs/>
              </w:rPr>
              <w:t>Stability:</w:t>
            </w:r>
            <w:r>
              <w:rPr>
                <w:rFonts w:cs="Arial"/>
              </w:rPr>
              <w:t xml:space="preserve"> Refer to the current lot product insert</w:t>
            </w:r>
          </w:p>
          <w:p w:rsidR="00B816B4" w:rsidRDefault="00B816B4" w:rsidP="008C6EDC">
            <w:pPr>
              <w:ind w:right="-108"/>
              <w:jc w:val="both"/>
              <w:rPr>
                <w:rFonts w:cs="Arial"/>
                <w:b/>
                <w:bCs/>
              </w:rPr>
            </w:pPr>
          </w:p>
          <w:p w:rsidR="00B816B4" w:rsidRDefault="00B816B4" w:rsidP="008C6EDC">
            <w:pPr>
              <w:ind w:right="-108"/>
              <w:jc w:val="both"/>
              <w:rPr>
                <w:rFonts w:cs="Arial"/>
              </w:rPr>
            </w:pPr>
            <w:r>
              <w:rPr>
                <w:rFonts w:cs="Arial"/>
                <w:b/>
                <w:bCs/>
              </w:rPr>
              <w:t>Sunquest Control names:</w:t>
            </w:r>
            <w:r>
              <w:rPr>
                <w:rFonts w:cs="Arial"/>
              </w:rPr>
              <w:t xml:space="preserve"> Level 1 = C-X1, Level 2 = C-X2</w:t>
            </w:r>
          </w:p>
          <w:p w:rsidR="00B816B4" w:rsidRDefault="00B816B4" w:rsidP="008C6EDC">
            <w:pPr>
              <w:jc w:val="both"/>
              <w:rPr>
                <w:rFonts w:cs="Arial"/>
                <w:b/>
                <w:bCs/>
              </w:rPr>
            </w:pPr>
          </w:p>
          <w:p w:rsidR="00B816B4" w:rsidRDefault="00B816B4" w:rsidP="008C6EDC">
            <w:pPr>
              <w:jc w:val="both"/>
              <w:rPr>
                <w:rFonts w:cs="Arial"/>
              </w:rPr>
            </w:pPr>
            <w:r>
              <w:rPr>
                <w:rFonts w:cs="Arial"/>
                <w:b/>
                <w:bCs/>
              </w:rPr>
              <w:t>Acceptable ranges:</w:t>
            </w:r>
            <w:r>
              <w:rPr>
                <w:rFonts w:cs="Arial"/>
              </w:rPr>
              <w:t xml:space="preserve"> </w:t>
            </w:r>
          </w:p>
          <w:p w:rsidR="00B816B4" w:rsidRPr="00DB6DF1" w:rsidRDefault="00B816B4" w:rsidP="008C6EDC">
            <w:pPr>
              <w:numPr>
                <w:ilvl w:val="0"/>
                <w:numId w:val="16"/>
              </w:numPr>
              <w:autoSpaceDE w:val="0"/>
              <w:autoSpaceDN w:val="0"/>
              <w:adjustRightInd w:val="0"/>
              <w:jc w:val="both"/>
              <w:rPr>
                <w:rFonts w:cs="Arial"/>
                <w:szCs w:val="20"/>
              </w:rPr>
            </w:pPr>
            <w:r>
              <w:rPr>
                <w:rFonts w:cs="Arial"/>
                <w:szCs w:val="20"/>
              </w:rPr>
              <w:t>Ranges are current in Sunquest and the instrument. Refer to the Quality Control in Chemistry p</w:t>
            </w:r>
            <w:r w:rsidRPr="00DB6DF1">
              <w:rPr>
                <w:rFonts w:cs="Arial"/>
                <w:szCs w:val="20"/>
              </w:rPr>
              <w:t>rocedure for QC exception codes.</w:t>
            </w:r>
          </w:p>
          <w:p w:rsidR="00B816B4" w:rsidRPr="00AD5C45" w:rsidRDefault="00B816B4" w:rsidP="008C6EDC">
            <w:pPr>
              <w:numPr>
                <w:ilvl w:val="0"/>
                <w:numId w:val="16"/>
              </w:numPr>
              <w:autoSpaceDE w:val="0"/>
              <w:autoSpaceDN w:val="0"/>
              <w:adjustRightInd w:val="0"/>
              <w:jc w:val="both"/>
              <w:rPr>
                <w:rFonts w:cs="Arial"/>
                <w:color w:val="000000"/>
                <w:szCs w:val="20"/>
              </w:rPr>
            </w:pPr>
            <w:r>
              <w:rPr>
                <w:rFonts w:cs="Arial"/>
                <w:szCs w:val="20"/>
              </w:rPr>
              <w:t>If a control value is outside the confidence interval, the determination must be repeated. If the repeat determination confirms the deviation, a new reference curve should be established.</w:t>
            </w:r>
          </w:p>
          <w:p w:rsidR="00B816B4" w:rsidRPr="00AD5C45" w:rsidRDefault="00B816B4" w:rsidP="008C6EDC">
            <w:pPr>
              <w:numPr>
                <w:ilvl w:val="0"/>
                <w:numId w:val="16"/>
              </w:numPr>
              <w:autoSpaceDE w:val="0"/>
              <w:autoSpaceDN w:val="0"/>
              <w:adjustRightInd w:val="0"/>
              <w:jc w:val="both"/>
              <w:rPr>
                <w:rFonts w:cs="Arial"/>
                <w:color w:val="000000"/>
                <w:szCs w:val="20"/>
              </w:rPr>
            </w:pPr>
            <w:r>
              <w:rPr>
                <w:rFonts w:cs="Arial"/>
                <w:szCs w:val="20"/>
              </w:rPr>
              <w:t>Do not release patient results until the cause of deviation has been identified and corrected</w:t>
            </w:r>
          </w:p>
          <w:p w:rsidR="00B816B4" w:rsidRPr="00DB6DF1" w:rsidRDefault="00B816B4" w:rsidP="008C6EDC">
            <w:pPr>
              <w:numPr>
                <w:ilvl w:val="0"/>
                <w:numId w:val="16"/>
              </w:numPr>
              <w:autoSpaceDE w:val="0"/>
              <w:autoSpaceDN w:val="0"/>
              <w:adjustRightInd w:val="0"/>
              <w:jc w:val="both"/>
              <w:rPr>
                <w:rFonts w:cs="Arial"/>
                <w:color w:val="000000"/>
                <w:szCs w:val="20"/>
              </w:rPr>
            </w:pPr>
            <w:r>
              <w:rPr>
                <w:rFonts w:cs="Arial"/>
                <w:szCs w:val="20"/>
              </w:rPr>
              <w:t>When a new lot of assayed control is received, validate the manufacturer’s insert range by running the new lot in parallel with the current lot, and confirming that the results obtained are within the stated range</w:t>
            </w:r>
          </w:p>
          <w:p w:rsidR="00B816B4" w:rsidRPr="00CE16FB" w:rsidRDefault="00B816B4" w:rsidP="008C6EDC">
            <w:pPr>
              <w:numPr>
                <w:ilvl w:val="0"/>
                <w:numId w:val="16"/>
              </w:numPr>
              <w:jc w:val="both"/>
              <w:rPr>
                <w:rFonts w:cs="Arial"/>
              </w:rPr>
            </w:pPr>
            <w:r>
              <w:rPr>
                <w:rFonts w:cs="Arial"/>
                <w:szCs w:val="20"/>
              </w:rPr>
              <w:t xml:space="preserve">When a new lot of unassayed control is received, verify new ranges by running the new lot in parallel with the current lot 30 times, and calculate a new range using the method mean </w:t>
            </w:r>
            <w:r>
              <w:rPr>
                <w:rFonts w:cs="Arial"/>
                <w:szCs w:val="20"/>
              </w:rPr>
              <w:sym w:font="Symbol" w:char="F0B1"/>
            </w:r>
            <w:r>
              <w:rPr>
                <w:rFonts w:cs="Arial"/>
                <w:szCs w:val="20"/>
              </w:rPr>
              <w:t xml:space="preserve"> 3 SD. </w:t>
            </w:r>
            <w:r>
              <w:rPr>
                <w:rFonts w:cs="Arial"/>
              </w:rPr>
              <w:t>Ranges are current in Sunquest and the instrument. Refer to the Quality Control Procedure for QC exception codes.</w:t>
            </w:r>
          </w:p>
        </w:tc>
      </w:tr>
      <w:tr w:rsidR="00B816B4" w:rsidTr="00B816B4">
        <w:trPr>
          <w:cantSplit/>
          <w:trHeight w:val="5475"/>
          <w:tblHeader/>
        </w:trPr>
        <w:tc>
          <w:tcPr>
            <w:tcW w:w="2160" w:type="dxa"/>
          </w:tcPr>
          <w:p w:rsidR="00B816B4" w:rsidRDefault="00B816B4" w:rsidP="008C6EDC">
            <w:pPr>
              <w:ind w:right="-108"/>
              <w:rPr>
                <w:rFonts w:cs="Arial"/>
                <w:b/>
                <w:bCs/>
                <w:color w:val="0000FF"/>
              </w:rPr>
            </w:pPr>
          </w:p>
        </w:tc>
        <w:tc>
          <w:tcPr>
            <w:tcW w:w="8910" w:type="dxa"/>
            <w:gridSpan w:val="4"/>
            <w:vMerge/>
            <w:tcBorders>
              <w:bottom w:val="single" w:sz="18" w:space="0" w:color="BFBFBF"/>
            </w:tcBorders>
            <w:vAlign w:val="center"/>
          </w:tcPr>
          <w:p w:rsidR="00B816B4" w:rsidRDefault="00B816B4" w:rsidP="008C6EDC">
            <w:pPr>
              <w:jc w:val="both"/>
              <w:rPr>
                <w:rFonts w:cs="Arial"/>
                <w:b/>
                <w:bCs/>
                <w:color w:val="5F497A"/>
                <w:szCs w:val="20"/>
              </w:rPr>
            </w:pPr>
          </w:p>
        </w:tc>
      </w:tr>
      <w:tr w:rsidR="008C6EDC" w:rsidTr="00B816B4">
        <w:trPr>
          <w:cantSplit/>
          <w:trHeight w:val="3959"/>
          <w:tblHeader/>
        </w:trPr>
        <w:tc>
          <w:tcPr>
            <w:tcW w:w="2160" w:type="dxa"/>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Interferences</w:t>
            </w:r>
          </w:p>
          <w:p w:rsidR="008C6EDC" w:rsidRDefault="008C6EDC">
            <w:pPr>
              <w:rPr>
                <w:rFonts w:cs="Arial"/>
                <w:b/>
                <w:bCs/>
                <w:color w:val="0000FF"/>
              </w:rPr>
            </w:pPr>
          </w:p>
        </w:tc>
        <w:tc>
          <w:tcPr>
            <w:tcW w:w="8910" w:type="dxa"/>
            <w:gridSpan w:val="4"/>
            <w:tcBorders>
              <w:top w:val="single" w:sz="18" w:space="0" w:color="BFBFBF"/>
              <w:bottom w:val="single" w:sz="18" w:space="0" w:color="BFBFBF"/>
            </w:tcBorders>
            <w:vAlign w:val="center"/>
          </w:tcPr>
          <w:p w:rsidR="008C6EDC" w:rsidRPr="003F4E8F" w:rsidRDefault="008C6EDC" w:rsidP="008C6EDC">
            <w:pPr>
              <w:pStyle w:val="TableText"/>
              <w:adjustRightInd w:val="0"/>
              <w:spacing w:after="120"/>
              <w:jc w:val="both"/>
              <w:rPr>
                <w:rFonts w:ascii="Arial" w:hAnsi="Arial" w:cs="Arial"/>
                <w:szCs w:val="20"/>
              </w:rPr>
            </w:pPr>
            <w:r w:rsidRPr="003F4E8F">
              <w:rPr>
                <w:rFonts w:ascii="Arial" w:hAnsi="Arial" w:cs="Arial"/>
                <w:szCs w:val="20"/>
              </w:rPr>
              <w:t xml:space="preserve">Hemolysis, Icterus &amp; Lipemia (HIL) Index Values: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2"/>
              <w:gridCol w:w="394"/>
              <w:gridCol w:w="450"/>
            </w:tblGrid>
            <w:tr w:rsidR="008C6EDC" w:rsidRPr="003F4E8F">
              <w:tc>
                <w:tcPr>
                  <w:tcW w:w="472" w:type="dxa"/>
                </w:tcPr>
                <w:p w:rsidR="008C6EDC" w:rsidRPr="003F4E8F" w:rsidRDefault="008C6EDC" w:rsidP="008C6EDC">
                  <w:pPr>
                    <w:autoSpaceDE w:val="0"/>
                    <w:autoSpaceDN w:val="0"/>
                    <w:adjustRightInd w:val="0"/>
                    <w:jc w:val="both"/>
                    <w:rPr>
                      <w:rFonts w:cs="Arial"/>
                      <w:b/>
                      <w:szCs w:val="20"/>
                    </w:rPr>
                  </w:pPr>
                  <w:r w:rsidRPr="003F4E8F">
                    <w:rPr>
                      <w:rFonts w:cs="Arial"/>
                      <w:b/>
                      <w:szCs w:val="20"/>
                    </w:rPr>
                    <w:t>H</w:t>
                  </w:r>
                </w:p>
              </w:tc>
              <w:tc>
                <w:tcPr>
                  <w:tcW w:w="394" w:type="dxa"/>
                </w:tcPr>
                <w:p w:rsidR="008C6EDC" w:rsidRPr="003F4E8F" w:rsidRDefault="008C6EDC" w:rsidP="008C6EDC">
                  <w:pPr>
                    <w:autoSpaceDE w:val="0"/>
                    <w:autoSpaceDN w:val="0"/>
                    <w:adjustRightInd w:val="0"/>
                    <w:jc w:val="both"/>
                    <w:rPr>
                      <w:rFonts w:cs="Arial"/>
                      <w:b/>
                      <w:szCs w:val="20"/>
                    </w:rPr>
                  </w:pPr>
                  <w:r w:rsidRPr="003F4E8F">
                    <w:rPr>
                      <w:rFonts w:cs="Arial"/>
                      <w:b/>
                      <w:szCs w:val="20"/>
                    </w:rPr>
                    <w:t>I</w:t>
                  </w:r>
                </w:p>
              </w:tc>
              <w:tc>
                <w:tcPr>
                  <w:tcW w:w="450" w:type="dxa"/>
                </w:tcPr>
                <w:p w:rsidR="008C6EDC" w:rsidRPr="003F4E8F" w:rsidRDefault="008C6EDC" w:rsidP="008C6EDC">
                  <w:pPr>
                    <w:autoSpaceDE w:val="0"/>
                    <w:autoSpaceDN w:val="0"/>
                    <w:adjustRightInd w:val="0"/>
                    <w:jc w:val="both"/>
                    <w:rPr>
                      <w:rFonts w:cs="Arial"/>
                      <w:b/>
                      <w:szCs w:val="20"/>
                    </w:rPr>
                  </w:pPr>
                  <w:r w:rsidRPr="003F4E8F">
                    <w:rPr>
                      <w:rFonts w:cs="Arial"/>
                      <w:b/>
                      <w:szCs w:val="20"/>
                    </w:rPr>
                    <w:t>L</w:t>
                  </w:r>
                </w:p>
              </w:tc>
            </w:tr>
            <w:tr w:rsidR="008C6EDC" w:rsidRPr="003F4E8F">
              <w:tc>
                <w:tcPr>
                  <w:tcW w:w="472" w:type="dxa"/>
                </w:tcPr>
                <w:p w:rsidR="008C6EDC" w:rsidRPr="003F4E8F" w:rsidRDefault="008C6EDC" w:rsidP="008C6EDC">
                  <w:pPr>
                    <w:autoSpaceDE w:val="0"/>
                    <w:autoSpaceDN w:val="0"/>
                    <w:adjustRightInd w:val="0"/>
                    <w:jc w:val="both"/>
                    <w:rPr>
                      <w:rFonts w:cs="Arial"/>
                      <w:b/>
                      <w:szCs w:val="20"/>
                    </w:rPr>
                  </w:pPr>
                  <w:r w:rsidRPr="003F4E8F">
                    <w:rPr>
                      <w:rFonts w:cs="Arial"/>
                      <w:b/>
                      <w:szCs w:val="20"/>
                    </w:rPr>
                    <w:t>-</w:t>
                  </w:r>
                </w:p>
              </w:tc>
              <w:tc>
                <w:tcPr>
                  <w:tcW w:w="394" w:type="dxa"/>
                </w:tcPr>
                <w:p w:rsidR="008C6EDC" w:rsidRPr="003F4E8F" w:rsidRDefault="008C6EDC" w:rsidP="008C6EDC">
                  <w:pPr>
                    <w:autoSpaceDE w:val="0"/>
                    <w:autoSpaceDN w:val="0"/>
                    <w:adjustRightInd w:val="0"/>
                    <w:jc w:val="both"/>
                    <w:rPr>
                      <w:rFonts w:cs="Arial"/>
                      <w:b/>
                      <w:szCs w:val="20"/>
                    </w:rPr>
                  </w:pPr>
                  <w:r w:rsidRPr="003F4E8F">
                    <w:rPr>
                      <w:rFonts w:cs="Arial"/>
                      <w:b/>
                      <w:szCs w:val="20"/>
                    </w:rPr>
                    <w:t>7</w:t>
                  </w:r>
                </w:p>
              </w:tc>
              <w:tc>
                <w:tcPr>
                  <w:tcW w:w="450" w:type="dxa"/>
                </w:tcPr>
                <w:p w:rsidR="008C6EDC" w:rsidRPr="003F4E8F" w:rsidRDefault="008C6EDC" w:rsidP="008C6EDC">
                  <w:pPr>
                    <w:autoSpaceDE w:val="0"/>
                    <w:autoSpaceDN w:val="0"/>
                    <w:adjustRightInd w:val="0"/>
                    <w:jc w:val="both"/>
                    <w:rPr>
                      <w:rFonts w:cs="Arial"/>
                      <w:b/>
                      <w:szCs w:val="20"/>
                    </w:rPr>
                  </w:pPr>
                  <w:r w:rsidRPr="003F4E8F">
                    <w:rPr>
                      <w:rFonts w:cs="Arial"/>
                      <w:b/>
                      <w:szCs w:val="20"/>
                    </w:rPr>
                    <w:t>4</w:t>
                  </w:r>
                </w:p>
              </w:tc>
            </w:tr>
          </w:tbl>
          <w:p w:rsidR="008C6EDC" w:rsidRPr="003F4E8F" w:rsidRDefault="008C6EDC" w:rsidP="008C6EDC">
            <w:pPr>
              <w:pStyle w:val="Pa4"/>
              <w:spacing w:after="40"/>
              <w:jc w:val="both"/>
              <w:rPr>
                <w:rFonts w:ascii="Arial" w:hAnsi="Arial" w:cs="Arial"/>
                <w:sz w:val="20"/>
                <w:szCs w:val="20"/>
              </w:rPr>
            </w:pPr>
          </w:p>
          <w:p w:rsidR="008C6EDC" w:rsidRPr="003F4E8F" w:rsidRDefault="008C6EDC" w:rsidP="008C6EDC">
            <w:pPr>
              <w:numPr>
                <w:ilvl w:val="0"/>
                <w:numId w:val="21"/>
              </w:numPr>
              <w:autoSpaceDE w:val="0"/>
              <w:autoSpaceDN w:val="0"/>
              <w:adjustRightInd w:val="0"/>
              <w:ind w:left="360"/>
              <w:jc w:val="both"/>
              <w:rPr>
                <w:rFonts w:cs="Arial"/>
                <w:szCs w:val="20"/>
              </w:rPr>
            </w:pPr>
            <w:r w:rsidRPr="003F4E8F">
              <w:rPr>
                <w:rFonts w:cs="Arial"/>
                <w:szCs w:val="20"/>
              </w:rPr>
              <w:t>Bilirubin (conjugated) at 40 mg/dL decreases ALTI results at an activity of 70 U/L by -12%.</w:t>
            </w:r>
          </w:p>
          <w:p w:rsidR="008C6EDC" w:rsidRPr="003F4E8F" w:rsidRDefault="008C6EDC" w:rsidP="008C6EDC">
            <w:pPr>
              <w:numPr>
                <w:ilvl w:val="0"/>
                <w:numId w:val="20"/>
              </w:numPr>
              <w:autoSpaceDE w:val="0"/>
              <w:autoSpaceDN w:val="0"/>
              <w:adjustRightInd w:val="0"/>
              <w:ind w:left="360"/>
              <w:jc w:val="both"/>
              <w:rPr>
                <w:rFonts w:cs="Arial"/>
                <w:szCs w:val="20"/>
              </w:rPr>
            </w:pPr>
            <w:r w:rsidRPr="003F4E8F">
              <w:rPr>
                <w:rFonts w:cs="Arial"/>
                <w:szCs w:val="20"/>
              </w:rPr>
              <w:t>Bilirubin (conjugated) at 60 mg/dL decreases ALTI results at an activity of 144 U/L by (-) 13%.</w:t>
            </w:r>
          </w:p>
          <w:p w:rsidR="008C6EDC" w:rsidRPr="003F4E8F" w:rsidRDefault="008C6EDC" w:rsidP="008C6EDC">
            <w:pPr>
              <w:numPr>
                <w:ilvl w:val="0"/>
                <w:numId w:val="20"/>
              </w:numPr>
              <w:autoSpaceDE w:val="0"/>
              <w:autoSpaceDN w:val="0"/>
              <w:adjustRightInd w:val="0"/>
              <w:ind w:left="360"/>
              <w:jc w:val="both"/>
              <w:rPr>
                <w:rFonts w:cs="Arial"/>
                <w:szCs w:val="20"/>
              </w:rPr>
            </w:pPr>
            <w:r w:rsidRPr="003F4E8F">
              <w:rPr>
                <w:rFonts w:cs="Arial"/>
                <w:szCs w:val="20"/>
              </w:rPr>
              <w:t xml:space="preserve">Bilirubin </w:t>
            </w:r>
            <w:r>
              <w:rPr>
                <w:rFonts w:cs="Arial"/>
                <w:szCs w:val="20"/>
              </w:rPr>
              <w:t>(u</w:t>
            </w:r>
            <w:r w:rsidRPr="003F4E8F">
              <w:rPr>
                <w:rFonts w:cs="Arial"/>
                <w:szCs w:val="20"/>
              </w:rPr>
              <w:t>nconjugated</w:t>
            </w:r>
            <w:r>
              <w:rPr>
                <w:rFonts w:cs="Arial"/>
                <w:szCs w:val="20"/>
              </w:rPr>
              <w:t>)</w:t>
            </w:r>
            <w:r w:rsidRPr="003F4E8F">
              <w:rPr>
                <w:rFonts w:cs="Arial"/>
                <w:szCs w:val="20"/>
              </w:rPr>
              <w:t xml:space="preserve"> at 60 mg/dL decreases ALTI results on the </w:t>
            </w:r>
            <w:r w:rsidRPr="003F4E8F">
              <w:rPr>
                <w:rFonts w:cs="Arial"/>
                <w:b/>
                <w:bCs/>
                <w:color w:val="76933C"/>
                <w:szCs w:val="20"/>
              </w:rPr>
              <w:t>SECONDARY METHOD</w:t>
            </w:r>
            <w:r w:rsidRPr="003F4E8F">
              <w:rPr>
                <w:rFonts w:cs="Arial"/>
                <w:szCs w:val="20"/>
              </w:rPr>
              <w:t xml:space="preserve"> at an activity of 68 U/L by -11%.</w:t>
            </w:r>
          </w:p>
          <w:p w:rsidR="008C6EDC" w:rsidRPr="003F4E8F" w:rsidRDefault="008C6EDC" w:rsidP="008C6EDC">
            <w:pPr>
              <w:pStyle w:val="Default"/>
              <w:numPr>
                <w:ilvl w:val="0"/>
                <w:numId w:val="20"/>
              </w:numPr>
              <w:ind w:left="360"/>
              <w:jc w:val="both"/>
              <w:rPr>
                <w:rFonts w:ascii="Arial" w:hAnsi="Arial" w:cs="Arial"/>
                <w:sz w:val="20"/>
                <w:szCs w:val="20"/>
              </w:rPr>
            </w:pPr>
            <w:r w:rsidRPr="003F4E8F">
              <w:rPr>
                <w:rFonts w:ascii="Arial" w:hAnsi="Arial" w:cs="Arial"/>
                <w:sz w:val="20"/>
                <w:szCs w:val="20"/>
              </w:rPr>
              <w:t>Hemolysis of 1000 mg/dL had &lt;10% bias on ALTI results</w:t>
            </w:r>
          </w:p>
          <w:p w:rsidR="008C6EDC" w:rsidRPr="003F4E8F" w:rsidRDefault="008C6EDC" w:rsidP="008C6EDC">
            <w:pPr>
              <w:pStyle w:val="Pa4"/>
              <w:numPr>
                <w:ilvl w:val="0"/>
                <w:numId w:val="20"/>
              </w:numPr>
              <w:spacing w:after="40"/>
              <w:ind w:left="360"/>
              <w:jc w:val="both"/>
              <w:rPr>
                <w:rFonts w:ascii="Arial" w:hAnsi="Arial" w:cs="Arial"/>
                <w:sz w:val="20"/>
                <w:szCs w:val="20"/>
              </w:rPr>
            </w:pPr>
            <w:r w:rsidRPr="003F4E8F">
              <w:rPr>
                <w:rFonts w:ascii="Arial" w:hAnsi="Arial" w:cs="Arial"/>
                <w:sz w:val="20"/>
                <w:szCs w:val="20"/>
              </w:rPr>
              <w:t>Lipemia (Intralipid®) of 600 mg/dL and above tripped a test report message; therefore the magnitude of the interference could not be determined.</w:t>
            </w:r>
          </w:p>
          <w:p w:rsidR="008C6EDC" w:rsidRPr="003F4E8F" w:rsidRDefault="008C6EDC" w:rsidP="008C6EDC">
            <w:pPr>
              <w:pStyle w:val="Default"/>
              <w:numPr>
                <w:ilvl w:val="0"/>
                <w:numId w:val="20"/>
              </w:numPr>
              <w:ind w:left="360"/>
              <w:jc w:val="both"/>
              <w:rPr>
                <w:rFonts w:ascii="Arial" w:hAnsi="Arial" w:cs="Arial"/>
                <w:sz w:val="20"/>
                <w:szCs w:val="20"/>
              </w:rPr>
            </w:pPr>
            <w:r w:rsidRPr="003F4E8F">
              <w:rPr>
                <w:rFonts w:ascii="Arial" w:hAnsi="Arial" w:cs="Arial"/>
                <w:sz w:val="20"/>
                <w:szCs w:val="20"/>
              </w:rPr>
              <w:t>Triglyceride above 400 mg/dL tripped a test report message; therefore the magnitude of the interference could not be determined.</w:t>
            </w:r>
          </w:p>
          <w:p w:rsidR="008C6EDC" w:rsidRDefault="008C6EDC" w:rsidP="00814EAD">
            <w:pPr>
              <w:pStyle w:val="Default"/>
              <w:numPr>
                <w:ilvl w:val="0"/>
                <w:numId w:val="20"/>
              </w:numPr>
              <w:ind w:left="360"/>
              <w:jc w:val="both"/>
              <w:rPr>
                <w:rFonts w:ascii="Arial" w:hAnsi="Arial" w:cs="Arial"/>
                <w:color w:val="auto"/>
                <w:sz w:val="20"/>
                <w:szCs w:val="20"/>
              </w:rPr>
            </w:pPr>
            <w:r w:rsidRPr="003F4E8F">
              <w:rPr>
                <w:rFonts w:ascii="Arial" w:hAnsi="Arial" w:cs="Arial"/>
                <w:color w:val="auto"/>
                <w:sz w:val="20"/>
                <w:szCs w:val="20"/>
              </w:rPr>
              <w:t xml:space="preserve">Refer to the Operator’s Guide for </w:t>
            </w:r>
            <w:r w:rsidR="00814EAD">
              <w:rPr>
                <w:rFonts w:ascii="Arial" w:hAnsi="Arial" w:cs="Arial"/>
                <w:color w:val="auto"/>
                <w:sz w:val="20"/>
                <w:szCs w:val="20"/>
              </w:rPr>
              <w:t xml:space="preserve">follow up on </w:t>
            </w:r>
            <w:r w:rsidRPr="003F4E8F">
              <w:rPr>
                <w:rFonts w:ascii="Arial" w:hAnsi="Arial" w:cs="Arial"/>
                <w:color w:val="auto"/>
                <w:sz w:val="20"/>
                <w:szCs w:val="20"/>
              </w:rPr>
              <w:t>specific test report message</w:t>
            </w:r>
            <w:r w:rsidR="00814EAD">
              <w:rPr>
                <w:rFonts w:ascii="Arial" w:hAnsi="Arial" w:cs="Arial"/>
                <w:color w:val="auto"/>
                <w:sz w:val="20"/>
                <w:szCs w:val="20"/>
              </w:rPr>
              <w:t>s</w:t>
            </w:r>
          </w:p>
          <w:p w:rsidR="0004669D" w:rsidRDefault="00E63CB7" w:rsidP="00814EAD">
            <w:pPr>
              <w:pStyle w:val="Default"/>
              <w:numPr>
                <w:ilvl w:val="0"/>
                <w:numId w:val="20"/>
              </w:numPr>
              <w:ind w:left="360"/>
              <w:jc w:val="both"/>
              <w:rPr>
                <w:rFonts w:ascii="Arial" w:hAnsi="Arial" w:cs="Arial"/>
                <w:color w:val="auto"/>
                <w:sz w:val="20"/>
                <w:szCs w:val="20"/>
              </w:rPr>
            </w:pPr>
            <w:r w:rsidRPr="00E63CB7">
              <w:rPr>
                <w:rFonts w:ascii="Arial" w:hAnsi="Arial" w:cs="Arial"/>
                <w:b/>
                <w:bCs/>
                <w:color w:val="5F497A"/>
                <w:szCs w:val="20"/>
              </w:rPr>
              <w:t>PRIMARY METHOD</w:t>
            </w:r>
            <w:r>
              <w:rPr>
                <w:rFonts w:ascii="Arial" w:hAnsi="Arial" w:cs="Arial"/>
                <w:b/>
                <w:bCs/>
                <w:color w:val="5F497A"/>
                <w:szCs w:val="20"/>
              </w:rPr>
              <w:t>:</w:t>
            </w:r>
            <w:r w:rsidRPr="00E63CB7">
              <w:rPr>
                <w:rFonts w:ascii="Arial" w:hAnsi="Arial" w:cs="Arial"/>
                <w:b/>
                <w:color w:val="auto"/>
                <w:sz w:val="20"/>
                <w:szCs w:val="20"/>
              </w:rPr>
              <w:t xml:space="preserve"> </w:t>
            </w:r>
            <w:r>
              <w:rPr>
                <w:rFonts w:ascii="Arial" w:hAnsi="Arial" w:cs="Arial"/>
                <w:b/>
                <w:color w:val="auto"/>
                <w:sz w:val="20"/>
                <w:szCs w:val="20"/>
              </w:rPr>
              <w:t xml:space="preserve">The drugs </w:t>
            </w:r>
            <w:r w:rsidR="0004669D" w:rsidRPr="00E63CB7">
              <w:rPr>
                <w:rFonts w:ascii="Arial" w:hAnsi="Arial" w:cs="Arial"/>
                <w:b/>
                <w:color w:val="auto"/>
                <w:sz w:val="20"/>
                <w:szCs w:val="20"/>
              </w:rPr>
              <w:t>Sulfasalazine and Sulfapyridine interfere</w:t>
            </w:r>
            <w:r w:rsidR="0004669D">
              <w:rPr>
                <w:rFonts w:ascii="Arial" w:hAnsi="Arial" w:cs="Arial"/>
                <w:color w:val="auto"/>
                <w:sz w:val="20"/>
                <w:szCs w:val="20"/>
              </w:rPr>
              <w:t xml:space="preserve"> </w:t>
            </w:r>
            <w:r w:rsidR="0004669D" w:rsidRPr="00E63CB7">
              <w:rPr>
                <w:rFonts w:ascii="Arial" w:hAnsi="Arial" w:cs="Arial"/>
                <w:b/>
                <w:color w:val="auto"/>
                <w:sz w:val="20"/>
                <w:szCs w:val="20"/>
              </w:rPr>
              <w:t xml:space="preserve">with </w:t>
            </w:r>
            <w:r w:rsidRPr="00E63CB7">
              <w:rPr>
                <w:rFonts w:ascii="Arial" w:hAnsi="Arial" w:cs="Arial"/>
                <w:b/>
                <w:color w:val="auto"/>
                <w:sz w:val="20"/>
                <w:szCs w:val="20"/>
              </w:rPr>
              <w:t>this assay</w:t>
            </w:r>
            <w:r w:rsidR="0004669D">
              <w:rPr>
                <w:rFonts w:ascii="Arial" w:hAnsi="Arial" w:cs="Arial"/>
                <w:color w:val="auto"/>
                <w:sz w:val="20"/>
                <w:szCs w:val="20"/>
              </w:rPr>
              <w:t xml:space="preserve">.  Venipuncture should occur prior to sulfasalazine and/or sulfapyridine administration due to </w:t>
            </w:r>
            <w:r>
              <w:rPr>
                <w:rFonts w:ascii="Arial" w:hAnsi="Arial" w:cs="Arial"/>
                <w:color w:val="auto"/>
                <w:sz w:val="20"/>
                <w:szCs w:val="20"/>
              </w:rPr>
              <w:t xml:space="preserve">the </w:t>
            </w:r>
            <w:r w:rsidR="0004669D">
              <w:rPr>
                <w:rFonts w:ascii="Arial" w:hAnsi="Arial" w:cs="Arial"/>
                <w:color w:val="auto"/>
                <w:sz w:val="20"/>
                <w:szCs w:val="20"/>
              </w:rPr>
              <w:t>potential for falsely depressed results.</w:t>
            </w:r>
            <w:r>
              <w:rPr>
                <w:rFonts w:ascii="Arial" w:hAnsi="Arial" w:cs="Arial"/>
                <w:color w:val="auto"/>
                <w:sz w:val="20"/>
                <w:szCs w:val="20"/>
              </w:rPr>
              <w:t xml:space="preserve">  </w:t>
            </w:r>
          </w:p>
          <w:p w:rsidR="00E63CB7" w:rsidRPr="00E63CB7" w:rsidRDefault="00E63CB7" w:rsidP="00814EAD">
            <w:pPr>
              <w:pStyle w:val="Default"/>
              <w:numPr>
                <w:ilvl w:val="0"/>
                <w:numId w:val="20"/>
              </w:numPr>
              <w:ind w:left="360"/>
              <w:jc w:val="both"/>
              <w:rPr>
                <w:rFonts w:ascii="Arial" w:hAnsi="Arial" w:cs="Arial"/>
                <w:color w:val="auto"/>
                <w:sz w:val="20"/>
                <w:szCs w:val="20"/>
              </w:rPr>
            </w:pPr>
            <w:r w:rsidRPr="00E63CB7">
              <w:rPr>
                <w:rFonts w:ascii="Arial" w:hAnsi="Arial" w:cs="Arial"/>
                <w:b/>
                <w:bCs/>
                <w:color w:val="76933C"/>
                <w:szCs w:val="20"/>
              </w:rPr>
              <w:t>SECONDARY METHOD</w:t>
            </w:r>
            <w:r>
              <w:rPr>
                <w:rFonts w:ascii="Arial" w:hAnsi="Arial" w:cs="Arial"/>
                <w:b/>
                <w:bCs/>
                <w:color w:val="76933C"/>
                <w:szCs w:val="20"/>
              </w:rPr>
              <w:t xml:space="preserve">: </w:t>
            </w:r>
            <w:r>
              <w:rPr>
                <w:rFonts w:ascii="Arial" w:hAnsi="Arial" w:cs="Arial"/>
                <w:b/>
                <w:color w:val="auto"/>
                <w:sz w:val="20"/>
                <w:szCs w:val="20"/>
              </w:rPr>
              <w:t xml:space="preserve">The drug </w:t>
            </w:r>
            <w:r w:rsidRPr="00E63CB7">
              <w:rPr>
                <w:rFonts w:ascii="Arial" w:hAnsi="Arial" w:cs="Arial"/>
                <w:b/>
                <w:color w:val="auto"/>
                <w:sz w:val="20"/>
                <w:szCs w:val="20"/>
              </w:rPr>
              <w:t>Sulfasalazine</w:t>
            </w:r>
            <w:r>
              <w:rPr>
                <w:rFonts w:ascii="Arial" w:hAnsi="Arial" w:cs="Arial"/>
                <w:b/>
                <w:color w:val="auto"/>
                <w:sz w:val="20"/>
                <w:szCs w:val="20"/>
              </w:rPr>
              <w:t xml:space="preserve"> interferes with this assay.  </w:t>
            </w:r>
            <w:r>
              <w:rPr>
                <w:rFonts w:ascii="Arial" w:hAnsi="Arial" w:cs="Arial"/>
                <w:color w:val="auto"/>
                <w:sz w:val="20"/>
                <w:szCs w:val="20"/>
              </w:rPr>
              <w:t>Venipuncture should occur prior to sulfasalazine administration due to the potential for falsely depressed results.</w:t>
            </w:r>
          </w:p>
        </w:tc>
      </w:tr>
      <w:tr w:rsidR="008C6EDC" w:rsidTr="00B816B4">
        <w:trPr>
          <w:trHeight w:val="719"/>
          <w:tblHeader/>
        </w:trPr>
        <w:tc>
          <w:tcPr>
            <w:tcW w:w="2160" w:type="dxa"/>
            <w:vAlign w:val="center"/>
          </w:tcPr>
          <w:p w:rsidR="008C6EDC" w:rsidRPr="004D6965" w:rsidRDefault="008C6EDC" w:rsidP="008C6EDC">
            <w:pPr>
              <w:jc w:val="both"/>
              <w:rPr>
                <w:rFonts w:cs="Arial"/>
                <w:b/>
                <w:bCs/>
                <w:color w:val="0000FF"/>
              </w:rPr>
            </w:pPr>
            <w:r>
              <w:rPr>
                <w:rFonts w:cs="Arial"/>
                <w:b/>
                <w:bCs/>
                <w:color w:val="0000FF"/>
              </w:rPr>
              <w:t>Reference Range</w:t>
            </w:r>
          </w:p>
        </w:tc>
        <w:tc>
          <w:tcPr>
            <w:tcW w:w="8910" w:type="dxa"/>
            <w:gridSpan w:val="4"/>
            <w:tcBorders>
              <w:top w:val="single" w:sz="18" w:space="0" w:color="BFBFBF"/>
              <w:bottom w:val="single" w:sz="18" w:space="0" w:color="BFBFBF"/>
            </w:tcBorders>
            <w:vAlign w:val="center"/>
          </w:tcPr>
          <w:p w:rsidR="008C6EDC" w:rsidRDefault="00513F9B" w:rsidP="008C6EDC">
            <w:pPr>
              <w:jc w:val="both"/>
              <w:rPr>
                <w:rFonts w:cs="Arial"/>
              </w:rPr>
            </w:pPr>
            <w:r>
              <w:rPr>
                <w:rFonts w:cs="Arial"/>
              </w:rPr>
              <w:t>6-50</w:t>
            </w:r>
            <w:r w:rsidR="00E63CB7">
              <w:rPr>
                <w:rFonts w:cs="Arial"/>
              </w:rPr>
              <w:t xml:space="preserve"> U/L</w:t>
            </w:r>
          </w:p>
        </w:tc>
      </w:tr>
      <w:tr w:rsidR="008C6EDC" w:rsidTr="00B816B4">
        <w:trPr>
          <w:trHeight w:val="701"/>
          <w:tblHeader/>
        </w:trPr>
        <w:tc>
          <w:tcPr>
            <w:tcW w:w="2160" w:type="dxa"/>
            <w:vAlign w:val="center"/>
          </w:tcPr>
          <w:p w:rsidR="008C6EDC" w:rsidRDefault="008C6EDC" w:rsidP="008C6EDC">
            <w:pPr>
              <w:rPr>
                <w:rFonts w:cs="Arial"/>
                <w:b/>
                <w:bCs/>
                <w:color w:val="0000FF"/>
              </w:rPr>
            </w:pPr>
            <w:r>
              <w:rPr>
                <w:rFonts w:cs="Arial"/>
                <w:b/>
                <w:bCs/>
                <w:color w:val="0000FF"/>
              </w:rPr>
              <w:t>Critical Values</w:t>
            </w:r>
          </w:p>
        </w:tc>
        <w:tc>
          <w:tcPr>
            <w:tcW w:w="8910" w:type="dxa"/>
            <w:gridSpan w:val="4"/>
            <w:tcBorders>
              <w:top w:val="single" w:sz="18" w:space="0" w:color="BFBFBF"/>
              <w:bottom w:val="single" w:sz="18" w:space="0" w:color="BFBFBF"/>
            </w:tcBorders>
            <w:vAlign w:val="center"/>
          </w:tcPr>
          <w:p w:rsidR="008C6EDC" w:rsidRDefault="008C6EDC" w:rsidP="008C6EDC">
            <w:pPr>
              <w:rPr>
                <w:rFonts w:cs="Arial"/>
              </w:rPr>
            </w:pPr>
            <w:r>
              <w:rPr>
                <w:rFonts w:cs="Arial"/>
              </w:rPr>
              <w:t>None specified</w:t>
            </w:r>
          </w:p>
        </w:tc>
      </w:tr>
      <w:tr w:rsidR="008C6EDC" w:rsidTr="00B816B4">
        <w:trPr>
          <w:trHeight w:val="593"/>
          <w:tblHeader/>
        </w:trPr>
        <w:tc>
          <w:tcPr>
            <w:tcW w:w="2160" w:type="dxa"/>
            <w:vAlign w:val="center"/>
          </w:tcPr>
          <w:p w:rsidR="008C6EDC" w:rsidRDefault="008C6EDC" w:rsidP="008C6EDC">
            <w:pPr>
              <w:rPr>
                <w:rFonts w:cs="Arial"/>
                <w:b/>
                <w:bCs/>
                <w:color w:val="0000FF"/>
              </w:rPr>
            </w:pPr>
            <w:r>
              <w:rPr>
                <w:rFonts w:cs="Arial"/>
                <w:b/>
                <w:bCs/>
                <w:color w:val="0000FF"/>
              </w:rPr>
              <w:t>Limitations</w:t>
            </w:r>
          </w:p>
          <w:p w:rsidR="008C6EDC" w:rsidRDefault="008C6EDC">
            <w:pPr>
              <w:rPr>
                <w:rFonts w:cs="Arial"/>
                <w:b/>
                <w:bCs/>
                <w:color w:val="0000FF"/>
              </w:rPr>
            </w:pPr>
          </w:p>
        </w:tc>
        <w:tc>
          <w:tcPr>
            <w:tcW w:w="8910" w:type="dxa"/>
            <w:gridSpan w:val="4"/>
            <w:tcBorders>
              <w:top w:val="single" w:sz="18" w:space="0" w:color="BFBFBF"/>
              <w:bottom w:val="single" w:sz="18" w:space="0" w:color="BFBFBF"/>
            </w:tcBorders>
          </w:tcPr>
          <w:p w:rsidR="008C6EDC" w:rsidRDefault="008C6EDC">
            <w:pPr>
              <w:rPr>
                <w:rFonts w:cs="Arial"/>
              </w:rPr>
            </w:pPr>
          </w:p>
          <w:p w:rsidR="008C6EDC" w:rsidRDefault="008C6EDC">
            <w:pPr>
              <w:rPr>
                <w:rFonts w:cs="Arial"/>
                <w:color w:val="000000"/>
                <w:szCs w:val="15"/>
              </w:rPr>
            </w:pPr>
            <w:r>
              <w:rPr>
                <w:rFonts w:cs="Arial"/>
                <w:color w:val="000000"/>
                <w:szCs w:val="15"/>
              </w:rPr>
              <w:t xml:space="preserve">The instrument reporting system contains error messages to warn the operator of specific malfunctions. Any report slip containing such error messages should be held for follow-up. Refer to </w:t>
            </w:r>
            <w:r w:rsidR="008E43B5">
              <w:rPr>
                <w:rFonts w:cs="Arial"/>
                <w:color w:val="000000"/>
                <w:szCs w:val="15"/>
              </w:rPr>
              <w:t>the iGuide or</w:t>
            </w:r>
            <w:r>
              <w:rPr>
                <w:rFonts w:cs="Arial"/>
                <w:color w:val="000000"/>
                <w:szCs w:val="15"/>
              </w:rPr>
              <w:t xml:space="preserve"> Dimension® Operator’s Guide for troubleshooting</w:t>
            </w:r>
            <w:r w:rsidR="008E43B5">
              <w:rPr>
                <w:rFonts w:cs="Arial"/>
                <w:color w:val="000000"/>
                <w:szCs w:val="15"/>
              </w:rPr>
              <w:t xml:space="preserve"> specific error messages</w:t>
            </w:r>
            <w:r>
              <w:rPr>
                <w:rFonts w:cs="Arial"/>
                <w:color w:val="000000"/>
                <w:szCs w:val="15"/>
              </w:rPr>
              <w:t>.</w:t>
            </w:r>
          </w:p>
          <w:p w:rsidR="008C6EDC" w:rsidRDefault="008C6EDC">
            <w:pPr>
              <w:rPr>
                <w:rFonts w:cs="Arial"/>
              </w:rPr>
            </w:pPr>
          </w:p>
        </w:tc>
      </w:tr>
      <w:tr w:rsidR="00B816B4" w:rsidTr="00B816B4">
        <w:trPr>
          <w:trHeight w:val="6720"/>
          <w:tblHeader/>
        </w:trPr>
        <w:tc>
          <w:tcPr>
            <w:tcW w:w="2160" w:type="dxa"/>
          </w:tcPr>
          <w:p w:rsidR="00B816B4" w:rsidRDefault="00B816B4" w:rsidP="008C6EDC">
            <w:pPr>
              <w:rPr>
                <w:rFonts w:cs="Arial"/>
                <w:b/>
                <w:bCs/>
                <w:color w:val="0000FF"/>
              </w:rPr>
            </w:pPr>
          </w:p>
          <w:p w:rsidR="00B816B4" w:rsidRDefault="00B816B4" w:rsidP="008C6EDC">
            <w:pPr>
              <w:rPr>
                <w:rFonts w:cs="Arial"/>
                <w:b/>
                <w:bCs/>
                <w:color w:val="0000FF"/>
              </w:rPr>
            </w:pPr>
            <w:r>
              <w:rPr>
                <w:rFonts w:cs="Arial"/>
                <w:b/>
                <w:bCs/>
                <w:color w:val="0000FF"/>
              </w:rPr>
              <w:t>Dilutions</w:t>
            </w:r>
          </w:p>
          <w:p w:rsidR="00B816B4" w:rsidRDefault="00B816B4" w:rsidP="008C6EDC">
            <w:pPr>
              <w:rPr>
                <w:rFonts w:cs="Arial"/>
                <w:b/>
                <w:bCs/>
                <w:color w:val="0000FF"/>
              </w:rPr>
            </w:pPr>
          </w:p>
        </w:tc>
        <w:tc>
          <w:tcPr>
            <w:tcW w:w="8910" w:type="dxa"/>
            <w:gridSpan w:val="4"/>
            <w:tcBorders>
              <w:top w:val="single" w:sz="18" w:space="0" w:color="BFBFBF"/>
              <w:bottom w:val="single" w:sz="18" w:space="0" w:color="BFBFBF"/>
            </w:tcBorders>
            <w:vAlign w:val="center"/>
          </w:tcPr>
          <w:p w:rsidR="00B816B4" w:rsidRPr="00C77940" w:rsidRDefault="00B816B4" w:rsidP="008C6EDC">
            <w:pPr>
              <w:rPr>
                <w:rFonts w:cs="Arial"/>
                <w:b/>
                <w:bCs/>
                <w:color w:val="5F497A"/>
                <w:szCs w:val="20"/>
              </w:rPr>
            </w:pPr>
            <w:r w:rsidRPr="00C77940">
              <w:rPr>
                <w:rFonts w:cs="Arial"/>
                <w:b/>
                <w:bCs/>
                <w:color w:val="5F497A"/>
                <w:szCs w:val="20"/>
              </w:rPr>
              <w:t xml:space="preserve">PRIMARY METHOD: </w:t>
            </w:r>
          </w:p>
          <w:p w:rsidR="00B816B4" w:rsidRPr="00C77940" w:rsidRDefault="00B816B4" w:rsidP="008C6EDC">
            <w:pPr>
              <w:rPr>
                <w:rFonts w:cs="Arial"/>
                <w:b/>
                <w:bCs/>
                <w:color w:val="5F497A"/>
                <w:szCs w:val="20"/>
              </w:rPr>
            </w:pPr>
          </w:p>
          <w:p w:rsidR="00B816B4" w:rsidRPr="00C77940" w:rsidRDefault="00B816B4" w:rsidP="008C6EDC">
            <w:pPr>
              <w:rPr>
                <w:rFonts w:cs="Arial"/>
                <w:b/>
              </w:rPr>
            </w:pPr>
            <w:r w:rsidRPr="00C77940">
              <w:rPr>
                <w:rFonts w:cs="Arial"/>
                <w:b/>
              </w:rPr>
              <w:t>Serum/Plasma</w:t>
            </w:r>
          </w:p>
          <w:tbl>
            <w:tblPr>
              <w:tblW w:w="8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37"/>
              <w:gridCol w:w="6570"/>
            </w:tblGrid>
            <w:tr w:rsidR="00B816B4" w:rsidRPr="00C77940">
              <w:tc>
                <w:tcPr>
                  <w:tcW w:w="2137" w:type="dxa"/>
                </w:tcPr>
                <w:p w:rsidR="00B816B4" w:rsidRPr="00C77940" w:rsidRDefault="00B816B4" w:rsidP="008C6EDC">
                  <w:pPr>
                    <w:pStyle w:val="BodyText"/>
                    <w:rPr>
                      <w:rFonts w:cs="Arial"/>
                    </w:rPr>
                  </w:pPr>
                  <w:r w:rsidRPr="00C77940">
                    <w:rPr>
                      <w:rFonts w:cs="Arial"/>
                    </w:rPr>
                    <w:t>Maximum Dilution:</w:t>
                  </w:r>
                </w:p>
              </w:tc>
              <w:tc>
                <w:tcPr>
                  <w:tcW w:w="6570" w:type="dxa"/>
                  <w:vAlign w:val="center"/>
                </w:tcPr>
                <w:p w:rsidR="00B816B4" w:rsidRPr="00C77940" w:rsidRDefault="00B816B4" w:rsidP="008C6EDC">
                  <w:pPr>
                    <w:pStyle w:val="BodyText"/>
                    <w:rPr>
                      <w:rFonts w:cs="Arial"/>
                    </w:rPr>
                  </w:pPr>
                  <w:r w:rsidRPr="00C77940">
                    <w:rPr>
                      <w:rFonts w:cs="Arial"/>
                    </w:rPr>
                    <w:t>1:20</w:t>
                  </w:r>
                </w:p>
              </w:tc>
            </w:tr>
            <w:tr w:rsidR="00B816B4" w:rsidRPr="00C77940">
              <w:trPr>
                <w:trHeight w:val="791"/>
              </w:trPr>
              <w:tc>
                <w:tcPr>
                  <w:tcW w:w="2137" w:type="dxa"/>
                </w:tcPr>
                <w:p w:rsidR="00B816B4" w:rsidRPr="00C77940" w:rsidRDefault="00B816B4" w:rsidP="008C6EDC">
                  <w:pPr>
                    <w:pStyle w:val="BodyText"/>
                    <w:rPr>
                      <w:rFonts w:cs="Arial"/>
                    </w:rPr>
                  </w:pPr>
                  <w:r w:rsidRPr="00C77940">
                    <w:rPr>
                      <w:rFonts w:cs="Arial"/>
                    </w:rPr>
                    <w:t>Surplus Rack:</w:t>
                  </w:r>
                </w:p>
              </w:tc>
              <w:tc>
                <w:tcPr>
                  <w:tcW w:w="6570" w:type="dxa"/>
                  <w:vAlign w:val="center"/>
                </w:tcPr>
                <w:p w:rsidR="00B816B4" w:rsidRPr="00C77940" w:rsidRDefault="00B816B4" w:rsidP="002A65EF">
                  <w:pPr>
                    <w:autoSpaceDE w:val="0"/>
                    <w:autoSpaceDN w:val="0"/>
                    <w:adjustRightInd w:val="0"/>
                    <w:jc w:val="both"/>
                    <w:rPr>
                      <w:rFonts w:cs="Arial"/>
                      <w:szCs w:val="20"/>
                    </w:rPr>
                  </w:pPr>
                  <w:r w:rsidRPr="00C77940">
                    <w:rPr>
                      <w:rFonts w:cs="Arial"/>
                      <w:szCs w:val="20"/>
                    </w:rPr>
                    <w:t xml:space="preserve">Samples with results &gt;1000 U/L reflex to higher dilutions (1:3.51, 1:10, 1:20). </w:t>
                  </w:r>
                </w:p>
              </w:tc>
            </w:tr>
            <w:tr w:rsidR="00B816B4" w:rsidRPr="00C77940" w:rsidTr="00814EAD">
              <w:trPr>
                <w:trHeight w:val="935"/>
              </w:trPr>
              <w:tc>
                <w:tcPr>
                  <w:tcW w:w="2137" w:type="dxa"/>
                </w:tcPr>
                <w:p w:rsidR="00B816B4" w:rsidRPr="00C77940" w:rsidRDefault="00B816B4" w:rsidP="008C6EDC">
                  <w:pPr>
                    <w:pStyle w:val="BodyText"/>
                    <w:rPr>
                      <w:rFonts w:cs="Arial"/>
                    </w:rPr>
                  </w:pPr>
                  <w:r w:rsidRPr="00C77940">
                    <w:rPr>
                      <w:rFonts w:cs="Arial"/>
                    </w:rPr>
                    <w:t>Limited Rack:</w:t>
                  </w:r>
                </w:p>
              </w:tc>
              <w:tc>
                <w:tcPr>
                  <w:tcW w:w="6570" w:type="dxa"/>
                  <w:vAlign w:val="center"/>
                </w:tcPr>
                <w:p w:rsidR="00B816B4" w:rsidRPr="00C77940" w:rsidRDefault="00B816B4" w:rsidP="002A65EF">
                  <w:pPr>
                    <w:autoSpaceDE w:val="0"/>
                    <w:autoSpaceDN w:val="0"/>
                    <w:adjustRightInd w:val="0"/>
                    <w:jc w:val="both"/>
                    <w:rPr>
                      <w:rFonts w:cs="Arial"/>
                      <w:szCs w:val="20"/>
                    </w:rPr>
                  </w:pPr>
                  <w:r w:rsidRPr="00C77940">
                    <w:rPr>
                      <w:rFonts w:cs="Arial"/>
                      <w:szCs w:val="20"/>
                    </w:rPr>
                    <w:t xml:space="preserve">Samples with results &gt;1000 U/L should be repeated as an Add-On Test with </w:t>
                  </w:r>
                  <w:r>
                    <w:rPr>
                      <w:rFonts w:cs="Arial"/>
                      <w:szCs w:val="20"/>
                    </w:rPr>
                    <w:t>the lowest</w:t>
                  </w:r>
                  <w:r w:rsidRPr="00C77940">
                    <w:rPr>
                      <w:rFonts w:cs="Arial"/>
                      <w:szCs w:val="20"/>
                    </w:rPr>
                    <w:t xml:space="preserve"> dilution (1:3.51, 1:10, or 1:20)</w:t>
                  </w:r>
                  <w:r>
                    <w:rPr>
                      <w:rFonts w:cs="Arial"/>
                      <w:szCs w:val="20"/>
                    </w:rPr>
                    <w:t xml:space="preserve"> that will give a result without an error message</w:t>
                  </w:r>
                  <w:r w:rsidRPr="00C77940">
                    <w:rPr>
                      <w:rFonts w:cs="Arial"/>
                      <w:szCs w:val="20"/>
                    </w:rPr>
                    <w:t xml:space="preserve">. </w:t>
                  </w:r>
                </w:p>
              </w:tc>
            </w:tr>
            <w:tr w:rsidR="00B816B4" w:rsidRPr="00C77940" w:rsidTr="002A65EF">
              <w:trPr>
                <w:trHeight w:val="521"/>
              </w:trPr>
              <w:tc>
                <w:tcPr>
                  <w:tcW w:w="2137" w:type="dxa"/>
                  <w:vAlign w:val="center"/>
                </w:tcPr>
                <w:p w:rsidR="00B816B4" w:rsidRPr="00C77940" w:rsidRDefault="00B816B4" w:rsidP="002A65EF">
                  <w:pPr>
                    <w:pStyle w:val="BodyText"/>
                    <w:rPr>
                      <w:rFonts w:cs="Arial"/>
                    </w:rPr>
                  </w:pPr>
                  <w:r>
                    <w:rPr>
                      <w:rFonts w:cs="Arial"/>
                    </w:rPr>
                    <w:t>Manual Dilution</w:t>
                  </w:r>
                </w:p>
              </w:tc>
              <w:tc>
                <w:tcPr>
                  <w:tcW w:w="6570" w:type="dxa"/>
                  <w:vAlign w:val="center"/>
                </w:tcPr>
                <w:p w:rsidR="00B816B4" w:rsidRPr="00C77940" w:rsidRDefault="00B816B4" w:rsidP="002A65EF">
                  <w:pPr>
                    <w:autoSpaceDE w:val="0"/>
                    <w:autoSpaceDN w:val="0"/>
                    <w:adjustRightInd w:val="0"/>
                    <w:jc w:val="both"/>
                    <w:rPr>
                      <w:rFonts w:cs="Arial"/>
                      <w:szCs w:val="20"/>
                    </w:rPr>
                  </w:pPr>
                  <w:r>
                    <w:rPr>
                      <w:rFonts w:cs="Arial"/>
                      <w:szCs w:val="20"/>
                    </w:rPr>
                    <w:t>Do not manually dilute.</w:t>
                  </w:r>
                </w:p>
              </w:tc>
            </w:tr>
          </w:tbl>
          <w:p w:rsidR="00B816B4" w:rsidRPr="00C77940" w:rsidRDefault="00B816B4" w:rsidP="008C6EDC">
            <w:pPr>
              <w:pStyle w:val="CalVerTable"/>
              <w:ind w:left="0" w:firstLine="0"/>
              <w:rPr>
                <w:rFonts w:ascii="Arial" w:hAnsi="Arial" w:cs="Arial"/>
              </w:rPr>
            </w:pPr>
          </w:p>
          <w:p w:rsidR="00B816B4" w:rsidRPr="00C77940" w:rsidRDefault="00B816B4" w:rsidP="008C6EDC">
            <w:pPr>
              <w:pStyle w:val="CalVerTable"/>
              <w:ind w:left="0" w:firstLine="0"/>
              <w:rPr>
                <w:rFonts w:ascii="Arial" w:hAnsi="Arial" w:cs="Arial"/>
              </w:rPr>
            </w:pPr>
            <w:r w:rsidRPr="00C77940">
              <w:rPr>
                <w:rFonts w:ascii="Arial" w:hAnsi="Arial" w:cs="Arial"/>
                <w:b/>
                <w:bCs/>
                <w:color w:val="76933C"/>
              </w:rPr>
              <w:t>SECONDARY METHOD</w:t>
            </w:r>
            <w:r w:rsidRPr="00C77940">
              <w:rPr>
                <w:rFonts w:ascii="Arial" w:hAnsi="Arial" w:cs="Arial"/>
                <w:color w:val="76933C"/>
              </w:rPr>
              <w:t>:</w:t>
            </w:r>
          </w:p>
          <w:p w:rsidR="00B816B4" w:rsidRPr="00C77940" w:rsidRDefault="00B816B4" w:rsidP="008C6EDC">
            <w:pPr>
              <w:autoSpaceDE w:val="0"/>
              <w:autoSpaceDN w:val="0"/>
              <w:adjustRightInd w:val="0"/>
              <w:rPr>
                <w:rFonts w:cs="Arial"/>
                <w:szCs w:val="20"/>
              </w:rPr>
            </w:pPr>
            <w:r w:rsidRPr="00C77940">
              <w:rPr>
                <w:rFonts w:cs="Arial"/>
                <w:b/>
                <w:szCs w:val="20"/>
              </w:rPr>
              <w:t>Above 1000 U/L:</w:t>
            </w:r>
            <w:r w:rsidRPr="00C77940">
              <w:rPr>
                <w:rFonts w:cs="Arial"/>
                <w:szCs w:val="20"/>
              </w:rPr>
              <w:t xml:space="preserve"> The instrument makes an autodilution.</w:t>
            </w:r>
          </w:p>
          <w:p w:rsidR="00B816B4" w:rsidRPr="00C77940" w:rsidRDefault="00B816B4" w:rsidP="008C6EDC">
            <w:pPr>
              <w:numPr>
                <w:ilvl w:val="0"/>
                <w:numId w:val="22"/>
              </w:numPr>
              <w:autoSpaceDE w:val="0"/>
              <w:autoSpaceDN w:val="0"/>
              <w:adjustRightInd w:val="0"/>
              <w:rPr>
                <w:rFonts w:cs="Arial"/>
                <w:szCs w:val="20"/>
              </w:rPr>
            </w:pPr>
            <w:r w:rsidRPr="00C77940">
              <w:rPr>
                <w:rFonts w:cs="Arial"/>
                <w:szCs w:val="20"/>
              </w:rPr>
              <w:t>Results with “dilution” appended are reportable.</w:t>
            </w:r>
          </w:p>
          <w:p w:rsidR="00B816B4" w:rsidRPr="00C77940" w:rsidRDefault="00B816B4" w:rsidP="008C6EDC">
            <w:pPr>
              <w:numPr>
                <w:ilvl w:val="0"/>
                <w:numId w:val="22"/>
              </w:numPr>
              <w:autoSpaceDE w:val="0"/>
              <w:autoSpaceDN w:val="0"/>
              <w:adjustRightInd w:val="0"/>
              <w:rPr>
                <w:rFonts w:cs="Arial"/>
                <w:szCs w:val="20"/>
              </w:rPr>
            </w:pPr>
            <w:r w:rsidRPr="00C77940">
              <w:rPr>
                <w:rFonts w:cs="Arial"/>
                <w:szCs w:val="20"/>
              </w:rPr>
              <w:t>Dilute results with “assay range / dilution” appended.</w:t>
            </w:r>
          </w:p>
          <w:p w:rsidR="00B816B4" w:rsidRPr="00C77940" w:rsidRDefault="00B816B4" w:rsidP="008C6EDC">
            <w:pPr>
              <w:numPr>
                <w:ilvl w:val="0"/>
                <w:numId w:val="22"/>
              </w:numPr>
              <w:autoSpaceDE w:val="0"/>
              <w:autoSpaceDN w:val="0"/>
              <w:adjustRightInd w:val="0"/>
              <w:rPr>
                <w:rFonts w:cs="Arial"/>
                <w:szCs w:val="20"/>
              </w:rPr>
            </w:pPr>
            <w:r w:rsidRPr="00C77940">
              <w:rPr>
                <w:rFonts w:cs="Arial"/>
                <w:szCs w:val="20"/>
              </w:rPr>
              <w:t>Make appropriate dilution with Enzyme Diluent (</w:t>
            </w:r>
            <w:r>
              <w:rPr>
                <w:rFonts w:cs="Arial"/>
                <w:szCs w:val="20"/>
              </w:rPr>
              <w:t>PN</w:t>
            </w:r>
            <w:r w:rsidRPr="00C77940">
              <w:rPr>
                <w:rFonts w:cs="Arial"/>
                <w:szCs w:val="20"/>
              </w:rPr>
              <w:t xml:space="preserve"> 790035901) or equivalent to</w:t>
            </w:r>
            <w:r>
              <w:rPr>
                <w:rFonts w:cs="Arial"/>
                <w:szCs w:val="20"/>
              </w:rPr>
              <w:t xml:space="preserve"> o</w:t>
            </w:r>
            <w:r w:rsidRPr="00C77940">
              <w:rPr>
                <w:rFonts w:cs="Arial"/>
                <w:szCs w:val="20"/>
              </w:rPr>
              <w:t>btain results within assay range.</w:t>
            </w:r>
          </w:p>
          <w:p w:rsidR="00B816B4" w:rsidRPr="00C77940" w:rsidRDefault="00B816B4" w:rsidP="008C6EDC">
            <w:pPr>
              <w:numPr>
                <w:ilvl w:val="1"/>
                <w:numId w:val="22"/>
              </w:numPr>
              <w:autoSpaceDE w:val="0"/>
              <w:autoSpaceDN w:val="0"/>
              <w:adjustRightInd w:val="0"/>
              <w:rPr>
                <w:rFonts w:cs="Arial"/>
                <w:szCs w:val="20"/>
              </w:rPr>
            </w:pPr>
            <w:r w:rsidRPr="00C77940">
              <w:rPr>
                <w:rFonts w:cs="Arial"/>
                <w:szCs w:val="20"/>
              </w:rPr>
              <w:t>Determine optimum dilution by dividing RxL result obtained by 1000 (the assay range) and</w:t>
            </w:r>
            <w:r>
              <w:rPr>
                <w:rFonts w:cs="Arial"/>
                <w:szCs w:val="20"/>
              </w:rPr>
              <w:t xml:space="preserve"> </w:t>
            </w:r>
            <w:r w:rsidRPr="00C77940">
              <w:rPr>
                <w:rFonts w:cs="Arial"/>
                <w:szCs w:val="20"/>
              </w:rPr>
              <w:t>rounding up to the next whole number.</w:t>
            </w:r>
          </w:p>
          <w:p w:rsidR="00B816B4" w:rsidRPr="00C77940" w:rsidRDefault="00B816B4" w:rsidP="008C6EDC">
            <w:pPr>
              <w:numPr>
                <w:ilvl w:val="1"/>
                <w:numId w:val="22"/>
              </w:numPr>
              <w:autoSpaceDE w:val="0"/>
              <w:autoSpaceDN w:val="0"/>
              <w:adjustRightInd w:val="0"/>
              <w:rPr>
                <w:rFonts w:cs="Arial"/>
                <w:szCs w:val="20"/>
              </w:rPr>
            </w:pPr>
            <w:r w:rsidRPr="00C77940">
              <w:rPr>
                <w:rFonts w:cs="Arial"/>
                <w:szCs w:val="20"/>
              </w:rPr>
              <w:t>The maximum dilution to prepare is 1:20</w:t>
            </w:r>
          </w:p>
          <w:p w:rsidR="00B816B4" w:rsidRPr="00C77940" w:rsidRDefault="00B816B4" w:rsidP="008C6EDC">
            <w:pPr>
              <w:numPr>
                <w:ilvl w:val="0"/>
                <w:numId w:val="22"/>
              </w:numPr>
              <w:autoSpaceDE w:val="0"/>
              <w:autoSpaceDN w:val="0"/>
              <w:adjustRightInd w:val="0"/>
              <w:rPr>
                <w:rFonts w:cs="Arial"/>
                <w:szCs w:val="20"/>
              </w:rPr>
            </w:pPr>
            <w:r w:rsidRPr="00C77940">
              <w:rPr>
                <w:rFonts w:cs="Arial"/>
                <w:szCs w:val="20"/>
              </w:rPr>
              <w:t>Label diluted sample with “label foot” or Accession number, and dilution factor.</w:t>
            </w:r>
          </w:p>
          <w:p w:rsidR="00B816B4" w:rsidRPr="00C77940" w:rsidRDefault="00B816B4" w:rsidP="008C6EDC">
            <w:pPr>
              <w:numPr>
                <w:ilvl w:val="0"/>
                <w:numId w:val="22"/>
              </w:numPr>
              <w:autoSpaceDE w:val="0"/>
              <w:autoSpaceDN w:val="0"/>
              <w:adjustRightInd w:val="0"/>
              <w:rPr>
                <w:rFonts w:cs="Arial"/>
                <w:szCs w:val="20"/>
              </w:rPr>
            </w:pPr>
            <w:r w:rsidRPr="00C77940">
              <w:rPr>
                <w:rFonts w:cs="Arial"/>
                <w:szCs w:val="20"/>
              </w:rPr>
              <w:t>Program dilution factor. Reassay. Resulting readout is corrected for dilution.</w:t>
            </w:r>
          </w:p>
          <w:p w:rsidR="00B816B4" w:rsidRPr="00C77940" w:rsidRDefault="00B816B4" w:rsidP="008C6EDC">
            <w:pPr>
              <w:pStyle w:val="CalVerTable"/>
              <w:numPr>
                <w:ilvl w:val="0"/>
                <w:numId w:val="22"/>
              </w:numPr>
              <w:rPr>
                <w:rFonts w:ascii="Arial" w:hAnsi="Arial" w:cs="Arial"/>
              </w:rPr>
            </w:pPr>
            <w:r w:rsidRPr="00C77940">
              <w:rPr>
                <w:rFonts w:ascii="Arial" w:hAnsi="Arial" w:cs="Arial"/>
              </w:rPr>
              <w:t>Document dilutions and calculations, and have results checked prior to reporting.</w:t>
            </w:r>
          </w:p>
        </w:tc>
      </w:tr>
      <w:tr w:rsidR="008C6EDC" w:rsidTr="00B816B4">
        <w:trPr>
          <w:trHeight w:val="2438"/>
          <w:tblHeader/>
        </w:trPr>
        <w:tc>
          <w:tcPr>
            <w:tcW w:w="2160" w:type="dxa"/>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Result Reporting</w:t>
            </w:r>
          </w:p>
          <w:p w:rsidR="008C6EDC" w:rsidRDefault="008C6EDC" w:rsidP="008C6EDC">
            <w:pPr>
              <w:rPr>
                <w:rFonts w:cs="Arial"/>
                <w:b/>
                <w:bCs/>
                <w:color w:val="0000FF"/>
              </w:rPr>
            </w:pPr>
          </w:p>
        </w:tc>
        <w:tc>
          <w:tcPr>
            <w:tcW w:w="8910" w:type="dxa"/>
            <w:gridSpan w:val="4"/>
            <w:tcBorders>
              <w:top w:val="single" w:sz="18" w:space="0" w:color="BFBFBF"/>
              <w:bottom w:val="single" w:sz="18" w:space="0" w:color="BFBFBF"/>
            </w:tcBorders>
            <w:vAlign w:val="center"/>
          </w:tcPr>
          <w:p w:rsidR="008C6EDC" w:rsidRDefault="008C6EDC" w:rsidP="008E43B5">
            <w:pPr>
              <w:pStyle w:val="Header"/>
              <w:numPr>
                <w:ilvl w:val="0"/>
                <w:numId w:val="4"/>
              </w:numPr>
              <w:tabs>
                <w:tab w:val="clear" w:pos="4320"/>
                <w:tab w:val="clear" w:pos="8640"/>
              </w:tabs>
              <w:jc w:val="both"/>
              <w:rPr>
                <w:rFonts w:cs="Arial"/>
              </w:rPr>
            </w:pPr>
            <w:r>
              <w:rPr>
                <w:rFonts w:cs="Arial"/>
              </w:rPr>
              <w:t>Results between 6 - 1000 U/L without error messages are released</w:t>
            </w:r>
          </w:p>
          <w:p w:rsidR="008C6EDC" w:rsidRDefault="008C6EDC" w:rsidP="008E43B5">
            <w:pPr>
              <w:pStyle w:val="Header"/>
              <w:numPr>
                <w:ilvl w:val="0"/>
                <w:numId w:val="4"/>
              </w:numPr>
              <w:tabs>
                <w:tab w:val="clear" w:pos="4320"/>
                <w:tab w:val="clear" w:pos="8640"/>
              </w:tabs>
              <w:jc w:val="both"/>
              <w:rPr>
                <w:rFonts w:cs="Arial"/>
              </w:rPr>
            </w:pPr>
            <w:r>
              <w:rPr>
                <w:rFonts w:cs="Arial"/>
              </w:rPr>
              <w:t>Results less than 6 are reported as &lt; 6 rather than the numerical value</w:t>
            </w:r>
          </w:p>
          <w:p w:rsidR="008C6EDC" w:rsidRDefault="008C6EDC" w:rsidP="008E43B5">
            <w:pPr>
              <w:numPr>
                <w:ilvl w:val="0"/>
                <w:numId w:val="4"/>
              </w:numPr>
              <w:jc w:val="both"/>
              <w:rPr>
                <w:rFonts w:cs="Arial"/>
              </w:rPr>
            </w:pPr>
            <w:r>
              <w:rPr>
                <w:rFonts w:cs="Arial"/>
              </w:rPr>
              <w:t>Results &gt;1000 U/L without error messages are reported following a maximum dilution of 1:20</w:t>
            </w:r>
          </w:p>
          <w:p w:rsidR="008C6EDC" w:rsidRPr="004E09CC" w:rsidRDefault="008C6EDC" w:rsidP="008E43B5">
            <w:pPr>
              <w:numPr>
                <w:ilvl w:val="0"/>
                <w:numId w:val="4"/>
              </w:numPr>
              <w:jc w:val="both"/>
              <w:rPr>
                <w:rFonts w:cs="Arial"/>
              </w:rPr>
            </w:pPr>
            <w:r>
              <w:rPr>
                <w:rFonts w:cs="Arial"/>
              </w:rPr>
              <w:t>Results with “assay range” appended following a maximum dilution of 1:20 are reported as &gt;20,000 U/L</w:t>
            </w:r>
          </w:p>
          <w:p w:rsidR="008E43B5" w:rsidRDefault="008C6EDC" w:rsidP="008E43B5">
            <w:pPr>
              <w:widowControl w:val="0"/>
              <w:numPr>
                <w:ilvl w:val="0"/>
                <w:numId w:val="4"/>
              </w:numPr>
              <w:autoSpaceDE w:val="0"/>
              <w:autoSpaceDN w:val="0"/>
              <w:adjustRightInd w:val="0"/>
              <w:jc w:val="both"/>
              <w:rPr>
                <w:rFonts w:cs="Arial"/>
                <w:color w:val="000000"/>
                <w:szCs w:val="20"/>
              </w:rPr>
            </w:pPr>
            <w:r w:rsidRPr="004E09CC">
              <w:rPr>
                <w:rFonts w:cs="Arial"/>
                <w:color w:val="000000"/>
                <w:szCs w:val="20"/>
              </w:rPr>
              <w:t xml:space="preserve">Append the comment “BIN” to icteric samples with a HIL index of 7 or greater. </w:t>
            </w:r>
          </w:p>
          <w:p w:rsidR="008E43B5" w:rsidRDefault="008C6EDC" w:rsidP="008E43B5">
            <w:pPr>
              <w:widowControl w:val="0"/>
              <w:numPr>
                <w:ilvl w:val="0"/>
                <w:numId w:val="4"/>
              </w:numPr>
              <w:autoSpaceDE w:val="0"/>
              <w:autoSpaceDN w:val="0"/>
              <w:adjustRightInd w:val="0"/>
              <w:jc w:val="both"/>
              <w:rPr>
                <w:rFonts w:cs="Arial"/>
                <w:color w:val="000000"/>
                <w:szCs w:val="20"/>
              </w:rPr>
            </w:pPr>
            <w:r w:rsidRPr="004E09CC">
              <w:rPr>
                <w:rFonts w:cs="Arial"/>
                <w:color w:val="000000"/>
                <w:szCs w:val="20"/>
              </w:rPr>
              <w:t>Append the comment “LINT” to lipemic samples with a HIL index of 4 or greater.</w:t>
            </w:r>
          </w:p>
          <w:p w:rsidR="008C6EDC" w:rsidRPr="004E09CC" w:rsidRDefault="008C6EDC" w:rsidP="008E43B5">
            <w:pPr>
              <w:widowControl w:val="0"/>
              <w:numPr>
                <w:ilvl w:val="0"/>
                <w:numId w:val="4"/>
              </w:numPr>
              <w:autoSpaceDE w:val="0"/>
              <w:autoSpaceDN w:val="0"/>
              <w:adjustRightInd w:val="0"/>
              <w:jc w:val="both"/>
              <w:rPr>
                <w:rFonts w:cs="Arial"/>
                <w:color w:val="000000"/>
                <w:szCs w:val="20"/>
              </w:rPr>
            </w:pPr>
            <w:r w:rsidRPr="004E09CC">
              <w:rPr>
                <w:rFonts w:cs="Arial"/>
                <w:color w:val="000000"/>
                <w:szCs w:val="20"/>
              </w:rPr>
              <w:t xml:space="preserve">Refer to </w:t>
            </w:r>
            <w:hyperlink r:id="rId12" w:history="1">
              <w:r w:rsidRPr="008E43B5">
                <w:rPr>
                  <w:rStyle w:val="Hyperlink"/>
                  <w:rFonts w:cs="Arial"/>
                  <w:szCs w:val="20"/>
                </w:rPr>
                <w:t>CH5.101 HIL on Dimension Vista</w:t>
              </w:r>
            </w:hyperlink>
            <w:r w:rsidRPr="004E09CC">
              <w:rPr>
                <w:rFonts w:cs="Arial"/>
                <w:color w:val="000000"/>
                <w:szCs w:val="20"/>
              </w:rPr>
              <w:t xml:space="preserve"> </w:t>
            </w:r>
          </w:p>
          <w:p w:rsidR="008C6EDC" w:rsidRPr="006D1254" w:rsidRDefault="008C6EDC" w:rsidP="008E43B5">
            <w:pPr>
              <w:numPr>
                <w:ilvl w:val="0"/>
                <w:numId w:val="4"/>
              </w:numPr>
              <w:jc w:val="both"/>
              <w:rPr>
                <w:rFonts w:cs="Arial"/>
              </w:rPr>
            </w:pPr>
            <w:r>
              <w:rPr>
                <w:rFonts w:cs="Arial"/>
              </w:rPr>
              <w:t>Results with “Abnormal assay” are reported as METH. Do not report a numerical value</w:t>
            </w:r>
          </w:p>
        </w:tc>
      </w:tr>
      <w:tr w:rsidR="008C6EDC" w:rsidTr="00B816B4">
        <w:trPr>
          <w:trHeight w:val="1160"/>
          <w:tblHeader/>
        </w:trPr>
        <w:tc>
          <w:tcPr>
            <w:tcW w:w="2160" w:type="dxa"/>
          </w:tcPr>
          <w:p w:rsidR="008C6EDC" w:rsidRDefault="008C6EDC" w:rsidP="008C6EDC">
            <w:pPr>
              <w:rPr>
                <w:rFonts w:cs="Arial"/>
                <w:b/>
                <w:bCs/>
                <w:color w:val="0000FF"/>
              </w:rPr>
            </w:pPr>
          </w:p>
          <w:p w:rsidR="008C6EDC" w:rsidRDefault="008C6EDC" w:rsidP="008C6EDC">
            <w:pPr>
              <w:rPr>
                <w:rFonts w:cs="Arial"/>
                <w:b/>
                <w:bCs/>
                <w:color w:val="0000FF"/>
              </w:rPr>
            </w:pPr>
            <w:r>
              <w:rPr>
                <w:rFonts w:cs="Arial"/>
                <w:b/>
                <w:bCs/>
                <w:color w:val="0000FF"/>
              </w:rPr>
              <w:t>Specimen Storage</w:t>
            </w:r>
          </w:p>
          <w:p w:rsidR="008C6EDC" w:rsidRDefault="008C6EDC">
            <w:pPr>
              <w:rPr>
                <w:rFonts w:cs="Arial"/>
                <w:b/>
                <w:bCs/>
                <w:color w:val="0000FF"/>
              </w:rPr>
            </w:pPr>
          </w:p>
        </w:tc>
        <w:tc>
          <w:tcPr>
            <w:tcW w:w="8910" w:type="dxa"/>
            <w:gridSpan w:val="4"/>
            <w:tcBorders>
              <w:top w:val="single" w:sz="18" w:space="0" w:color="BFBFBF"/>
              <w:bottom w:val="single" w:sz="18" w:space="0" w:color="BFBFBF"/>
            </w:tcBorders>
            <w:vAlign w:val="center"/>
          </w:tcPr>
          <w:p w:rsidR="008C6EDC" w:rsidRDefault="008C6EDC" w:rsidP="008E43B5">
            <w:pPr>
              <w:jc w:val="both"/>
              <w:rPr>
                <w:rFonts w:cs="Arial"/>
              </w:rPr>
            </w:pPr>
            <w:r>
              <w:rPr>
                <w:rFonts w:cs="Arial"/>
              </w:rPr>
              <w:t>Promptly stopper tested specimen and store upright in specimen rack. Every 8 hours remove specimens to refrigerator/freezer storage. Samples are retained 7 days in specimen storage freezer.</w:t>
            </w:r>
          </w:p>
        </w:tc>
      </w:tr>
      <w:tr w:rsidR="008C6EDC" w:rsidTr="00B816B4">
        <w:trPr>
          <w:trHeight w:val="3770"/>
          <w:tblHeader/>
        </w:trPr>
        <w:tc>
          <w:tcPr>
            <w:tcW w:w="2160" w:type="dxa"/>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References</w:t>
            </w:r>
          </w:p>
        </w:tc>
        <w:tc>
          <w:tcPr>
            <w:tcW w:w="8910" w:type="dxa"/>
            <w:gridSpan w:val="4"/>
            <w:tcBorders>
              <w:top w:val="single" w:sz="18" w:space="0" w:color="BFBFBF"/>
              <w:bottom w:val="single" w:sz="18" w:space="0" w:color="BFBFBF"/>
            </w:tcBorders>
            <w:vAlign w:val="center"/>
          </w:tcPr>
          <w:p w:rsidR="008C6EDC" w:rsidRPr="009E6926" w:rsidRDefault="008C6EDC" w:rsidP="008E43B5">
            <w:pPr>
              <w:numPr>
                <w:ilvl w:val="0"/>
                <w:numId w:val="6"/>
              </w:numPr>
              <w:jc w:val="both"/>
              <w:rPr>
                <w:rFonts w:cs="Arial"/>
              </w:rPr>
            </w:pPr>
            <w:r w:rsidRPr="009E6926">
              <w:rPr>
                <w:rFonts w:cs="Arial"/>
              </w:rPr>
              <w:t xml:space="preserve">Vista ALTI Flex™ reagent cartridge insert sheet Siemens Healthcare Diagnostics Inc., </w:t>
            </w:r>
            <w:r w:rsidRPr="009E6926">
              <w:rPr>
                <w:szCs w:val="15"/>
              </w:rPr>
              <w:t xml:space="preserve">PN 781143.001 </w:t>
            </w:r>
            <w:r>
              <w:rPr>
                <w:szCs w:val="15"/>
              </w:rPr>
              <w:t xml:space="preserve">version </w:t>
            </w:r>
            <w:r w:rsidRPr="009E6926">
              <w:rPr>
                <w:szCs w:val="15"/>
              </w:rPr>
              <w:t>D</w:t>
            </w:r>
            <w:r>
              <w:rPr>
                <w:szCs w:val="15"/>
              </w:rPr>
              <w:t xml:space="preserve">, Issue Date </w:t>
            </w:r>
            <w:r w:rsidR="000625DB">
              <w:rPr>
                <w:szCs w:val="15"/>
              </w:rPr>
              <w:t>2015-02-06</w:t>
            </w:r>
            <w:r w:rsidRPr="009E6926">
              <w:rPr>
                <w:szCs w:val="15"/>
              </w:rPr>
              <w:t xml:space="preserve"> </w:t>
            </w:r>
          </w:p>
          <w:p w:rsidR="008C6EDC" w:rsidRPr="00A565CC" w:rsidRDefault="008C6EDC" w:rsidP="008E43B5">
            <w:pPr>
              <w:numPr>
                <w:ilvl w:val="0"/>
                <w:numId w:val="6"/>
              </w:numPr>
              <w:jc w:val="both"/>
              <w:rPr>
                <w:rFonts w:cs="Arial"/>
              </w:rPr>
            </w:pPr>
            <w:r w:rsidRPr="009E6926">
              <w:rPr>
                <w:rFonts w:cs="Arial"/>
              </w:rPr>
              <w:t>ALTI Flex™ reagent cartridge insert sheet Siemens Healthcare Diagnostics Inc.</w:t>
            </w:r>
            <w:r w:rsidRPr="009E6926">
              <w:rPr>
                <w:szCs w:val="18"/>
              </w:rPr>
              <w:t xml:space="preserve">, PN </w:t>
            </w:r>
            <w:r w:rsidRPr="009E6926">
              <w:rPr>
                <w:rStyle w:val="A7"/>
                <w:rFonts w:cs="Arial"/>
                <w:sz w:val="20"/>
              </w:rPr>
              <w:t xml:space="preserve">717143.002 – US, version F </w:t>
            </w:r>
            <w:r w:rsidRPr="009E6926">
              <w:rPr>
                <w:szCs w:val="18"/>
              </w:rPr>
              <w:t>Issue Date 201</w:t>
            </w:r>
            <w:r w:rsidR="000625DB">
              <w:rPr>
                <w:szCs w:val="18"/>
              </w:rPr>
              <w:t>5-01-30</w:t>
            </w:r>
          </w:p>
          <w:p w:rsidR="008C6EDC" w:rsidRPr="00A565CC" w:rsidRDefault="008C6EDC" w:rsidP="008E43B5">
            <w:pPr>
              <w:numPr>
                <w:ilvl w:val="0"/>
                <w:numId w:val="6"/>
              </w:numPr>
              <w:jc w:val="both"/>
              <w:rPr>
                <w:rFonts w:cs="Arial"/>
              </w:rPr>
            </w:pPr>
            <w:r>
              <w:rPr>
                <w:rFonts w:cs="Arial"/>
              </w:rPr>
              <w:t>Dimension Vista Enzyme 2 Calibrator insert sheet, Siemens Healthcare Diagnostics Inc., PN 751321.001-US, Rev A, 01/2011</w:t>
            </w:r>
          </w:p>
          <w:p w:rsidR="008C6EDC" w:rsidRPr="009E6926" w:rsidRDefault="008C6EDC" w:rsidP="008E43B5">
            <w:pPr>
              <w:numPr>
                <w:ilvl w:val="0"/>
                <w:numId w:val="6"/>
              </w:numPr>
              <w:jc w:val="both"/>
              <w:rPr>
                <w:rFonts w:cs="Arial"/>
              </w:rPr>
            </w:pPr>
            <w:r>
              <w:rPr>
                <w:rFonts w:cs="Arial"/>
              </w:rPr>
              <w:t xml:space="preserve">Dimension Clinical Chemistry System Enzyme II Calibrator insert sheet, </w:t>
            </w:r>
            <w:r w:rsidRPr="009E6926">
              <w:rPr>
                <w:rFonts w:cs="Arial"/>
              </w:rPr>
              <w:t>Siemens Healthcare Diagnostics Inc.,</w:t>
            </w:r>
            <w:r>
              <w:rPr>
                <w:rFonts w:cs="Arial"/>
              </w:rPr>
              <w:t xml:space="preserve"> PN 792143.001 version A, issue date 02-2011</w:t>
            </w:r>
          </w:p>
          <w:p w:rsidR="008C6EDC" w:rsidRPr="009E6926" w:rsidRDefault="008C6EDC" w:rsidP="008E43B5">
            <w:pPr>
              <w:numPr>
                <w:ilvl w:val="0"/>
                <w:numId w:val="6"/>
              </w:numPr>
              <w:jc w:val="both"/>
              <w:rPr>
                <w:rFonts w:cs="Arial"/>
              </w:rPr>
            </w:pPr>
            <w:r w:rsidRPr="009E6926">
              <w:rPr>
                <w:rFonts w:cs="Arial"/>
                <w:szCs w:val="15"/>
              </w:rPr>
              <w:t>Clinical Significance, Dade Behring Inc., Glasgow Business Community, Mailbox 531, P.O. Box 6101, Newark, Delaware 19714</w:t>
            </w:r>
          </w:p>
          <w:p w:rsidR="008C6EDC" w:rsidRPr="009E6926" w:rsidRDefault="008C6EDC" w:rsidP="008E43B5">
            <w:pPr>
              <w:numPr>
                <w:ilvl w:val="0"/>
                <w:numId w:val="6"/>
              </w:numPr>
              <w:jc w:val="both"/>
              <w:rPr>
                <w:rFonts w:cs="Arial"/>
              </w:rPr>
            </w:pPr>
            <w:r w:rsidRPr="009E6926">
              <w:rPr>
                <w:rFonts w:cs="Arial"/>
                <w:szCs w:val="12"/>
              </w:rPr>
              <w:t>Jacobs &amp; DeMott Laboratory Test Handbook, Lexi-Comp, Inc, Hudson, OH, 5</w:t>
            </w:r>
            <w:r w:rsidRPr="009E6926">
              <w:rPr>
                <w:rFonts w:cs="Arial"/>
                <w:szCs w:val="12"/>
                <w:vertAlign w:val="superscript"/>
              </w:rPr>
              <w:t>th</w:t>
            </w:r>
            <w:r w:rsidRPr="009E6926">
              <w:rPr>
                <w:rFonts w:cs="Arial"/>
                <w:szCs w:val="12"/>
              </w:rPr>
              <w:t xml:space="preserve"> Edition, 2001</w:t>
            </w:r>
          </w:p>
          <w:p w:rsidR="008C6EDC" w:rsidRPr="008F4957" w:rsidRDefault="008C6EDC" w:rsidP="008E43B5">
            <w:pPr>
              <w:numPr>
                <w:ilvl w:val="0"/>
                <w:numId w:val="6"/>
              </w:numPr>
              <w:jc w:val="both"/>
              <w:rPr>
                <w:rFonts w:cs="Arial"/>
              </w:rPr>
            </w:pPr>
            <w:r w:rsidRPr="009E6926">
              <w:rPr>
                <w:rFonts w:cs="Arial"/>
                <w:bCs/>
                <w:szCs w:val="12"/>
              </w:rPr>
              <w:t xml:space="preserve">Biorad </w:t>
            </w:r>
            <w:r>
              <w:rPr>
                <w:rFonts w:cs="Arial"/>
                <w:bCs/>
                <w:szCs w:val="12"/>
              </w:rPr>
              <w:t>Multiqual</w:t>
            </w:r>
            <w:r w:rsidRPr="009E6926">
              <w:rPr>
                <w:rFonts w:cs="Arial"/>
                <w:bCs/>
                <w:szCs w:val="12"/>
              </w:rPr>
              <w:t xml:space="preserve"> </w:t>
            </w:r>
            <w:r>
              <w:rPr>
                <w:rFonts w:cs="Arial"/>
                <w:bCs/>
                <w:szCs w:val="12"/>
              </w:rPr>
              <w:t>A</w:t>
            </w:r>
            <w:r w:rsidRPr="009E6926">
              <w:rPr>
                <w:rFonts w:cs="Arial"/>
                <w:bCs/>
                <w:szCs w:val="12"/>
              </w:rPr>
              <w:t>ssayed Chemistry Control Product Insert, Bio-Rad Laboratories, Irvine, CA 92618</w:t>
            </w:r>
          </w:p>
          <w:p w:rsidR="008C6EDC" w:rsidRPr="00513F9B" w:rsidRDefault="008C6EDC" w:rsidP="008E43B5">
            <w:pPr>
              <w:numPr>
                <w:ilvl w:val="0"/>
                <w:numId w:val="6"/>
              </w:numPr>
              <w:jc w:val="both"/>
              <w:rPr>
                <w:rFonts w:cs="Arial"/>
              </w:rPr>
            </w:pPr>
            <w:r w:rsidRPr="009E6926">
              <w:rPr>
                <w:rFonts w:cs="Arial"/>
                <w:bCs/>
                <w:szCs w:val="12"/>
              </w:rPr>
              <w:t>Biorad Liquichek Unassayed Chemistry Control Product Insert, Bio-Rad Laboratories, Irvine, CA 92618</w:t>
            </w:r>
          </w:p>
          <w:p w:rsidR="00513F9B" w:rsidRPr="00513F9B" w:rsidRDefault="00513F9B" w:rsidP="008E43B5">
            <w:pPr>
              <w:numPr>
                <w:ilvl w:val="0"/>
                <w:numId w:val="6"/>
              </w:numPr>
              <w:jc w:val="both"/>
              <w:rPr>
                <w:rFonts w:cs="Arial"/>
              </w:rPr>
            </w:pPr>
            <w:r>
              <w:rPr>
                <w:rFonts w:cs="Arial"/>
                <w:bCs/>
                <w:szCs w:val="12"/>
              </w:rPr>
              <w:t>Siemens Urgent Medical Device Correction CHC-17-06.A.US.DM June 29, 2017</w:t>
            </w:r>
          </w:p>
          <w:p w:rsidR="00513F9B" w:rsidRPr="00513F9B" w:rsidRDefault="009945A2" w:rsidP="00513F9B">
            <w:pPr>
              <w:numPr>
                <w:ilvl w:val="0"/>
                <w:numId w:val="6"/>
              </w:numPr>
              <w:jc w:val="both"/>
              <w:rPr>
                <w:rFonts w:cs="Arial"/>
              </w:rPr>
            </w:pPr>
            <w:hyperlink r:id="rId13" w:history="1">
              <w:r w:rsidR="00513F9B">
                <w:rPr>
                  <w:rStyle w:val="Hyperlink"/>
                  <w:rFonts w:ascii="Georgia" w:hAnsi="Georgia"/>
                </w:rPr>
                <w:t>CLASS kids reference range</w:t>
              </w:r>
            </w:hyperlink>
          </w:p>
        </w:tc>
      </w:tr>
      <w:tr w:rsidR="008C6EDC" w:rsidTr="00B816B4">
        <w:trPr>
          <w:trHeight w:val="359"/>
          <w:tblHeader/>
        </w:trPr>
        <w:tc>
          <w:tcPr>
            <w:tcW w:w="2160" w:type="dxa"/>
          </w:tcPr>
          <w:p w:rsidR="008C6EDC" w:rsidRDefault="008C6EDC" w:rsidP="008C6EDC">
            <w:pPr>
              <w:rPr>
                <w:rFonts w:cs="Arial"/>
                <w:b/>
                <w:bCs/>
                <w:color w:val="0000FF"/>
              </w:rPr>
            </w:pPr>
          </w:p>
        </w:tc>
        <w:tc>
          <w:tcPr>
            <w:tcW w:w="8910" w:type="dxa"/>
            <w:gridSpan w:val="4"/>
            <w:tcBorders>
              <w:top w:val="single" w:sz="18" w:space="0" w:color="BFBFBF"/>
              <w:bottom w:val="single" w:sz="4" w:space="0" w:color="auto"/>
              <w:right w:val="nil"/>
            </w:tcBorders>
          </w:tcPr>
          <w:p w:rsidR="008C6EDC" w:rsidRDefault="008C6EDC">
            <w:pPr>
              <w:rPr>
                <w:rFonts w:cs="Arial"/>
                <w:iCs/>
              </w:rPr>
            </w:pPr>
          </w:p>
        </w:tc>
      </w:tr>
      <w:tr w:rsidR="008C6EDC" w:rsidTr="000625DB">
        <w:tblPrEx>
          <w:tblBorders>
            <w:bottom w:val="single" w:sz="4" w:space="0" w:color="auto"/>
          </w:tblBorders>
        </w:tblPrEx>
        <w:trPr>
          <w:cantSplit/>
          <w:trHeight w:val="225"/>
        </w:trPr>
        <w:tc>
          <w:tcPr>
            <w:tcW w:w="2160" w:type="dxa"/>
            <w:vMerge w:val="restart"/>
            <w:tcBorders>
              <w:left w:val="nil"/>
              <w:right w:val="single" w:sz="4" w:space="0" w:color="auto"/>
            </w:tcBorders>
          </w:tcPr>
          <w:p w:rsidR="008C6EDC" w:rsidRDefault="008C6EDC" w:rsidP="008C6EDC">
            <w:pPr>
              <w:tabs>
                <w:tab w:val="left" w:pos="1692"/>
              </w:tabs>
              <w:rPr>
                <w:rFonts w:cs="Arial"/>
                <w:b/>
                <w:bCs/>
                <w:color w:val="0000FF"/>
              </w:rPr>
            </w:pPr>
            <w:r>
              <w:rPr>
                <w:rFonts w:cs="Arial"/>
                <w:b/>
                <w:bCs/>
                <w:color w:val="0000FF"/>
              </w:rPr>
              <w:t>Historical</w:t>
            </w:r>
          </w:p>
          <w:p w:rsidR="008C6EDC" w:rsidRDefault="008C6EDC">
            <w:pPr>
              <w:rPr>
                <w:rFonts w:cs="Arial"/>
                <w:b/>
                <w:bCs/>
                <w:color w:val="3366FF"/>
              </w:rPr>
            </w:pPr>
            <w:r>
              <w:rPr>
                <w:rFonts w:cs="Arial"/>
                <w:b/>
                <w:bCs/>
                <w:color w:val="0000FF"/>
              </w:rPr>
              <w:t>Record</w:t>
            </w:r>
          </w:p>
        </w:tc>
        <w:tc>
          <w:tcPr>
            <w:tcW w:w="1170" w:type="dxa"/>
            <w:tcBorders>
              <w:top w:val="single" w:sz="4" w:space="0" w:color="auto"/>
              <w:left w:val="single" w:sz="4" w:space="0" w:color="auto"/>
              <w:bottom w:val="single" w:sz="4" w:space="0" w:color="auto"/>
              <w:right w:val="single" w:sz="4" w:space="0" w:color="auto"/>
            </w:tcBorders>
          </w:tcPr>
          <w:p w:rsidR="008C6EDC" w:rsidRDefault="008C6EDC" w:rsidP="008C6EDC">
            <w:pPr>
              <w:rPr>
                <w:rFonts w:cs="Arial"/>
                <w:iCs/>
              </w:rPr>
            </w:pPr>
            <w:r>
              <w:rPr>
                <w:rFonts w:cs="Arial"/>
                <w:b/>
                <w:bCs/>
              </w:rPr>
              <w:t>Version</w:t>
            </w:r>
          </w:p>
        </w:tc>
        <w:tc>
          <w:tcPr>
            <w:tcW w:w="2340" w:type="dxa"/>
            <w:tcBorders>
              <w:top w:val="single" w:sz="4" w:space="0" w:color="auto"/>
              <w:left w:val="single" w:sz="4" w:space="0" w:color="auto"/>
              <w:bottom w:val="single" w:sz="4" w:space="0" w:color="auto"/>
              <w:right w:val="single" w:sz="4" w:space="0" w:color="auto"/>
            </w:tcBorders>
          </w:tcPr>
          <w:p w:rsidR="008C6EDC" w:rsidRDefault="008C6EDC">
            <w:pPr>
              <w:rPr>
                <w:rFonts w:cs="Arial"/>
                <w:b/>
                <w:bCs/>
                <w:iCs/>
              </w:rPr>
            </w:pPr>
            <w:r>
              <w:rPr>
                <w:rFonts w:cs="Arial"/>
                <w:b/>
                <w:bCs/>
                <w:iCs/>
              </w:rPr>
              <w:t>Written/Revised by:</w:t>
            </w:r>
          </w:p>
        </w:tc>
        <w:tc>
          <w:tcPr>
            <w:tcW w:w="1710" w:type="dxa"/>
            <w:tcBorders>
              <w:top w:val="single" w:sz="4" w:space="0" w:color="auto"/>
              <w:left w:val="single" w:sz="4" w:space="0" w:color="auto"/>
              <w:bottom w:val="single" w:sz="4" w:space="0" w:color="auto"/>
              <w:right w:val="single" w:sz="4" w:space="0" w:color="auto"/>
            </w:tcBorders>
          </w:tcPr>
          <w:p w:rsidR="008C6EDC" w:rsidRDefault="008C6EDC">
            <w:pPr>
              <w:rPr>
                <w:rFonts w:cs="Arial"/>
                <w:b/>
                <w:bCs/>
                <w:iCs/>
              </w:rPr>
            </w:pPr>
            <w:r>
              <w:rPr>
                <w:rFonts w:cs="Arial"/>
                <w:b/>
                <w:bCs/>
                <w:iCs/>
              </w:rPr>
              <w:t>Effective Date:</w:t>
            </w:r>
          </w:p>
        </w:tc>
        <w:tc>
          <w:tcPr>
            <w:tcW w:w="3690" w:type="dxa"/>
            <w:tcBorders>
              <w:top w:val="single" w:sz="4" w:space="0" w:color="auto"/>
              <w:left w:val="single" w:sz="4" w:space="0" w:color="auto"/>
              <w:bottom w:val="single" w:sz="4" w:space="0" w:color="auto"/>
              <w:right w:val="single" w:sz="4" w:space="0" w:color="auto"/>
            </w:tcBorders>
          </w:tcPr>
          <w:p w:rsidR="008C6EDC" w:rsidRDefault="008C6EDC">
            <w:pPr>
              <w:rPr>
                <w:rFonts w:cs="Arial"/>
                <w:b/>
                <w:bCs/>
                <w:iCs/>
              </w:rPr>
            </w:pPr>
            <w:r>
              <w:rPr>
                <w:rFonts w:cs="Arial"/>
                <w:b/>
                <w:bCs/>
                <w:iCs/>
              </w:rPr>
              <w:t>Summary of Revisions</w:t>
            </w:r>
          </w:p>
        </w:tc>
      </w:tr>
      <w:tr w:rsidR="008C6EDC" w:rsidTr="000625DB">
        <w:tblPrEx>
          <w:tblBorders>
            <w:bottom w:val="single" w:sz="4" w:space="0" w:color="auto"/>
          </w:tblBorders>
        </w:tblPrEx>
        <w:trPr>
          <w:cantSplit/>
          <w:trHeight w:val="135"/>
        </w:trPr>
        <w:tc>
          <w:tcPr>
            <w:tcW w:w="2160" w:type="dxa"/>
            <w:vMerge/>
            <w:tcBorders>
              <w:left w:val="nil"/>
              <w:right w:val="single" w:sz="4" w:space="0" w:color="auto"/>
            </w:tcBorders>
          </w:tcPr>
          <w:p w:rsidR="008C6EDC" w:rsidRDefault="008C6EDC">
            <w:pPr>
              <w:rPr>
                <w:rFonts w:cs="Arial"/>
                <w:b/>
                <w:bCs/>
                <w:color w:val="3366FF"/>
              </w:rPr>
            </w:pPr>
          </w:p>
        </w:tc>
        <w:tc>
          <w:tcPr>
            <w:tcW w:w="1170" w:type="dxa"/>
            <w:tcBorders>
              <w:top w:val="single" w:sz="4" w:space="0" w:color="auto"/>
              <w:left w:val="single" w:sz="4" w:space="0" w:color="auto"/>
              <w:bottom w:val="single" w:sz="4" w:space="0" w:color="auto"/>
              <w:right w:val="single" w:sz="4" w:space="0" w:color="auto"/>
            </w:tcBorders>
          </w:tcPr>
          <w:p w:rsidR="008C6EDC" w:rsidRDefault="008C6EDC" w:rsidP="008C6EDC">
            <w:pPr>
              <w:numPr>
                <w:ilvl w:val="0"/>
                <w:numId w:val="23"/>
              </w:numPr>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8C6EDC" w:rsidRDefault="008C6EDC">
            <w:pPr>
              <w:rPr>
                <w:rFonts w:cs="Arial"/>
                <w:iCs/>
              </w:rPr>
            </w:pPr>
            <w:r>
              <w:rPr>
                <w:rFonts w:cs="Arial"/>
              </w:rPr>
              <w:t>D. Riedel</w:t>
            </w:r>
          </w:p>
        </w:tc>
        <w:tc>
          <w:tcPr>
            <w:tcW w:w="1710" w:type="dxa"/>
            <w:tcBorders>
              <w:top w:val="single" w:sz="4" w:space="0" w:color="auto"/>
              <w:left w:val="single" w:sz="4" w:space="0" w:color="auto"/>
              <w:bottom w:val="single" w:sz="4" w:space="0" w:color="auto"/>
              <w:right w:val="single" w:sz="4" w:space="0" w:color="auto"/>
            </w:tcBorders>
          </w:tcPr>
          <w:p w:rsidR="008C6EDC" w:rsidRDefault="008C6EDC">
            <w:pPr>
              <w:rPr>
                <w:rFonts w:cs="Arial"/>
                <w:iCs/>
              </w:rPr>
            </w:pPr>
            <w:r>
              <w:rPr>
                <w:rFonts w:cs="Arial"/>
              </w:rPr>
              <w:t>Nov. 2000</w:t>
            </w:r>
          </w:p>
        </w:tc>
        <w:tc>
          <w:tcPr>
            <w:tcW w:w="3690" w:type="dxa"/>
            <w:tcBorders>
              <w:top w:val="single" w:sz="4" w:space="0" w:color="auto"/>
              <w:left w:val="single" w:sz="4" w:space="0" w:color="auto"/>
              <w:bottom w:val="single" w:sz="4" w:space="0" w:color="auto"/>
              <w:right w:val="single" w:sz="4" w:space="0" w:color="auto"/>
            </w:tcBorders>
          </w:tcPr>
          <w:p w:rsidR="008C6EDC" w:rsidRDefault="008C6EDC">
            <w:pPr>
              <w:rPr>
                <w:rFonts w:cs="Arial"/>
                <w:iCs/>
              </w:rPr>
            </w:pPr>
            <w:r>
              <w:rPr>
                <w:rFonts w:cs="Arial"/>
                <w:iCs/>
              </w:rPr>
              <w:t>Initial Version</w:t>
            </w:r>
          </w:p>
        </w:tc>
      </w:tr>
      <w:tr w:rsidR="008C6EDC" w:rsidTr="000625DB">
        <w:tblPrEx>
          <w:tblBorders>
            <w:bottom w:val="single" w:sz="4" w:space="0" w:color="auto"/>
          </w:tblBorders>
        </w:tblPrEx>
        <w:trPr>
          <w:cantSplit/>
          <w:trHeight w:val="143"/>
        </w:trPr>
        <w:tc>
          <w:tcPr>
            <w:tcW w:w="2160" w:type="dxa"/>
            <w:vMerge/>
            <w:tcBorders>
              <w:left w:val="nil"/>
              <w:right w:val="single" w:sz="4" w:space="0" w:color="auto"/>
            </w:tcBorders>
          </w:tcPr>
          <w:p w:rsidR="008C6EDC" w:rsidRDefault="008C6EDC">
            <w:pPr>
              <w:rPr>
                <w:rFonts w:cs="Arial"/>
                <w:b/>
                <w:bCs/>
                <w:color w:val="3366FF"/>
              </w:rPr>
            </w:pPr>
          </w:p>
        </w:tc>
        <w:tc>
          <w:tcPr>
            <w:tcW w:w="1170" w:type="dxa"/>
            <w:tcBorders>
              <w:top w:val="single" w:sz="4" w:space="0" w:color="auto"/>
              <w:left w:val="single" w:sz="4" w:space="0" w:color="auto"/>
              <w:bottom w:val="single" w:sz="4" w:space="0" w:color="auto"/>
              <w:right w:val="single" w:sz="4" w:space="0" w:color="auto"/>
            </w:tcBorders>
          </w:tcPr>
          <w:p w:rsidR="008C6EDC" w:rsidRDefault="008C6EDC" w:rsidP="008C6EDC">
            <w:pPr>
              <w:numPr>
                <w:ilvl w:val="0"/>
                <w:numId w:val="23"/>
              </w:numPr>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8C6EDC" w:rsidRDefault="008C6EDC">
            <w:pPr>
              <w:rPr>
                <w:rFonts w:cs="Arial"/>
                <w:iCs/>
              </w:rPr>
            </w:pPr>
            <w:r>
              <w:rPr>
                <w:rFonts w:cs="Arial"/>
              </w:rPr>
              <w:t>L. Lichty</w:t>
            </w:r>
          </w:p>
        </w:tc>
        <w:tc>
          <w:tcPr>
            <w:tcW w:w="1710" w:type="dxa"/>
            <w:tcBorders>
              <w:top w:val="single" w:sz="4" w:space="0" w:color="auto"/>
              <w:left w:val="single" w:sz="4" w:space="0" w:color="auto"/>
              <w:bottom w:val="single" w:sz="4" w:space="0" w:color="auto"/>
              <w:right w:val="single" w:sz="4" w:space="0" w:color="auto"/>
            </w:tcBorders>
          </w:tcPr>
          <w:p w:rsidR="008C6EDC" w:rsidRDefault="008C6EDC">
            <w:pPr>
              <w:rPr>
                <w:rFonts w:cs="Arial"/>
                <w:iCs/>
              </w:rPr>
            </w:pPr>
            <w:r>
              <w:rPr>
                <w:rFonts w:cs="Arial"/>
              </w:rPr>
              <w:t>6/5/2005</w:t>
            </w:r>
          </w:p>
        </w:tc>
        <w:tc>
          <w:tcPr>
            <w:tcW w:w="3690" w:type="dxa"/>
            <w:tcBorders>
              <w:top w:val="single" w:sz="4" w:space="0" w:color="auto"/>
              <w:left w:val="single" w:sz="4" w:space="0" w:color="auto"/>
              <w:bottom w:val="single" w:sz="4" w:space="0" w:color="auto"/>
              <w:right w:val="single" w:sz="4" w:space="0" w:color="auto"/>
            </w:tcBorders>
          </w:tcPr>
          <w:p w:rsidR="008C6EDC" w:rsidRDefault="008C6EDC">
            <w:pPr>
              <w:rPr>
                <w:rFonts w:cs="Arial"/>
                <w:iCs/>
              </w:rPr>
            </w:pPr>
          </w:p>
        </w:tc>
      </w:tr>
      <w:tr w:rsidR="008C6EDC" w:rsidTr="000625DB">
        <w:tblPrEx>
          <w:tblBorders>
            <w:bottom w:val="single" w:sz="4" w:space="0" w:color="auto"/>
          </w:tblBorders>
        </w:tblPrEx>
        <w:trPr>
          <w:cantSplit/>
          <w:trHeight w:val="165"/>
        </w:trPr>
        <w:tc>
          <w:tcPr>
            <w:tcW w:w="2160" w:type="dxa"/>
            <w:vMerge/>
            <w:tcBorders>
              <w:left w:val="nil"/>
              <w:right w:val="single" w:sz="4" w:space="0" w:color="auto"/>
            </w:tcBorders>
          </w:tcPr>
          <w:p w:rsidR="008C6EDC" w:rsidRDefault="008C6EDC">
            <w:pPr>
              <w:rPr>
                <w:rFonts w:cs="Arial"/>
                <w:b/>
                <w:bCs/>
                <w:color w:val="3366FF"/>
              </w:rPr>
            </w:pPr>
          </w:p>
        </w:tc>
        <w:tc>
          <w:tcPr>
            <w:tcW w:w="1170" w:type="dxa"/>
            <w:tcBorders>
              <w:top w:val="single" w:sz="4" w:space="0" w:color="auto"/>
              <w:left w:val="single" w:sz="4" w:space="0" w:color="auto"/>
              <w:bottom w:val="single" w:sz="4" w:space="0" w:color="auto"/>
              <w:right w:val="single" w:sz="4" w:space="0" w:color="auto"/>
            </w:tcBorders>
          </w:tcPr>
          <w:p w:rsidR="008C6EDC" w:rsidRDefault="008C6EDC" w:rsidP="008C6EDC">
            <w:pPr>
              <w:numPr>
                <w:ilvl w:val="0"/>
                <w:numId w:val="23"/>
              </w:numPr>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8C6EDC" w:rsidRDefault="008C6EDC">
            <w:pPr>
              <w:rPr>
                <w:rFonts w:cs="Arial"/>
                <w:iCs/>
              </w:rPr>
            </w:pPr>
            <w:r>
              <w:rPr>
                <w:rFonts w:cs="Arial"/>
              </w:rPr>
              <w:t>L. Lichty</w:t>
            </w:r>
          </w:p>
        </w:tc>
        <w:tc>
          <w:tcPr>
            <w:tcW w:w="1710" w:type="dxa"/>
            <w:tcBorders>
              <w:top w:val="single" w:sz="4" w:space="0" w:color="auto"/>
              <w:left w:val="single" w:sz="4" w:space="0" w:color="auto"/>
              <w:bottom w:val="single" w:sz="4" w:space="0" w:color="auto"/>
              <w:right w:val="single" w:sz="4" w:space="0" w:color="auto"/>
            </w:tcBorders>
          </w:tcPr>
          <w:p w:rsidR="008C6EDC" w:rsidRDefault="008C6EDC">
            <w:pPr>
              <w:rPr>
                <w:rFonts w:cs="Arial"/>
                <w:iCs/>
              </w:rPr>
            </w:pPr>
            <w:r>
              <w:rPr>
                <w:rFonts w:cs="Arial"/>
              </w:rPr>
              <w:t>12/22/06</w:t>
            </w:r>
          </w:p>
        </w:tc>
        <w:tc>
          <w:tcPr>
            <w:tcW w:w="3690" w:type="dxa"/>
            <w:tcBorders>
              <w:top w:val="single" w:sz="4" w:space="0" w:color="auto"/>
              <w:left w:val="single" w:sz="4" w:space="0" w:color="auto"/>
              <w:bottom w:val="single" w:sz="4" w:space="0" w:color="auto"/>
              <w:right w:val="single" w:sz="4" w:space="0" w:color="auto"/>
            </w:tcBorders>
          </w:tcPr>
          <w:p w:rsidR="008C6EDC" w:rsidRDefault="008C6EDC">
            <w:pPr>
              <w:rPr>
                <w:rFonts w:cs="Arial"/>
                <w:iCs/>
              </w:rPr>
            </w:pPr>
          </w:p>
        </w:tc>
      </w:tr>
      <w:tr w:rsidR="008C6EDC" w:rsidTr="000625DB">
        <w:tblPrEx>
          <w:tblBorders>
            <w:bottom w:val="single" w:sz="4" w:space="0" w:color="auto"/>
          </w:tblBorders>
        </w:tblPrEx>
        <w:trPr>
          <w:cantSplit/>
          <w:trHeight w:val="255"/>
        </w:trPr>
        <w:tc>
          <w:tcPr>
            <w:tcW w:w="2160" w:type="dxa"/>
            <w:vMerge/>
            <w:tcBorders>
              <w:left w:val="nil"/>
              <w:right w:val="single" w:sz="4" w:space="0" w:color="auto"/>
            </w:tcBorders>
          </w:tcPr>
          <w:p w:rsidR="008C6EDC" w:rsidRDefault="008C6EDC">
            <w:pPr>
              <w:rPr>
                <w:rFonts w:cs="Arial"/>
                <w:b/>
                <w:bCs/>
                <w:color w:val="3366FF"/>
              </w:rPr>
            </w:pPr>
          </w:p>
        </w:tc>
        <w:tc>
          <w:tcPr>
            <w:tcW w:w="1170" w:type="dxa"/>
            <w:tcBorders>
              <w:top w:val="single" w:sz="4" w:space="0" w:color="auto"/>
              <w:left w:val="single" w:sz="4" w:space="0" w:color="auto"/>
              <w:bottom w:val="single" w:sz="4" w:space="0" w:color="auto"/>
              <w:right w:val="single" w:sz="4" w:space="0" w:color="auto"/>
            </w:tcBorders>
          </w:tcPr>
          <w:p w:rsidR="008C6EDC" w:rsidRDefault="008C6EDC" w:rsidP="008C6EDC">
            <w:pPr>
              <w:numPr>
                <w:ilvl w:val="0"/>
                <w:numId w:val="23"/>
              </w:numPr>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8C6EDC" w:rsidRDefault="008C6EDC">
            <w:pPr>
              <w:rPr>
                <w:rFonts w:cs="Arial"/>
                <w:iCs/>
              </w:rPr>
            </w:pPr>
            <w:r>
              <w:rPr>
                <w:rFonts w:cs="Arial"/>
              </w:rPr>
              <w:t>D. Helfinstine</w:t>
            </w:r>
          </w:p>
        </w:tc>
        <w:tc>
          <w:tcPr>
            <w:tcW w:w="1710" w:type="dxa"/>
            <w:tcBorders>
              <w:top w:val="single" w:sz="4" w:space="0" w:color="auto"/>
              <w:left w:val="single" w:sz="4" w:space="0" w:color="auto"/>
              <w:bottom w:val="single" w:sz="4" w:space="0" w:color="auto"/>
              <w:right w:val="single" w:sz="4" w:space="0" w:color="auto"/>
            </w:tcBorders>
          </w:tcPr>
          <w:p w:rsidR="008C6EDC" w:rsidRDefault="008C6EDC">
            <w:pPr>
              <w:rPr>
                <w:rFonts w:cs="Arial"/>
                <w:iCs/>
              </w:rPr>
            </w:pPr>
            <w:r>
              <w:rPr>
                <w:rFonts w:cs="Arial"/>
              </w:rPr>
              <w:t>April 1, 2011</w:t>
            </w:r>
          </w:p>
        </w:tc>
        <w:tc>
          <w:tcPr>
            <w:tcW w:w="3690" w:type="dxa"/>
            <w:tcBorders>
              <w:top w:val="single" w:sz="4" w:space="0" w:color="auto"/>
              <w:left w:val="single" w:sz="4" w:space="0" w:color="auto"/>
              <w:bottom w:val="single" w:sz="4" w:space="0" w:color="auto"/>
              <w:right w:val="single" w:sz="4" w:space="0" w:color="auto"/>
            </w:tcBorders>
          </w:tcPr>
          <w:p w:rsidR="008C6EDC" w:rsidRDefault="008C6EDC">
            <w:pPr>
              <w:rPr>
                <w:rFonts w:cs="Arial"/>
                <w:iCs/>
              </w:rPr>
            </w:pPr>
            <w:r>
              <w:rPr>
                <w:rFonts w:cs="Arial"/>
                <w:iCs/>
              </w:rPr>
              <w:t>Package insert revisions, new format, renumbered from CH 3.08</w:t>
            </w:r>
          </w:p>
        </w:tc>
      </w:tr>
      <w:tr w:rsidR="008C6EDC" w:rsidTr="000625DB">
        <w:tblPrEx>
          <w:tblBorders>
            <w:bottom w:val="single" w:sz="4" w:space="0" w:color="auto"/>
          </w:tblBorders>
        </w:tblPrEx>
        <w:trPr>
          <w:cantSplit/>
          <w:trHeight w:val="255"/>
        </w:trPr>
        <w:tc>
          <w:tcPr>
            <w:tcW w:w="2160" w:type="dxa"/>
            <w:vMerge/>
            <w:tcBorders>
              <w:left w:val="nil"/>
              <w:right w:val="single" w:sz="4" w:space="0" w:color="auto"/>
            </w:tcBorders>
          </w:tcPr>
          <w:p w:rsidR="008C6EDC" w:rsidRDefault="008C6EDC">
            <w:pPr>
              <w:rPr>
                <w:rFonts w:cs="Arial"/>
                <w:b/>
                <w:bCs/>
                <w:color w:val="3366FF"/>
              </w:rPr>
            </w:pPr>
          </w:p>
        </w:tc>
        <w:tc>
          <w:tcPr>
            <w:tcW w:w="1170" w:type="dxa"/>
            <w:tcBorders>
              <w:top w:val="single" w:sz="4" w:space="0" w:color="auto"/>
              <w:left w:val="single" w:sz="4" w:space="0" w:color="auto"/>
              <w:bottom w:val="single" w:sz="4" w:space="0" w:color="auto"/>
              <w:right w:val="single" w:sz="4" w:space="0" w:color="auto"/>
            </w:tcBorders>
          </w:tcPr>
          <w:p w:rsidR="008C6EDC" w:rsidRDefault="008C6EDC" w:rsidP="008C6EDC">
            <w:pPr>
              <w:numPr>
                <w:ilvl w:val="0"/>
                <w:numId w:val="23"/>
              </w:numPr>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8C6EDC" w:rsidRDefault="008C6EDC">
            <w:pPr>
              <w:rPr>
                <w:rFonts w:cs="Arial"/>
                <w:iCs/>
              </w:rPr>
            </w:pPr>
            <w:r>
              <w:rPr>
                <w:rFonts w:cs="Arial"/>
                <w:iCs/>
              </w:rPr>
              <w:t>L. Lichty</w:t>
            </w:r>
          </w:p>
        </w:tc>
        <w:tc>
          <w:tcPr>
            <w:tcW w:w="1710" w:type="dxa"/>
            <w:tcBorders>
              <w:top w:val="single" w:sz="4" w:space="0" w:color="auto"/>
              <w:left w:val="single" w:sz="4" w:space="0" w:color="auto"/>
              <w:bottom w:val="single" w:sz="4" w:space="0" w:color="auto"/>
              <w:right w:val="single" w:sz="4" w:space="0" w:color="auto"/>
            </w:tcBorders>
          </w:tcPr>
          <w:p w:rsidR="008C6EDC" w:rsidRDefault="008C6EDC">
            <w:pPr>
              <w:rPr>
                <w:rFonts w:cs="Arial"/>
                <w:iCs/>
              </w:rPr>
            </w:pPr>
            <w:r>
              <w:rPr>
                <w:rFonts w:cs="Arial"/>
                <w:iCs/>
              </w:rPr>
              <w:t>2/28/13</w:t>
            </w:r>
          </w:p>
        </w:tc>
        <w:tc>
          <w:tcPr>
            <w:tcW w:w="3690" w:type="dxa"/>
            <w:tcBorders>
              <w:top w:val="single" w:sz="4" w:space="0" w:color="auto"/>
              <w:left w:val="single" w:sz="4" w:space="0" w:color="auto"/>
              <w:bottom w:val="single" w:sz="4" w:space="0" w:color="auto"/>
              <w:right w:val="single" w:sz="4" w:space="0" w:color="auto"/>
            </w:tcBorders>
          </w:tcPr>
          <w:p w:rsidR="008C6EDC" w:rsidRDefault="008C6EDC">
            <w:pPr>
              <w:rPr>
                <w:rFonts w:cs="Arial"/>
                <w:iCs/>
              </w:rPr>
            </w:pPr>
            <w:r>
              <w:rPr>
                <w:rFonts w:cs="Arial"/>
                <w:iCs/>
              </w:rPr>
              <w:t>Clarify max dilution reporting</w:t>
            </w:r>
          </w:p>
        </w:tc>
      </w:tr>
      <w:tr w:rsidR="008C6EDC" w:rsidTr="000625DB">
        <w:tblPrEx>
          <w:tblBorders>
            <w:bottom w:val="single" w:sz="4" w:space="0" w:color="auto"/>
          </w:tblBorders>
        </w:tblPrEx>
        <w:trPr>
          <w:cantSplit/>
          <w:trHeight w:val="255"/>
        </w:trPr>
        <w:tc>
          <w:tcPr>
            <w:tcW w:w="2160" w:type="dxa"/>
            <w:vMerge/>
            <w:tcBorders>
              <w:left w:val="nil"/>
              <w:right w:val="single" w:sz="4" w:space="0" w:color="auto"/>
            </w:tcBorders>
          </w:tcPr>
          <w:p w:rsidR="008C6EDC" w:rsidRDefault="008C6EDC">
            <w:pPr>
              <w:rPr>
                <w:rFonts w:cs="Arial"/>
                <w:b/>
                <w:bCs/>
                <w:color w:val="3366FF"/>
              </w:rPr>
            </w:pPr>
          </w:p>
        </w:tc>
        <w:tc>
          <w:tcPr>
            <w:tcW w:w="1170" w:type="dxa"/>
            <w:tcBorders>
              <w:top w:val="single" w:sz="4" w:space="0" w:color="auto"/>
              <w:left w:val="single" w:sz="4" w:space="0" w:color="auto"/>
              <w:bottom w:val="single" w:sz="4" w:space="0" w:color="auto"/>
              <w:right w:val="single" w:sz="4" w:space="0" w:color="auto"/>
            </w:tcBorders>
          </w:tcPr>
          <w:p w:rsidR="008C6EDC" w:rsidRDefault="008C6EDC" w:rsidP="008C6EDC">
            <w:pPr>
              <w:numPr>
                <w:ilvl w:val="0"/>
                <w:numId w:val="23"/>
              </w:numPr>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8C6EDC" w:rsidRDefault="008C6EDC">
            <w:pPr>
              <w:rPr>
                <w:rFonts w:cs="Arial"/>
                <w:iCs/>
              </w:rPr>
            </w:pPr>
            <w:r>
              <w:rPr>
                <w:rFonts w:cs="Arial"/>
                <w:iCs/>
              </w:rPr>
              <w:t>L. Lichty</w:t>
            </w:r>
          </w:p>
        </w:tc>
        <w:tc>
          <w:tcPr>
            <w:tcW w:w="1710" w:type="dxa"/>
            <w:tcBorders>
              <w:top w:val="single" w:sz="4" w:space="0" w:color="auto"/>
              <w:left w:val="single" w:sz="4" w:space="0" w:color="auto"/>
              <w:bottom w:val="single" w:sz="4" w:space="0" w:color="auto"/>
              <w:right w:val="single" w:sz="4" w:space="0" w:color="auto"/>
            </w:tcBorders>
          </w:tcPr>
          <w:p w:rsidR="008C6EDC" w:rsidRDefault="008C6EDC">
            <w:pPr>
              <w:rPr>
                <w:rFonts w:cs="Arial"/>
                <w:iCs/>
              </w:rPr>
            </w:pPr>
            <w:r>
              <w:rPr>
                <w:rFonts w:cs="Arial"/>
                <w:iCs/>
              </w:rPr>
              <w:t>12/17/2013</w:t>
            </w:r>
          </w:p>
        </w:tc>
        <w:tc>
          <w:tcPr>
            <w:tcW w:w="3690" w:type="dxa"/>
            <w:tcBorders>
              <w:top w:val="single" w:sz="4" w:space="0" w:color="auto"/>
              <w:left w:val="single" w:sz="4" w:space="0" w:color="auto"/>
              <w:bottom w:val="single" w:sz="4" w:space="0" w:color="auto"/>
              <w:right w:val="single" w:sz="4" w:space="0" w:color="auto"/>
            </w:tcBorders>
          </w:tcPr>
          <w:p w:rsidR="008C6EDC" w:rsidRDefault="008C6EDC" w:rsidP="009F5B34">
            <w:pPr>
              <w:rPr>
                <w:rFonts w:cs="Arial"/>
                <w:iCs/>
              </w:rPr>
            </w:pPr>
            <w:r>
              <w:rPr>
                <w:rFonts w:cs="Arial"/>
                <w:iCs/>
              </w:rPr>
              <w:t xml:space="preserve">Siemens </w:t>
            </w:r>
            <w:r w:rsidR="009F5B34">
              <w:rPr>
                <w:rFonts w:cs="Arial"/>
                <w:iCs/>
              </w:rPr>
              <w:t xml:space="preserve">ALTI CLSI – Dimension Vista – Rev C, 7/17/2013 </w:t>
            </w:r>
          </w:p>
        </w:tc>
      </w:tr>
      <w:tr w:rsidR="008C6EDC" w:rsidTr="000625DB">
        <w:tblPrEx>
          <w:tblBorders>
            <w:bottom w:val="single" w:sz="4" w:space="0" w:color="auto"/>
          </w:tblBorders>
        </w:tblPrEx>
        <w:trPr>
          <w:cantSplit/>
          <w:trHeight w:val="255"/>
        </w:trPr>
        <w:tc>
          <w:tcPr>
            <w:tcW w:w="2160" w:type="dxa"/>
            <w:vMerge/>
            <w:tcBorders>
              <w:left w:val="nil"/>
              <w:right w:val="single" w:sz="4" w:space="0" w:color="auto"/>
            </w:tcBorders>
          </w:tcPr>
          <w:p w:rsidR="008C6EDC" w:rsidRDefault="008C6EDC">
            <w:pPr>
              <w:rPr>
                <w:rFonts w:cs="Arial"/>
                <w:b/>
                <w:bCs/>
                <w:color w:val="3366FF"/>
              </w:rPr>
            </w:pPr>
          </w:p>
        </w:tc>
        <w:tc>
          <w:tcPr>
            <w:tcW w:w="1170" w:type="dxa"/>
            <w:tcBorders>
              <w:top w:val="single" w:sz="4" w:space="0" w:color="auto"/>
              <w:left w:val="nil"/>
              <w:bottom w:val="single" w:sz="4" w:space="0" w:color="auto"/>
              <w:right w:val="nil"/>
            </w:tcBorders>
          </w:tcPr>
          <w:p w:rsidR="008C6EDC" w:rsidRDefault="008C6EDC" w:rsidP="008C6EDC">
            <w:pPr>
              <w:numPr>
                <w:ilvl w:val="0"/>
                <w:numId w:val="23"/>
              </w:numPr>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8C6EDC" w:rsidRDefault="008C6EDC">
            <w:pPr>
              <w:rPr>
                <w:rFonts w:cs="Arial"/>
                <w:iCs/>
              </w:rPr>
            </w:pPr>
            <w:r>
              <w:rPr>
                <w:rFonts w:cs="Arial"/>
                <w:iCs/>
              </w:rPr>
              <w:t>L. Lichty</w:t>
            </w:r>
          </w:p>
        </w:tc>
        <w:tc>
          <w:tcPr>
            <w:tcW w:w="1710" w:type="dxa"/>
            <w:tcBorders>
              <w:top w:val="single" w:sz="4" w:space="0" w:color="auto"/>
              <w:left w:val="single" w:sz="4" w:space="0" w:color="auto"/>
              <w:bottom w:val="single" w:sz="4" w:space="0" w:color="auto"/>
              <w:right w:val="single" w:sz="4" w:space="0" w:color="auto"/>
            </w:tcBorders>
          </w:tcPr>
          <w:p w:rsidR="008C6EDC" w:rsidRDefault="008C6EDC">
            <w:pPr>
              <w:rPr>
                <w:rFonts w:cs="Arial"/>
                <w:iCs/>
              </w:rPr>
            </w:pPr>
            <w:r>
              <w:rPr>
                <w:rFonts w:cs="Arial"/>
                <w:iCs/>
              </w:rPr>
              <w:t>12/19/13</w:t>
            </w:r>
          </w:p>
        </w:tc>
        <w:tc>
          <w:tcPr>
            <w:tcW w:w="3690" w:type="dxa"/>
            <w:tcBorders>
              <w:top w:val="single" w:sz="4" w:space="0" w:color="auto"/>
              <w:left w:val="single" w:sz="4" w:space="0" w:color="auto"/>
              <w:bottom w:val="single" w:sz="4" w:space="0" w:color="auto"/>
              <w:right w:val="single" w:sz="4" w:space="0" w:color="auto"/>
            </w:tcBorders>
          </w:tcPr>
          <w:p w:rsidR="008C6EDC" w:rsidRDefault="008C6EDC" w:rsidP="008C6EDC">
            <w:pPr>
              <w:rPr>
                <w:rFonts w:cs="Arial"/>
                <w:iCs/>
              </w:rPr>
            </w:pPr>
            <w:r>
              <w:rPr>
                <w:rFonts w:cs="Arial"/>
                <w:iCs/>
              </w:rPr>
              <w:t>Revised reagent on RxL</w:t>
            </w:r>
          </w:p>
        </w:tc>
      </w:tr>
      <w:tr w:rsidR="008C6EDC" w:rsidTr="000625DB">
        <w:tblPrEx>
          <w:tblBorders>
            <w:bottom w:val="single" w:sz="4" w:space="0" w:color="auto"/>
          </w:tblBorders>
        </w:tblPrEx>
        <w:trPr>
          <w:cantSplit/>
          <w:trHeight w:val="255"/>
        </w:trPr>
        <w:tc>
          <w:tcPr>
            <w:tcW w:w="2160" w:type="dxa"/>
            <w:vMerge/>
            <w:tcBorders>
              <w:left w:val="nil"/>
              <w:bottom w:val="nil"/>
              <w:right w:val="single" w:sz="4" w:space="0" w:color="auto"/>
            </w:tcBorders>
          </w:tcPr>
          <w:p w:rsidR="008C6EDC" w:rsidRDefault="008C6EDC">
            <w:pPr>
              <w:rPr>
                <w:rFonts w:cs="Arial"/>
                <w:b/>
                <w:bCs/>
                <w:color w:val="3366FF"/>
              </w:rPr>
            </w:pPr>
          </w:p>
        </w:tc>
        <w:tc>
          <w:tcPr>
            <w:tcW w:w="1170" w:type="dxa"/>
            <w:tcBorders>
              <w:top w:val="single" w:sz="4" w:space="0" w:color="auto"/>
              <w:left w:val="nil"/>
              <w:bottom w:val="single" w:sz="4" w:space="0" w:color="auto"/>
              <w:right w:val="nil"/>
            </w:tcBorders>
          </w:tcPr>
          <w:p w:rsidR="008C6EDC" w:rsidRDefault="008C6EDC" w:rsidP="008C6EDC">
            <w:pPr>
              <w:numPr>
                <w:ilvl w:val="0"/>
                <w:numId w:val="23"/>
              </w:numPr>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8C6EDC" w:rsidRDefault="008C6EDC">
            <w:pPr>
              <w:rPr>
                <w:rFonts w:cs="Arial"/>
                <w:iCs/>
              </w:rPr>
            </w:pPr>
            <w:r>
              <w:rPr>
                <w:rFonts w:cs="Arial"/>
                <w:iCs/>
              </w:rPr>
              <w:t>L. Lichty</w:t>
            </w:r>
          </w:p>
        </w:tc>
        <w:tc>
          <w:tcPr>
            <w:tcW w:w="1710" w:type="dxa"/>
            <w:tcBorders>
              <w:top w:val="single" w:sz="4" w:space="0" w:color="auto"/>
              <w:left w:val="single" w:sz="4" w:space="0" w:color="auto"/>
              <w:bottom w:val="single" w:sz="4" w:space="0" w:color="auto"/>
              <w:right w:val="single" w:sz="4" w:space="0" w:color="auto"/>
            </w:tcBorders>
          </w:tcPr>
          <w:p w:rsidR="008C6EDC" w:rsidRDefault="008C6EDC">
            <w:pPr>
              <w:rPr>
                <w:rFonts w:cs="Arial"/>
                <w:iCs/>
              </w:rPr>
            </w:pPr>
            <w:r>
              <w:rPr>
                <w:rFonts w:cs="Arial"/>
                <w:iCs/>
              </w:rPr>
              <w:t>5/21/2015</w:t>
            </w:r>
          </w:p>
        </w:tc>
        <w:tc>
          <w:tcPr>
            <w:tcW w:w="3690" w:type="dxa"/>
            <w:tcBorders>
              <w:top w:val="single" w:sz="4" w:space="0" w:color="auto"/>
              <w:left w:val="single" w:sz="4" w:space="0" w:color="auto"/>
              <w:bottom w:val="single" w:sz="4" w:space="0" w:color="auto"/>
              <w:right w:val="single" w:sz="4" w:space="0" w:color="auto"/>
            </w:tcBorders>
          </w:tcPr>
          <w:p w:rsidR="008C6EDC" w:rsidRDefault="008C6EDC" w:rsidP="008C6EDC">
            <w:pPr>
              <w:rPr>
                <w:rFonts w:cs="Arial"/>
                <w:iCs/>
              </w:rPr>
            </w:pPr>
            <w:r>
              <w:rPr>
                <w:rFonts w:cs="Arial"/>
                <w:iCs/>
              </w:rPr>
              <w:t>Updated for Vista</w:t>
            </w:r>
          </w:p>
        </w:tc>
      </w:tr>
      <w:tr w:rsidR="000625DB" w:rsidTr="000625DB">
        <w:tblPrEx>
          <w:tblBorders>
            <w:bottom w:val="single" w:sz="4" w:space="0" w:color="auto"/>
          </w:tblBorders>
        </w:tblPrEx>
        <w:trPr>
          <w:cantSplit/>
          <w:trHeight w:val="255"/>
        </w:trPr>
        <w:tc>
          <w:tcPr>
            <w:tcW w:w="2160" w:type="dxa"/>
            <w:tcBorders>
              <w:left w:val="nil"/>
              <w:bottom w:val="nil"/>
              <w:right w:val="single" w:sz="4" w:space="0" w:color="auto"/>
            </w:tcBorders>
          </w:tcPr>
          <w:p w:rsidR="000625DB" w:rsidRDefault="000625DB">
            <w:pPr>
              <w:rPr>
                <w:rFonts w:cs="Arial"/>
                <w:b/>
                <w:bCs/>
                <w:color w:val="3366FF"/>
              </w:rPr>
            </w:pPr>
          </w:p>
        </w:tc>
        <w:tc>
          <w:tcPr>
            <w:tcW w:w="1170" w:type="dxa"/>
            <w:tcBorders>
              <w:top w:val="single" w:sz="4" w:space="0" w:color="auto"/>
              <w:left w:val="nil"/>
              <w:bottom w:val="single" w:sz="4" w:space="0" w:color="auto"/>
              <w:right w:val="nil"/>
            </w:tcBorders>
          </w:tcPr>
          <w:p w:rsidR="000625DB" w:rsidRDefault="000625DB" w:rsidP="008C6EDC">
            <w:pPr>
              <w:numPr>
                <w:ilvl w:val="0"/>
                <w:numId w:val="23"/>
              </w:numPr>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0625DB" w:rsidRDefault="000625DB">
            <w:pPr>
              <w:rPr>
                <w:rFonts w:cs="Arial"/>
                <w:iCs/>
              </w:rPr>
            </w:pPr>
            <w:r>
              <w:rPr>
                <w:rFonts w:cs="Arial"/>
                <w:iCs/>
              </w:rPr>
              <w:t>K. Brown/S. Gripentrog</w:t>
            </w:r>
          </w:p>
        </w:tc>
        <w:tc>
          <w:tcPr>
            <w:tcW w:w="1710" w:type="dxa"/>
            <w:tcBorders>
              <w:top w:val="single" w:sz="4" w:space="0" w:color="auto"/>
              <w:left w:val="single" w:sz="4" w:space="0" w:color="auto"/>
              <w:bottom w:val="single" w:sz="4" w:space="0" w:color="auto"/>
              <w:right w:val="single" w:sz="4" w:space="0" w:color="auto"/>
            </w:tcBorders>
          </w:tcPr>
          <w:p w:rsidR="000625DB" w:rsidRDefault="000625DB">
            <w:pPr>
              <w:rPr>
                <w:rFonts w:cs="Arial"/>
                <w:iCs/>
              </w:rPr>
            </w:pPr>
            <w:r>
              <w:rPr>
                <w:rFonts w:cs="Arial"/>
                <w:iCs/>
              </w:rPr>
              <w:t>June 1, 2017</w:t>
            </w:r>
          </w:p>
        </w:tc>
        <w:tc>
          <w:tcPr>
            <w:tcW w:w="3690" w:type="dxa"/>
            <w:tcBorders>
              <w:top w:val="single" w:sz="4" w:space="0" w:color="auto"/>
              <w:left w:val="single" w:sz="4" w:space="0" w:color="auto"/>
              <w:bottom w:val="single" w:sz="4" w:space="0" w:color="auto"/>
              <w:right w:val="single" w:sz="4" w:space="0" w:color="auto"/>
            </w:tcBorders>
          </w:tcPr>
          <w:p w:rsidR="000625DB" w:rsidRDefault="000625DB" w:rsidP="008C6EDC">
            <w:pPr>
              <w:rPr>
                <w:rFonts w:cs="Arial"/>
                <w:iCs/>
              </w:rPr>
            </w:pPr>
            <w:r>
              <w:rPr>
                <w:rFonts w:cs="Arial"/>
                <w:iCs/>
              </w:rPr>
              <w:t>Removed no gel from serum sample requirements.  Updated product insert issue date.</w:t>
            </w:r>
          </w:p>
        </w:tc>
      </w:tr>
      <w:tr w:rsidR="0004669D" w:rsidTr="000625DB">
        <w:tblPrEx>
          <w:tblBorders>
            <w:bottom w:val="single" w:sz="4" w:space="0" w:color="auto"/>
          </w:tblBorders>
        </w:tblPrEx>
        <w:trPr>
          <w:cantSplit/>
          <w:trHeight w:val="255"/>
        </w:trPr>
        <w:tc>
          <w:tcPr>
            <w:tcW w:w="2160" w:type="dxa"/>
            <w:tcBorders>
              <w:left w:val="nil"/>
              <w:bottom w:val="nil"/>
              <w:right w:val="single" w:sz="4" w:space="0" w:color="auto"/>
            </w:tcBorders>
          </w:tcPr>
          <w:p w:rsidR="0004669D" w:rsidRDefault="0004669D">
            <w:pPr>
              <w:rPr>
                <w:rFonts w:cs="Arial"/>
                <w:b/>
                <w:bCs/>
                <w:color w:val="3366FF"/>
              </w:rPr>
            </w:pPr>
          </w:p>
        </w:tc>
        <w:tc>
          <w:tcPr>
            <w:tcW w:w="1170" w:type="dxa"/>
            <w:tcBorders>
              <w:top w:val="single" w:sz="4" w:space="0" w:color="auto"/>
              <w:left w:val="nil"/>
              <w:bottom w:val="single" w:sz="4" w:space="0" w:color="auto"/>
              <w:right w:val="nil"/>
            </w:tcBorders>
          </w:tcPr>
          <w:p w:rsidR="0004669D" w:rsidRDefault="0004669D" w:rsidP="008C6EDC">
            <w:pPr>
              <w:numPr>
                <w:ilvl w:val="0"/>
                <w:numId w:val="23"/>
              </w:numPr>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04669D" w:rsidRDefault="0004669D">
            <w:pPr>
              <w:rPr>
                <w:rFonts w:cs="Arial"/>
                <w:iCs/>
              </w:rPr>
            </w:pPr>
            <w:r>
              <w:rPr>
                <w:rFonts w:cs="Arial"/>
                <w:iCs/>
              </w:rPr>
              <w:t>Kelsi Brown</w:t>
            </w:r>
          </w:p>
        </w:tc>
        <w:tc>
          <w:tcPr>
            <w:tcW w:w="1710" w:type="dxa"/>
            <w:tcBorders>
              <w:top w:val="single" w:sz="4" w:space="0" w:color="auto"/>
              <w:left w:val="single" w:sz="4" w:space="0" w:color="auto"/>
              <w:bottom w:val="single" w:sz="4" w:space="0" w:color="auto"/>
              <w:right w:val="single" w:sz="4" w:space="0" w:color="auto"/>
            </w:tcBorders>
          </w:tcPr>
          <w:p w:rsidR="0004669D" w:rsidRDefault="0004669D">
            <w:pPr>
              <w:rPr>
                <w:rFonts w:cs="Arial"/>
                <w:iCs/>
              </w:rPr>
            </w:pPr>
            <w:r>
              <w:rPr>
                <w:rFonts w:cs="Arial"/>
                <w:iCs/>
              </w:rPr>
              <w:t>July 17, 2017</w:t>
            </w:r>
          </w:p>
        </w:tc>
        <w:tc>
          <w:tcPr>
            <w:tcW w:w="3690" w:type="dxa"/>
            <w:tcBorders>
              <w:top w:val="single" w:sz="4" w:space="0" w:color="auto"/>
              <w:left w:val="single" w:sz="4" w:space="0" w:color="auto"/>
              <w:bottom w:val="single" w:sz="4" w:space="0" w:color="auto"/>
              <w:right w:val="single" w:sz="4" w:space="0" w:color="auto"/>
            </w:tcBorders>
          </w:tcPr>
          <w:p w:rsidR="0004669D" w:rsidRDefault="0004669D" w:rsidP="008C6EDC">
            <w:pPr>
              <w:rPr>
                <w:rFonts w:cs="Arial"/>
                <w:iCs/>
              </w:rPr>
            </w:pPr>
            <w:r>
              <w:rPr>
                <w:rFonts w:cs="Arial"/>
                <w:iCs/>
              </w:rPr>
              <w:t>Updated interfering substances  after notification from Siemens.</w:t>
            </w:r>
          </w:p>
        </w:tc>
      </w:tr>
      <w:tr w:rsidR="00513F9B" w:rsidTr="000625DB">
        <w:tblPrEx>
          <w:tblBorders>
            <w:bottom w:val="single" w:sz="4" w:space="0" w:color="auto"/>
          </w:tblBorders>
        </w:tblPrEx>
        <w:trPr>
          <w:cantSplit/>
          <w:trHeight w:val="255"/>
        </w:trPr>
        <w:tc>
          <w:tcPr>
            <w:tcW w:w="2160" w:type="dxa"/>
            <w:tcBorders>
              <w:left w:val="nil"/>
              <w:bottom w:val="nil"/>
              <w:right w:val="single" w:sz="4" w:space="0" w:color="auto"/>
            </w:tcBorders>
          </w:tcPr>
          <w:p w:rsidR="00513F9B" w:rsidRDefault="00513F9B">
            <w:pPr>
              <w:rPr>
                <w:rFonts w:cs="Arial"/>
                <w:b/>
                <w:bCs/>
                <w:color w:val="3366FF"/>
              </w:rPr>
            </w:pPr>
          </w:p>
        </w:tc>
        <w:tc>
          <w:tcPr>
            <w:tcW w:w="1170" w:type="dxa"/>
            <w:tcBorders>
              <w:top w:val="single" w:sz="4" w:space="0" w:color="auto"/>
              <w:left w:val="nil"/>
              <w:bottom w:val="single" w:sz="4" w:space="0" w:color="auto"/>
              <w:right w:val="nil"/>
            </w:tcBorders>
          </w:tcPr>
          <w:p w:rsidR="00513F9B" w:rsidRDefault="00513F9B" w:rsidP="008C6EDC">
            <w:pPr>
              <w:numPr>
                <w:ilvl w:val="0"/>
                <w:numId w:val="23"/>
              </w:numPr>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513F9B" w:rsidRDefault="00513F9B">
            <w:pPr>
              <w:rPr>
                <w:rFonts w:cs="Arial"/>
                <w:iCs/>
              </w:rPr>
            </w:pPr>
            <w:r>
              <w:rPr>
                <w:rFonts w:cs="Arial"/>
                <w:iCs/>
              </w:rPr>
              <w:t>Erin Bartos</w:t>
            </w:r>
          </w:p>
        </w:tc>
        <w:tc>
          <w:tcPr>
            <w:tcW w:w="1710" w:type="dxa"/>
            <w:tcBorders>
              <w:top w:val="single" w:sz="4" w:space="0" w:color="auto"/>
              <w:left w:val="single" w:sz="4" w:space="0" w:color="auto"/>
              <w:bottom w:val="single" w:sz="4" w:space="0" w:color="auto"/>
              <w:right w:val="single" w:sz="4" w:space="0" w:color="auto"/>
            </w:tcBorders>
          </w:tcPr>
          <w:p w:rsidR="00513F9B" w:rsidRDefault="00513F9B">
            <w:pPr>
              <w:rPr>
                <w:rFonts w:cs="Arial"/>
                <w:iCs/>
              </w:rPr>
            </w:pPr>
            <w:r>
              <w:rPr>
                <w:rFonts w:cs="Arial"/>
                <w:iCs/>
              </w:rPr>
              <w:t>August 1, 2017</w:t>
            </w:r>
          </w:p>
        </w:tc>
        <w:tc>
          <w:tcPr>
            <w:tcW w:w="3690" w:type="dxa"/>
            <w:tcBorders>
              <w:top w:val="single" w:sz="4" w:space="0" w:color="auto"/>
              <w:left w:val="single" w:sz="4" w:space="0" w:color="auto"/>
              <w:bottom w:val="single" w:sz="4" w:space="0" w:color="auto"/>
              <w:right w:val="single" w:sz="4" w:space="0" w:color="auto"/>
            </w:tcBorders>
          </w:tcPr>
          <w:p w:rsidR="00513F9B" w:rsidRDefault="00513F9B" w:rsidP="008C6EDC">
            <w:pPr>
              <w:rPr>
                <w:rFonts w:cs="Arial"/>
                <w:iCs/>
              </w:rPr>
            </w:pPr>
            <w:r>
              <w:rPr>
                <w:rFonts w:cs="Arial"/>
                <w:iCs/>
              </w:rPr>
              <w:t>Added references for interfering substances</w:t>
            </w:r>
            <w:r w:rsidR="00E63CB7">
              <w:rPr>
                <w:rFonts w:cs="Arial"/>
                <w:iCs/>
              </w:rPr>
              <w:t xml:space="preserve"> and new reference range</w:t>
            </w:r>
            <w:r>
              <w:rPr>
                <w:rFonts w:cs="Arial"/>
                <w:iCs/>
              </w:rPr>
              <w:t xml:space="preserve"> and</w:t>
            </w:r>
            <w:r w:rsidR="00E63CB7">
              <w:rPr>
                <w:rFonts w:cs="Arial"/>
                <w:iCs/>
              </w:rPr>
              <w:t xml:space="preserve"> changed</w:t>
            </w:r>
            <w:r>
              <w:rPr>
                <w:rFonts w:cs="Arial"/>
                <w:iCs/>
              </w:rPr>
              <w:t xml:space="preserve"> reference range</w:t>
            </w:r>
            <w:r w:rsidR="00E63CB7">
              <w:rPr>
                <w:rFonts w:cs="Arial"/>
                <w:iCs/>
              </w:rPr>
              <w:t xml:space="preserve"> from 30-65 U/L to 6-50 U/L</w:t>
            </w:r>
          </w:p>
        </w:tc>
      </w:tr>
      <w:tr w:rsidR="008C6EDC" w:rsidTr="00B816B4">
        <w:tblPrEx>
          <w:tblBorders>
            <w:bottom w:val="single" w:sz="4" w:space="0" w:color="auto"/>
          </w:tblBorders>
        </w:tblPrEx>
        <w:trPr>
          <w:cantSplit/>
          <w:trHeight w:val="255"/>
        </w:trPr>
        <w:tc>
          <w:tcPr>
            <w:tcW w:w="2160" w:type="dxa"/>
            <w:tcBorders>
              <w:left w:val="nil"/>
              <w:bottom w:val="nil"/>
              <w:right w:val="nil"/>
            </w:tcBorders>
          </w:tcPr>
          <w:p w:rsidR="008C6EDC" w:rsidRDefault="008C6EDC">
            <w:pPr>
              <w:rPr>
                <w:rFonts w:cs="Arial"/>
                <w:b/>
                <w:bCs/>
                <w:color w:val="3366FF"/>
              </w:rPr>
            </w:pPr>
          </w:p>
        </w:tc>
        <w:tc>
          <w:tcPr>
            <w:tcW w:w="8910" w:type="dxa"/>
            <w:gridSpan w:val="4"/>
            <w:tcBorders>
              <w:top w:val="single" w:sz="4" w:space="0" w:color="auto"/>
              <w:left w:val="nil"/>
              <w:bottom w:val="single" w:sz="18" w:space="0" w:color="BFBFBF"/>
              <w:right w:val="nil"/>
            </w:tcBorders>
          </w:tcPr>
          <w:p w:rsidR="008C6EDC" w:rsidRDefault="008C6EDC">
            <w:pPr>
              <w:rPr>
                <w:rFonts w:cs="Arial"/>
                <w:iCs/>
              </w:rPr>
            </w:pPr>
          </w:p>
        </w:tc>
      </w:tr>
    </w:tbl>
    <w:p w:rsidR="008C6EDC" w:rsidRDefault="008C6EDC"/>
    <w:sectPr w:rsidR="008C6EDC" w:rsidSect="00287C41">
      <w:headerReference w:type="default" r:id="rId14"/>
      <w:footerReference w:type="default" r:id="rId15"/>
      <w:pgSz w:w="12240" w:h="15840" w:code="1"/>
      <w:pgMar w:top="720" w:right="1800" w:bottom="720" w:left="180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218" w:rsidRDefault="00003218">
      <w:r>
        <w:separator/>
      </w:r>
    </w:p>
  </w:endnote>
  <w:endnote w:type="continuationSeparator" w:id="0">
    <w:p w:rsidR="00003218" w:rsidRDefault="00003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Cambria"/>
    <w:panose1 w:val="00000000000000000000"/>
    <w:charset w:val="00"/>
    <w:family w:val="swiss"/>
    <w:notTrueType/>
    <w:pitch w:val="default"/>
    <w:sig w:usb0="00000003" w:usb1="00000000" w:usb2="00000000" w:usb3="00000000" w:csb0="00000001" w:csb1="00000000"/>
  </w:font>
  <w:font w:name="Helen Pro">
    <w:altName w:val="Cambria"/>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AD" w:rsidRPr="001A774F" w:rsidRDefault="00814EAD" w:rsidP="008C6EDC">
    <w:pPr>
      <w:ind w:left="-1260" w:right="-1260"/>
      <w:rPr>
        <w:rFonts w:cs="Arial"/>
        <w:sz w:val="18"/>
      </w:rPr>
    </w:pPr>
    <w:r>
      <w:rPr>
        <w:rFonts w:cs="Arial"/>
        <w:sz w:val="18"/>
      </w:rPr>
      <w:t>Laboratory, Children’s Hospitals and Clinics of Minnesota, Minneapolis/St. Paul, MN</w:t>
    </w:r>
    <w:r>
      <w:rPr>
        <w:rFonts w:cs="Arial"/>
        <w:sz w:val="18"/>
      </w:rPr>
      <w:tab/>
    </w:r>
    <w:r>
      <w:rPr>
        <w:rFonts w:cs="Arial"/>
        <w:sz w:val="18"/>
      </w:rPr>
      <w:tab/>
    </w:r>
    <w:r>
      <w:rPr>
        <w:rFonts w:cs="Arial"/>
        <w:sz w:val="18"/>
      </w:rPr>
      <w:tab/>
    </w:r>
    <w:r>
      <w:rPr>
        <w:rFonts w:cs="Arial"/>
        <w:sz w:val="18"/>
      </w:rPr>
      <w:tab/>
    </w:r>
    <w:r>
      <w:rPr>
        <w:rFonts w:cs="Arial"/>
        <w:sz w:val="18"/>
      </w:rPr>
      <w:tab/>
    </w:r>
    <w:r>
      <w:rPr>
        <w:sz w:val="18"/>
      </w:rPr>
      <w:t xml:space="preserve">Page </w:t>
    </w:r>
    <w:r w:rsidR="009945A2">
      <w:rPr>
        <w:sz w:val="18"/>
      </w:rPr>
      <w:fldChar w:fldCharType="begin"/>
    </w:r>
    <w:r>
      <w:rPr>
        <w:sz w:val="18"/>
      </w:rPr>
      <w:instrText xml:space="preserve"> PAGE </w:instrText>
    </w:r>
    <w:r w:rsidR="009945A2">
      <w:rPr>
        <w:sz w:val="18"/>
      </w:rPr>
      <w:fldChar w:fldCharType="separate"/>
    </w:r>
    <w:r w:rsidR="00143FF4">
      <w:rPr>
        <w:noProof/>
        <w:sz w:val="18"/>
      </w:rPr>
      <w:t>1</w:t>
    </w:r>
    <w:r w:rsidR="009945A2">
      <w:rPr>
        <w:sz w:val="18"/>
      </w:rPr>
      <w:fldChar w:fldCharType="end"/>
    </w:r>
    <w:r>
      <w:rPr>
        <w:sz w:val="18"/>
      </w:rPr>
      <w:t xml:space="preserve"> of </w:t>
    </w:r>
    <w:r w:rsidR="009945A2">
      <w:rPr>
        <w:sz w:val="18"/>
      </w:rPr>
      <w:fldChar w:fldCharType="begin"/>
    </w:r>
    <w:r>
      <w:rPr>
        <w:sz w:val="18"/>
      </w:rPr>
      <w:instrText xml:space="preserve"> NUMPAGES </w:instrText>
    </w:r>
    <w:r w:rsidR="009945A2">
      <w:rPr>
        <w:sz w:val="18"/>
      </w:rPr>
      <w:fldChar w:fldCharType="separate"/>
    </w:r>
    <w:r w:rsidR="00143FF4">
      <w:rPr>
        <w:noProof/>
        <w:sz w:val="18"/>
      </w:rPr>
      <w:t>7</w:t>
    </w:r>
    <w:r w:rsidR="009945A2">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218" w:rsidRDefault="00003218">
      <w:r>
        <w:separator/>
      </w:r>
    </w:p>
  </w:footnote>
  <w:footnote w:type="continuationSeparator" w:id="0">
    <w:p w:rsidR="00003218" w:rsidRDefault="00003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AD" w:rsidRDefault="009945A2">
    <w:pPr>
      <w:ind w:left="-1260" w:right="-1260"/>
      <w:rPr>
        <w:rFonts w:cs="Arial"/>
        <w:sz w:val="18"/>
      </w:rPr>
    </w:pPr>
    <w:r w:rsidRPr="009945A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67.95pt;margin-top:-15.3pt;width:133.7pt;height:42.85pt;z-index:-251658752;mso-position-horizontal-relative:text;mso-position-vertical-relative:text" wrapcoords="-121 0 -121 21221 21600 21221 21600 0 -121 0">
          <v:imagedata r:id="rId1" o:title="Childrens_MN_2015_logo_2c_RGB_800x257"/>
          <w10:wrap type="tight"/>
        </v:shape>
      </w:pict>
    </w:r>
    <w:r w:rsidR="00814EAD">
      <w:rPr>
        <w:rFonts w:cs="Arial"/>
        <w:sz w:val="18"/>
      </w:rPr>
      <w:t>CH 6.07 Alanine Aminotransferase (ALT)</w:t>
    </w:r>
    <w:r w:rsidR="000625DB" w:rsidRPr="000625DB">
      <w:rPr>
        <w:snapToGrid w:val="0"/>
        <w:color w:val="000000"/>
        <w:w w:val="0"/>
        <w:sz w:val="0"/>
        <w:szCs w:val="0"/>
        <w:u w:color="000000"/>
        <w:bdr w:val="none" w:sz="0" w:space="0" w:color="000000"/>
        <w:shd w:val="clear" w:color="000000" w:fill="000000"/>
      </w:rPr>
      <w:t xml:space="preserve"> </w:t>
    </w:r>
  </w:p>
  <w:p w:rsidR="00814EAD" w:rsidRDefault="0004669D">
    <w:pPr>
      <w:ind w:left="-1260" w:right="-1260"/>
      <w:rPr>
        <w:rFonts w:cs="Arial"/>
        <w:sz w:val="18"/>
      </w:rPr>
    </w:pPr>
    <w:r>
      <w:rPr>
        <w:rFonts w:cs="Arial"/>
        <w:sz w:val="18"/>
      </w:rPr>
      <w:t>Version 10</w:t>
    </w:r>
  </w:p>
  <w:p w:rsidR="00814EAD" w:rsidRDefault="00814EAD">
    <w:pPr>
      <w:ind w:left="-1260" w:right="-1260"/>
      <w:rPr>
        <w:rFonts w:cs="Arial"/>
        <w:sz w:val="18"/>
      </w:rPr>
    </w:pPr>
    <w:r>
      <w:rPr>
        <w:rFonts w:cs="Arial"/>
        <w:sz w:val="18"/>
      </w:rPr>
      <w:t xml:space="preserve">Effective Date: </w:t>
    </w:r>
    <w:r w:rsidR="0004669D">
      <w:rPr>
        <w:rFonts w:cs="Arial"/>
        <w:sz w:val="18"/>
      </w:rPr>
      <w:t>July 17, 2017</w:t>
    </w:r>
  </w:p>
  <w:p w:rsidR="00814EAD" w:rsidRDefault="00814EAD">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BD5"/>
    <w:multiLevelType w:val="hybridMultilevel"/>
    <w:tmpl w:val="1638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3194C53"/>
    <w:multiLevelType w:val="hybridMultilevel"/>
    <w:tmpl w:val="A3F43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66EDC"/>
    <w:multiLevelType w:val="hybridMultilevel"/>
    <w:tmpl w:val="EE002A8C"/>
    <w:lvl w:ilvl="0" w:tplc="3620C6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D075893"/>
    <w:multiLevelType w:val="hybridMultilevel"/>
    <w:tmpl w:val="C7689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4A63E3B"/>
    <w:multiLevelType w:val="hybridMultilevel"/>
    <w:tmpl w:val="4992B338"/>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231311"/>
    <w:multiLevelType w:val="hybridMultilevel"/>
    <w:tmpl w:val="71B6B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C475C2C"/>
    <w:multiLevelType w:val="hybridMultilevel"/>
    <w:tmpl w:val="91C6C1E0"/>
    <w:lvl w:ilvl="0" w:tplc="12A23B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BE03B16"/>
    <w:multiLevelType w:val="hybridMultilevel"/>
    <w:tmpl w:val="99E46710"/>
    <w:lvl w:ilvl="0" w:tplc="3620C63E">
      <w:start w:val="1"/>
      <w:numFmt w:val="bullet"/>
      <w:lvlText w:val=""/>
      <w:lvlJc w:val="left"/>
      <w:pPr>
        <w:tabs>
          <w:tab w:val="num" w:pos="360"/>
        </w:tabs>
        <w:ind w:left="360" w:hanging="360"/>
      </w:pPr>
      <w:rPr>
        <w:rFonts w:ascii="Symbol" w:hAnsi="Symbol" w:hint="default"/>
      </w:rPr>
    </w:lvl>
    <w:lvl w:ilvl="1" w:tplc="64380FE0">
      <w:start w:val="1"/>
      <w:numFmt w:val="bullet"/>
      <w:lvlText w:val="o"/>
      <w:lvlJc w:val="left"/>
      <w:pPr>
        <w:tabs>
          <w:tab w:val="num" w:pos="1080"/>
        </w:tabs>
        <w:ind w:left="1080" w:hanging="360"/>
      </w:pPr>
      <w:rPr>
        <w:rFonts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E743396"/>
    <w:multiLevelType w:val="hybridMultilevel"/>
    <w:tmpl w:val="96002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154D05"/>
    <w:multiLevelType w:val="hybridMultilevel"/>
    <w:tmpl w:val="C56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4A3B0D"/>
    <w:multiLevelType w:val="hybridMultilevel"/>
    <w:tmpl w:val="30E2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F31F08"/>
    <w:multiLevelType w:val="hybridMultilevel"/>
    <w:tmpl w:val="6586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914723"/>
    <w:multiLevelType w:val="hybridMultilevel"/>
    <w:tmpl w:val="D4E4BD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9"/>
  </w:num>
  <w:num w:numId="3">
    <w:abstractNumId w:val="15"/>
  </w:num>
  <w:num w:numId="4">
    <w:abstractNumId w:val="4"/>
  </w:num>
  <w:num w:numId="5">
    <w:abstractNumId w:val="12"/>
  </w:num>
  <w:num w:numId="6">
    <w:abstractNumId w:val="11"/>
  </w:num>
  <w:num w:numId="7">
    <w:abstractNumId w:val="14"/>
  </w:num>
  <w:num w:numId="8">
    <w:abstractNumId w:val="20"/>
  </w:num>
  <w:num w:numId="9">
    <w:abstractNumId w:val="10"/>
  </w:num>
  <w:num w:numId="10">
    <w:abstractNumId w:val="1"/>
  </w:num>
  <w:num w:numId="11">
    <w:abstractNumId w:val="22"/>
  </w:num>
  <w:num w:numId="12">
    <w:abstractNumId w:val="18"/>
  </w:num>
  <w:num w:numId="13">
    <w:abstractNumId w:val="3"/>
  </w:num>
  <w:num w:numId="14">
    <w:abstractNumId w:val="8"/>
  </w:num>
  <w:num w:numId="15">
    <w:abstractNumId w:val="7"/>
  </w:num>
  <w:num w:numId="16">
    <w:abstractNumId w:val="13"/>
  </w:num>
  <w:num w:numId="17">
    <w:abstractNumId w:val="6"/>
  </w:num>
  <w:num w:numId="18">
    <w:abstractNumId w:val="5"/>
  </w:num>
  <w:num w:numId="19">
    <w:abstractNumId w:val="16"/>
  </w:num>
  <w:num w:numId="20">
    <w:abstractNumId w:val="19"/>
  </w:num>
  <w:num w:numId="21">
    <w:abstractNumId w:val="21"/>
  </w:num>
  <w:num w:numId="22">
    <w:abstractNumId w:val="17"/>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gutterAtTop/>
  <w:hideSpellingErrors/>
  <w:hideGrammaticalErrors/>
  <w:doNotTrackMove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847"/>
    <w:rsid w:val="00003218"/>
    <w:rsid w:val="0004669D"/>
    <w:rsid w:val="000625DB"/>
    <w:rsid w:val="00143FF4"/>
    <w:rsid w:val="00287C41"/>
    <w:rsid w:val="0029711F"/>
    <w:rsid w:val="002A65EF"/>
    <w:rsid w:val="002D50CB"/>
    <w:rsid w:val="00513F9B"/>
    <w:rsid w:val="00542D1B"/>
    <w:rsid w:val="005516E7"/>
    <w:rsid w:val="00712847"/>
    <w:rsid w:val="00814EAD"/>
    <w:rsid w:val="0083747A"/>
    <w:rsid w:val="008C6EDC"/>
    <w:rsid w:val="008E43B5"/>
    <w:rsid w:val="009945A2"/>
    <w:rsid w:val="009F5B34"/>
    <w:rsid w:val="00B816B4"/>
    <w:rsid w:val="00C0536C"/>
    <w:rsid w:val="00E63C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41"/>
    <w:rPr>
      <w:rFonts w:ascii="Arial" w:hAnsi="Arial"/>
      <w:szCs w:val="24"/>
    </w:rPr>
  </w:style>
  <w:style w:type="paragraph" w:styleId="Heading1">
    <w:name w:val="heading 1"/>
    <w:basedOn w:val="Normal"/>
    <w:next w:val="Normal"/>
    <w:qFormat/>
    <w:rsid w:val="00287C41"/>
    <w:pPr>
      <w:keepNext/>
      <w:numPr>
        <w:numId w:val="10"/>
      </w:numPr>
      <w:jc w:val="both"/>
      <w:outlineLvl w:val="0"/>
    </w:pPr>
    <w:rPr>
      <w:rFonts w:ascii="Times New Roman" w:hAnsi="Times New Roman" w:cs="Arial"/>
      <w:b/>
      <w:bCs/>
      <w:kern w:val="32"/>
      <w:sz w:val="26"/>
      <w:szCs w:val="32"/>
    </w:rPr>
  </w:style>
  <w:style w:type="paragraph" w:styleId="Heading2">
    <w:name w:val="heading 2"/>
    <w:basedOn w:val="Normal"/>
    <w:next w:val="Normal"/>
    <w:qFormat/>
    <w:rsid w:val="00287C41"/>
    <w:pPr>
      <w:keepNext/>
      <w:numPr>
        <w:ilvl w:val="1"/>
        <w:numId w:val="10"/>
      </w:numPr>
      <w:jc w:val="both"/>
      <w:outlineLvl w:val="1"/>
    </w:pPr>
    <w:rPr>
      <w:rFonts w:ascii="Times New Roman" w:hAnsi="Times New Roman" w:cs="Arial"/>
      <w:b/>
      <w:bCs/>
      <w:iCs/>
      <w:sz w:val="24"/>
      <w:szCs w:val="28"/>
    </w:rPr>
  </w:style>
  <w:style w:type="paragraph" w:styleId="Heading3">
    <w:name w:val="heading 3"/>
    <w:basedOn w:val="Normal"/>
    <w:next w:val="Normal"/>
    <w:qFormat/>
    <w:rsid w:val="00287C41"/>
    <w:pPr>
      <w:keepNext/>
      <w:numPr>
        <w:ilvl w:val="2"/>
        <w:numId w:val="10"/>
      </w:numPr>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287C41"/>
    <w:pPr>
      <w:keepNext/>
      <w:numPr>
        <w:ilvl w:val="3"/>
        <w:numId w:val="10"/>
      </w:numPr>
      <w:jc w:val="both"/>
      <w:outlineLvl w:val="3"/>
    </w:pPr>
    <w:rPr>
      <w:rFonts w:ascii="Times New Roman" w:hAnsi="Times New Roman"/>
      <w:bCs/>
      <w:sz w:val="22"/>
      <w:szCs w:val="28"/>
    </w:rPr>
  </w:style>
  <w:style w:type="paragraph" w:styleId="Heading5">
    <w:name w:val="heading 5"/>
    <w:aliases w:val="Block Label"/>
    <w:basedOn w:val="Normal"/>
    <w:next w:val="Normal"/>
    <w:qFormat/>
    <w:rsid w:val="00287C41"/>
    <w:pPr>
      <w:keepNext/>
      <w:numPr>
        <w:ilvl w:val="4"/>
        <w:numId w:val="10"/>
      </w:numPr>
      <w:spacing w:before="20"/>
      <w:jc w:val="both"/>
      <w:outlineLvl w:val="4"/>
    </w:pPr>
    <w:rPr>
      <w:rFonts w:ascii="Times New Roman" w:hAnsi="Times New Roman"/>
      <w:sz w:val="22"/>
    </w:rPr>
  </w:style>
  <w:style w:type="paragraph" w:styleId="Heading6">
    <w:name w:val="heading 6"/>
    <w:basedOn w:val="Normal"/>
    <w:next w:val="Normal"/>
    <w:qFormat/>
    <w:rsid w:val="00287C41"/>
    <w:pPr>
      <w:keepNext/>
      <w:numPr>
        <w:ilvl w:val="5"/>
        <w:numId w:val="10"/>
      </w:numPr>
      <w:jc w:val="both"/>
      <w:outlineLvl w:val="5"/>
    </w:pPr>
    <w:rPr>
      <w:rFonts w:ascii="Times New Roman" w:hAnsi="Times New Roman"/>
      <w:b/>
      <w:bCs/>
      <w:sz w:val="18"/>
    </w:rPr>
  </w:style>
  <w:style w:type="paragraph" w:styleId="Heading7">
    <w:name w:val="heading 7"/>
    <w:basedOn w:val="Normal"/>
    <w:next w:val="Normal"/>
    <w:qFormat/>
    <w:rsid w:val="00287C41"/>
    <w:pPr>
      <w:keepNext/>
      <w:numPr>
        <w:ilvl w:val="6"/>
        <w:numId w:val="10"/>
      </w:numPr>
      <w:jc w:val="both"/>
      <w:outlineLvl w:val="6"/>
    </w:pPr>
    <w:rPr>
      <w:rFonts w:ascii="Times New Roman" w:hAnsi="Times New Roman"/>
      <w:sz w:val="28"/>
    </w:rPr>
  </w:style>
  <w:style w:type="paragraph" w:styleId="Heading8">
    <w:name w:val="heading 8"/>
    <w:basedOn w:val="Normal"/>
    <w:next w:val="Normal"/>
    <w:qFormat/>
    <w:rsid w:val="00287C41"/>
    <w:pPr>
      <w:keepNext/>
      <w:numPr>
        <w:ilvl w:val="7"/>
        <w:numId w:val="10"/>
      </w:numPr>
      <w:jc w:val="center"/>
      <w:outlineLvl w:val="7"/>
    </w:pPr>
    <w:rPr>
      <w:rFonts w:ascii="Times New Roman" w:hAnsi="Times New Roman"/>
      <w:b/>
      <w:bCs/>
      <w:sz w:val="22"/>
    </w:rPr>
  </w:style>
  <w:style w:type="paragraph" w:styleId="Heading9">
    <w:name w:val="heading 9"/>
    <w:basedOn w:val="Normal"/>
    <w:next w:val="Normal"/>
    <w:qFormat/>
    <w:rsid w:val="00287C41"/>
    <w:pPr>
      <w:keepNext/>
      <w:numPr>
        <w:ilvl w:val="8"/>
        <w:numId w:val="10"/>
      </w:numPr>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87C41"/>
    <w:pPr>
      <w:tabs>
        <w:tab w:val="center" w:pos="4320"/>
        <w:tab w:val="right" w:pos="8640"/>
      </w:tabs>
    </w:pPr>
  </w:style>
  <w:style w:type="paragraph" w:styleId="Footer">
    <w:name w:val="footer"/>
    <w:basedOn w:val="Normal"/>
    <w:semiHidden/>
    <w:rsid w:val="00287C41"/>
    <w:pPr>
      <w:tabs>
        <w:tab w:val="center" w:pos="4320"/>
        <w:tab w:val="right" w:pos="8640"/>
      </w:tabs>
    </w:pPr>
  </w:style>
  <w:style w:type="paragraph" w:customStyle="1" w:styleId="CalVerTable">
    <w:name w:val="CalVerTable"/>
    <w:basedOn w:val="BodyText"/>
    <w:rsid w:val="00287C41"/>
    <w:pPr>
      <w:spacing w:after="40" w:line="160" w:lineRule="atLeast"/>
      <w:ind w:left="3240" w:hanging="3240"/>
    </w:pPr>
    <w:rPr>
      <w:rFonts w:ascii="Times New Roman" w:hAnsi="Times New Roman"/>
      <w:szCs w:val="20"/>
    </w:rPr>
  </w:style>
  <w:style w:type="paragraph" w:styleId="BodyText">
    <w:name w:val="Body Text"/>
    <w:basedOn w:val="Normal"/>
    <w:semiHidden/>
    <w:rsid w:val="00287C41"/>
    <w:pPr>
      <w:spacing w:after="120"/>
    </w:pPr>
  </w:style>
  <w:style w:type="paragraph" w:customStyle="1" w:styleId="Reagents">
    <w:name w:val="Reagents"/>
    <w:basedOn w:val="Normal"/>
    <w:rsid w:val="00287C41"/>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Default">
    <w:name w:val="Default"/>
    <w:rsid w:val="00287C41"/>
    <w:pPr>
      <w:autoSpaceDE w:val="0"/>
      <w:autoSpaceDN w:val="0"/>
      <w:adjustRightInd w:val="0"/>
    </w:pPr>
    <w:rPr>
      <w:rFonts w:ascii="Helen Pro Cond" w:hAnsi="Helen Pro Cond"/>
      <w:color w:val="000000"/>
      <w:sz w:val="24"/>
      <w:szCs w:val="24"/>
    </w:rPr>
  </w:style>
  <w:style w:type="paragraph" w:customStyle="1" w:styleId="Pa13">
    <w:name w:val="Pa13"/>
    <w:basedOn w:val="Default"/>
    <w:next w:val="Default"/>
    <w:rsid w:val="00287C41"/>
    <w:pPr>
      <w:spacing w:line="151" w:lineRule="atLeast"/>
    </w:pPr>
    <w:rPr>
      <w:color w:val="auto"/>
    </w:rPr>
  </w:style>
  <w:style w:type="paragraph" w:customStyle="1" w:styleId="Pa12">
    <w:name w:val="Pa12"/>
    <w:basedOn w:val="Default"/>
    <w:next w:val="Default"/>
    <w:rsid w:val="00287C41"/>
    <w:pPr>
      <w:spacing w:line="151" w:lineRule="atLeast"/>
    </w:pPr>
    <w:rPr>
      <w:color w:val="auto"/>
    </w:rPr>
  </w:style>
  <w:style w:type="paragraph" w:customStyle="1" w:styleId="Pa4">
    <w:name w:val="Pa4"/>
    <w:basedOn w:val="Default"/>
    <w:next w:val="Default"/>
    <w:rsid w:val="00287C41"/>
    <w:pPr>
      <w:spacing w:line="151" w:lineRule="atLeast"/>
    </w:pPr>
    <w:rPr>
      <w:color w:val="auto"/>
    </w:rPr>
  </w:style>
  <w:style w:type="paragraph" w:customStyle="1" w:styleId="Pa14">
    <w:name w:val="Pa14"/>
    <w:basedOn w:val="Default"/>
    <w:next w:val="Default"/>
    <w:rsid w:val="00287C41"/>
    <w:pPr>
      <w:spacing w:line="151" w:lineRule="atLeast"/>
    </w:pPr>
    <w:rPr>
      <w:color w:val="auto"/>
    </w:rPr>
  </w:style>
  <w:style w:type="paragraph" w:customStyle="1" w:styleId="Pa10">
    <w:name w:val="Pa10"/>
    <w:basedOn w:val="Normal"/>
    <w:next w:val="Normal"/>
    <w:rsid w:val="00287C41"/>
    <w:pPr>
      <w:autoSpaceDE w:val="0"/>
      <w:autoSpaceDN w:val="0"/>
      <w:adjustRightInd w:val="0"/>
      <w:spacing w:line="141" w:lineRule="atLeast"/>
    </w:pPr>
    <w:rPr>
      <w:rFonts w:ascii="Helen Pro Cond" w:hAnsi="Helen Pro Cond"/>
      <w:sz w:val="24"/>
    </w:rPr>
  </w:style>
  <w:style w:type="paragraph" w:customStyle="1" w:styleId="Pa15">
    <w:name w:val="Pa15"/>
    <w:basedOn w:val="Default"/>
    <w:next w:val="Default"/>
    <w:rsid w:val="00287C41"/>
    <w:pPr>
      <w:spacing w:line="151" w:lineRule="atLeast"/>
    </w:pPr>
    <w:rPr>
      <w:color w:val="auto"/>
    </w:rPr>
  </w:style>
  <w:style w:type="character" w:customStyle="1" w:styleId="A8">
    <w:name w:val="A8"/>
    <w:rsid w:val="00287C41"/>
    <w:rPr>
      <w:rFonts w:ascii="Helen Pro" w:hAnsi="Helen Pro"/>
      <w:color w:val="000000"/>
      <w:sz w:val="8"/>
      <w:szCs w:val="8"/>
    </w:rPr>
  </w:style>
  <w:style w:type="character" w:customStyle="1" w:styleId="A7">
    <w:name w:val="A7"/>
    <w:rsid w:val="00287C41"/>
    <w:rPr>
      <w:color w:val="000000"/>
      <w:sz w:val="15"/>
      <w:szCs w:val="15"/>
    </w:rPr>
  </w:style>
  <w:style w:type="character" w:styleId="Hyperlink">
    <w:name w:val="Hyperlink"/>
    <w:basedOn w:val="DefaultParagraphFont"/>
    <w:uiPriority w:val="99"/>
    <w:rsid w:val="00287C41"/>
    <w:rPr>
      <w:color w:val="0000FF"/>
      <w:u w:val="single"/>
    </w:rPr>
  </w:style>
  <w:style w:type="paragraph" w:styleId="BodyTextIndent">
    <w:name w:val="Body Text Indent"/>
    <w:basedOn w:val="Normal"/>
    <w:semiHidden/>
    <w:rsid w:val="00287C41"/>
    <w:pPr>
      <w:ind w:left="-108"/>
    </w:pPr>
    <w:rPr>
      <w:rFonts w:cs="Arial"/>
      <w:b/>
      <w:bCs/>
      <w:color w:val="0000FF"/>
    </w:rPr>
  </w:style>
  <w:style w:type="paragraph" w:customStyle="1" w:styleId="TableText">
    <w:name w:val="Table Text"/>
    <w:basedOn w:val="Normal"/>
    <w:rsid w:val="00287C41"/>
    <w:pPr>
      <w:autoSpaceDE w:val="0"/>
      <w:autoSpaceDN w:val="0"/>
    </w:pPr>
    <w:rPr>
      <w:rFonts w:ascii="Times New Roman" w:hAnsi="Times New Roman"/>
    </w:rPr>
  </w:style>
  <w:style w:type="paragraph" w:customStyle="1" w:styleId="Pa27">
    <w:name w:val="Pa27"/>
    <w:basedOn w:val="Default"/>
    <w:next w:val="Default"/>
    <w:rsid w:val="00287C41"/>
    <w:pPr>
      <w:spacing w:line="141" w:lineRule="atLeast"/>
    </w:pPr>
    <w:rPr>
      <w:color w:val="auto"/>
    </w:rPr>
  </w:style>
  <w:style w:type="paragraph" w:styleId="BodyText2">
    <w:name w:val="Body Text 2"/>
    <w:basedOn w:val="Normal"/>
    <w:link w:val="BodyText2Char"/>
    <w:uiPriority w:val="99"/>
    <w:unhideWhenUsed/>
    <w:rsid w:val="009C0037"/>
    <w:pPr>
      <w:spacing w:after="120" w:line="480" w:lineRule="auto"/>
    </w:pPr>
  </w:style>
  <w:style w:type="character" w:customStyle="1" w:styleId="BodyText2Char">
    <w:name w:val="Body Text 2 Char"/>
    <w:basedOn w:val="DefaultParagraphFont"/>
    <w:link w:val="BodyText2"/>
    <w:uiPriority w:val="99"/>
    <w:rsid w:val="009C0037"/>
    <w:rPr>
      <w:rFonts w:ascii="Arial" w:hAnsi="Arial"/>
      <w:szCs w:val="24"/>
    </w:rPr>
  </w:style>
  <w:style w:type="character" w:customStyle="1" w:styleId="A9">
    <w:name w:val="A9"/>
    <w:uiPriority w:val="99"/>
    <w:rsid w:val="00CA766B"/>
    <w:rPr>
      <w:color w:val="000000"/>
      <w:sz w:val="8"/>
      <w:szCs w:val="8"/>
    </w:rPr>
  </w:style>
  <w:style w:type="paragraph" w:styleId="CommentText">
    <w:name w:val="annotation text"/>
    <w:basedOn w:val="Normal"/>
    <w:link w:val="CommentTextChar"/>
    <w:semiHidden/>
    <w:rsid w:val="00EF74E9"/>
    <w:rPr>
      <w:szCs w:val="20"/>
    </w:rPr>
  </w:style>
  <w:style w:type="character" w:customStyle="1" w:styleId="CommentTextChar">
    <w:name w:val="Comment Text Char"/>
    <w:basedOn w:val="DefaultParagraphFont"/>
    <w:link w:val="CommentText"/>
    <w:semiHidden/>
    <w:rsid w:val="00EF74E9"/>
    <w:rPr>
      <w:rFonts w:ascii="Arial" w:hAnsi="Arial"/>
    </w:rPr>
  </w:style>
  <w:style w:type="character" w:styleId="FollowedHyperlink">
    <w:name w:val="FollowedHyperlink"/>
    <w:basedOn w:val="DefaultParagraphFont"/>
    <w:uiPriority w:val="99"/>
    <w:semiHidden/>
    <w:unhideWhenUsed/>
    <w:rsid w:val="00513F9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asskids.org/pediatric-lab-value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khan.childrensmn.org/Manuals/Lab/SOP/Chem/Procedure/20682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emens.com/diagnostic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In Process</WFStatus>
    <Renewal_x0020_Date xmlns="199f0838-75a6-4f0c-9be1-f2c07140bccc">2019-08-01T05:00:00+00:00</Renewal_x0020_Date>
    <Related_x0020_Documents xmlns="199f0838-75a6-4f0c-9be1-f2c07140bccc" xsi:nil="true"/>
    <Legacy_x0020_Name xmlns="199f0838-75a6-4f0c-9be1-f2c07140bccc" xsi:nil="true"/>
    <Legacy_x0020_Document_x0020_ID xmlns="199f0838-75a6-4f0c-9be1-f2c07140bccc" xsi:nil="true"/>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F6TN54CWY5RS-50183619-32219</_dlc_DocId>
    <_Version xmlns="http://schemas.microsoft.com/sharepoint/v3/fields" xsi:nil="true"/>
    <Meta_x0020_Tag_x0020_Keywords xmlns="199f0838-75a6-4f0c-9be1-f2c07140bccc" xsi:nil="true"/>
    <Publishing_x0020_Destination xmlns="199f0838-75a6-4f0c-9be1-f2c07140bccc">Default</Publishing_x0020_Destination>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CH 6.07 ALT (Alanine Aminotransferase)</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 xsi:nil="true"/>
    <Owner xmlns="http://schemas.microsoft.com/sharepoint/v3">CHEM</Owner>
    <Content_x0020_Release_x0020_Date xmlns="199f0838-75a6-4f0c-9be1-f2c07140bccc">2017-08-01T05:00:00+00:00</Content_x0020_Release_x0020_Date>
    <Summary xmlns="199f0838-75a6-4f0c-9be1-f2c07140bccc" xsi:nil="true"/>
    <SubTitle xmlns="199f0838-75a6-4f0c-9be1-f2c07140bccc" xsi:nil="true"/>
    <_dlc_DocIdUrl xmlns="199f0838-75a6-4f0c-9be1-f2c07140bccc">
      <Url>http://vcpsharepoint2/references/_layouts/15/DocIdRedir.aspx?ID=F6TN54CWY5RS-50183619-32219</Url>
      <Description>F6TN54CWY5RS-50183619-32219</Description>
    </_dlc_DocIdUrl>
    <Study_x0020_Status xmlns="c1848e11-9cf6-4ce4-877e-6837d2c2fa23" xsi:nil="true"/>
    <Meta_x0020_Page_x0020_Description xmlns="199f0838-75a6-4f0c-9be1-f2c07140bccc"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946BDD-F3AF-4F61-B41E-2F5C92196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F4924-055F-437A-BF96-931834C44D40}">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584CB3B2-B889-495C-9217-71907AA5B9FA}">
  <ds:schemaRefs>
    <ds:schemaRef ds:uri="http://schemas.microsoft.com/sharepoint/events"/>
  </ds:schemaRefs>
</ds:datastoreItem>
</file>

<file path=customXml/itemProps4.xml><?xml version="1.0" encoding="utf-8"?>
<ds:datastoreItem xmlns:ds="http://schemas.openxmlformats.org/officeDocument/2006/customXml" ds:itemID="{C59129F5-5224-49F7-8AE2-7D0F2A48FD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2032</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13297</CharactersWithSpaces>
  <SharedDoc>false</SharedDoc>
  <HLinks>
    <vt:vector size="6" baseType="variant">
      <vt:variant>
        <vt:i4>4390980</vt:i4>
      </vt:variant>
      <vt:variant>
        <vt:i4>0</vt:i4>
      </vt:variant>
      <vt:variant>
        <vt:i4>0</vt:i4>
      </vt:variant>
      <vt:variant>
        <vt:i4>5</vt:i4>
      </vt:variant>
      <vt:variant>
        <vt:lpwstr>http://khan.childrensmn.org/Manuals/Lab/SOP/Chem/Procedure/206820.pdf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6.07 ALT (Alanine Aminotransferase)</dc:title>
  <dc:creator>Authorized User</dc:creator>
  <dc:description>7/17/17 Updated interfering substances  after notification from Siemens. KB_x000d_
7/20/17 Updated for new reference ranges and added 2 new references ERB 7/20/17</dc:description>
  <cp:lastModifiedBy>CE155076</cp:lastModifiedBy>
  <cp:revision>2</cp:revision>
  <cp:lastPrinted>2011-06-16T20:36:00Z</cp:lastPrinted>
  <dcterms:created xsi:type="dcterms:W3CDTF">2017-07-21T13:06:00Z</dcterms:created>
  <dcterms:modified xsi:type="dcterms:W3CDTF">2017-07-21T13:06:00Z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7425ab00-c274-4220-8dd3-587f4a2fda7d</vt:lpwstr>
  </property>
</Properties>
</file>