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2"/>
        <w:gridCol w:w="1442"/>
        <w:gridCol w:w="96"/>
        <w:gridCol w:w="2070"/>
        <w:gridCol w:w="536"/>
        <w:gridCol w:w="372"/>
        <w:gridCol w:w="1431"/>
        <w:gridCol w:w="3421"/>
        <w:gridCol w:w="8"/>
      </w:tblGrid>
      <w:tr w:rsidR="003D4DBD" w:rsidTr="00830AE5">
        <w:trPr>
          <w:cantSplit/>
        </w:trPr>
        <w:tc>
          <w:tcPr>
            <w:tcW w:w="111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4DBD" w:rsidRDefault="003D4DBD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Fluorescent Microscope Operation</w:t>
            </w:r>
          </w:p>
          <w:p w:rsidR="003D4DBD" w:rsidRDefault="003D4DBD">
            <w:pPr>
              <w:pStyle w:val="Custom"/>
            </w:pPr>
          </w:p>
        </w:tc>
      </w:tr>
      <w:tr w:rsidR="003D4DBD" w:rsidTr="00830AE5">
        <w:trPr>
          <w:trHeight w:val="1025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3D4DBD" w:rsidRDefault="003D4DB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3D4DBD" w:rsidRDefault="003D4DB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5F" w:rsidRDefault="001D03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3D4DBD" w:rsidRDefault="00830AE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provides instruction for FLUORESCENT MICROSCOPE OPERATION.</w:t>
            </w:r>
          </w:p>
          <w:p w:rsidR="003D4DBD" w:rsidRDefault="003D4DBD" w:rsidP="001D035F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3D4DBD" w:rsidTr="00830AE5">
        <w:trPr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3D4DBD" w:rsidRDefault="003D4DB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35F" w:rsidRDefault="001D035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D4DBD" w:rsidRDefault="001D035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procedure applies to technical staff</w:t>
            </w:r>
            <w:r w:rsidR="003D4DBD" w:rsidRPr="003D4DBD">
              <w:rPr>
                <w:rFonts w:ascii="Arial" w:hAnsi="Arial"/>
                <w:sz w:val="20"/>
              </w:rPr>
              <w:t xml:space="preserve"> who perform fluorescent microscopy.</w:t>
            </w:r>
          </w:p>
          <w:p w:rsidR="003D4DBD" w:rsidRDefault="003D4DBD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1D035F" w:rsidTr="00830A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</w:trPr>
        <w:tc>
          <w:tcPr>
            <w:tcW w:w="1792" w:type="dxa"/>
            <w:tcBorders>
              <w:left w:val="nil"/>
              <w:right w:val="nil"/>
            </w:tcBorders>
          </w:tcPr>
          <w:p w:rsidR="001D035F" w:rsidRDefault="001D035F" w:rsidP="001D035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D035F" w:rsidRDefault="001D035F" w:rsidP="001D035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Principle</w:t>
            </w:r>
          </w:p>
          <w:p w:rsidR="001D035F" w:rsidRDefault="001D035F" w:rsidP="001D035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35F" w:rsidRDefault="001D035F" w:rsidP="001D035F">
            <w:pPr>
              <w:pStyle w:val="TableText"/>
              <w:autoSpaceDE/>
              <w:autoSpaceDN/>
              <w:rPr>
                <w:rFonts w:ascii="Arial" w:hAnsi="Arial"/>
                <w:bCs/>
              </w:rPr>
            </w:pPr>
          </w:p>
          <w:p w:rsidR="001D035F" w:rsidRPr="000145DC" w:rsidRDefault="001D035F" w:rsidP="001D035F">
            <w:pPr>
              <w:pStyle w:val="TableText"/>
              <w:autoSpaceDE/>
              <w:autoSpaceDN/>
              <w:rPr>
                <w:rFonts w:ascii="Arial" w:hAnsi="Arial"/>
                <w:bCs/>
                <w:szCs w:val="20"/>
              </w:rPr>
            </w:pPr>
            <w:r>
              <w:rPr>
                <w:rFonts w:ascii="Arial" w:hAnsi="Arial"/>
                <w:bCs/>
              </w:rPr>
              <w:t>A high-pressure mercury bulb light source is used to irradiate a fluorochrome stained specimen with UV excitation light. Fluorescent compounds in the specimen absorb some of the excitation light and reemit (fluoresce) the remaining light at a lower wavelength. The emitted light and the reflected excitation light are collected by the objective and pass through a dichromatic mirror which removes the excitation light and allows the longer wavelength emitted light to form an image.</w:t>
            </w:r>
            <w:r w:rsidRPr="003D4DBD">
              <w:rPr>
                <w:rFonts w:ascii="Arial" w:hAnsi="Arial"/>
                <w:bCs/>
                <w:szCs w:val="20"/>
              </w:rPr>
              <w:t xml:space="preserve"> </w:t>
            </w:r>
            <w:r>
              <w:rPr>
                <w:rFonts w:ascii="Arial" w:hAnsi="Arial"/>
                <w:bCs/>
                <w:szCs w:val="20"/>
              </w:rPr>
              <w:t xml:space="preserve"> </w:t>
            </w:r>
            <w:r w:rsidRPr="003D4DBD">
              <w:rPr>
                <w:rFonts w:ascii="Arial" w:hAnsi="Arial"/>
                <w:bCs/>
              </w:rPr>
              <w:t>The fluorescence microscope is equipped with filters (490nm/520nm band pass) suitable for use</w:t>
            </w:r>
            <w:r>
              <w:rPr>
                <w:rFonts w:ascii="Arial" w:hAnsi="Arial"/>
                <w:bCs/>
              </w:rPr>
              <w:t xml:space="preserve"> with fluorescein </w:t>
            </w:r>
            <w:r w:rsidR="0075570D">
              <w:rPr>
                <w:rFonts w:ascii="Arial" w:hAnsi="Arial"/>
                <w:bCs/>
              </w:rPr>
              <w:t>isothiocyanate</w:t>
            </w:r>
            <w:r>
              <w:rPr>
                <w:rFonts w:ascii="Arial" w:hAnsi="Arial"/>
                <w:bCs/>
              </w:rPr>
              <w:t>,</w:t>
            </w:r>
            <w:r w:rsidR="000145D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145DC" w:rsidRPr="000145DC">
              <w:rPr>
                <w:rFonts w:ascii="Arial" w:hAnsi="Arial" w:cs="Arial"/>
                <w:szCs w:val="20"/>
              </w:rPr>
              <w:t>R-phycoerythrin</w:t>
            </w:r>
            <w:r w:rsidR="000145DC">
              <w:rPr>
                <w:rFonts w:ascii="Arial" w:hAnsi="Arial"/>
                <w:bCs/>
                <w:szCs w:val="20"/>
              </w:rPr>
              <w:t xml:space="preserve">, </w:t>
            </w:r>
            <w:r w:rsidRPr="000145DC">
              <w:rPr>
                <w:rFonts w:ascii="Arial" w:hAnsi="Arial"/>
                <w:bCs/>
                <w:szCs w:val="20"/>
              </w:rPr>
              <w:t>auramine rhodamine and acridine orange.</w:t>
            </w:r>
          </w:p>
          <w:p w:rsidR="001D035F" w:rsidRDefault="001D035F" w:rsidP="001D035F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1D035F" w:rsidTr="00830A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1D035F" w:rsidRDefault="001D035F" w:rsidP="001D035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</w:tr>
      <w:tr w:rsidR="001D035F" w:rsidTr="00830A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1D035F" w:rsidRDefault="001D035F" w:rsidP="001D035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numPr>
                <w:ilvl w:val="0"/>
                <w:numId w:val="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Lens cleaner</w:t>
            </w:r>
          </w:p>
          <w:p w:rsidR="001D035F" w:rsidRDefault="001D035F" w:rsidP="001D035F">
            <w:pPr>
              <w:numPr>
                <w:ilvl w:val="0"/>
                <w:numId w:val="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Lens paper</w:t>
            </w:r>
          </w:p>
          <w:p w:rsidR="001D035F" w:rsidRDefault="001D035F" w:rsidP="001D035F">
            <w:pPr>
              <w:numPr>
                <w:ilvl w:val="0"/>
                <w:numId w:val="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Immersion oil </w:t>
            </w:r>
            <w:r w:rsidRPr="003D4DBD">
              <w:rPr>
                <w:rFonts w:ascii="Arial" w:hAnsi="Arial"/>
                <w:sz w:val="20"/>
              </w:rPr>
              <w:t>(Zeiss 1111806)</w:t>
            </w:r>
          </w:p>
          <w:p w:rsidR="001D035F" w:rsidRPr="003D4DBD" w:rsidRDefault="001D035F" w:rsidP="001D035F">
            <w:pPr>
              <w:numPr>
                <w:ilvl w:val="0"/>
                <w:numId w:val="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3D4DBD">
              <w:rPr>
                <w:rFonts w:ascii="Arial" w:hAnsi="Arial"/>
                <w:sz w:val="20"/>
                <w:szCs w:val="20"/>
              </w:rPr>
              <w:t xml:space="preserve">Mercury Spill Kit # 23946, LabSafety Supply, Inc.-Located </w:t>
            </w:r>
            <w:r w:rsidRPr="003D4DBD">
              <w:rPr>
                <w:rFonts w:ascii="Arial" w:hAnsi="Arial"/>
                <w:sz w:val="20"/>
                <w:szCs w:val="20"/>
                <w:u w:val="single"/>
              </w:rPr>
              <w:t>outside</w:t>
            </w:r>
            <w:r w:rsidRPr="003D4DBD">
              <w:rPr>
                <w:rFonts w:ascii="Arial" w:hAnsi="Arial"/>
                <w:sz w:val="20"/>
                <w:szCs w:val="20"/>
              </w:rPr>
              <w:t xml:space="preserve"> of the darkroom above the virology sink.</w:t>
            </w:r>
          </w:p>
          <w:p w:rsidR="001D035F" w:rsidRPr="003D4DBD" w:rsidRDefault="001D035F" w:rsidP="001D035F">
            <w:pPr>
              <w:numPr>
                <w:ilvl w:val="0"/>
                <w:numId w:val="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3D4DBD">
              <w:rPr>
                <w:rFonts w:ascii="Arial" w:hAnsi="Arial" w:cs="Arial"/>
                <w:sz w:val="20"/>
                <w:szCs w:val="20"/>
              </w:rPr>
              <w:t>Mercury Lamp, short arc HBO 50W/AC L2 (Osram</w:t>
            </w:r>
            <w:r w:rsidR="009C7F2A">
              <w:rPr>
                <w:rFonts w:ascii="Arial" w:hAnsi="Arial" w:cs="Arial"/>
                <w:sz w:val="20"/>
                <w:szCs w:val="20"/>
              </w:rPr>
              <w:t>) Alpha Source product # 69214-1</w:t>
            </w:r>
            <w:r>
              <w:rPr>
                <w:rFonts w:ascii="Arial" w:hAnsi="Arial" w:cs="Arial"/>
                <w:sz w:val="20"/>
                <w:szCs w:val="20"/>
              </w:rPr>
              <w:t xml:space="preserve"> CHC#</w:t>
            </w:r>
            <w:r w:rsidR="009C7F2A">
              <w:rPr>
                <w:rFonts w:ascii="Arial" w:hAnsi="Arial" w:cs="Arial"/>
                <w:sz w:val="20"/>
                <w:szCs w:val="20"/>
              </w:rPr>
              <w:t>9878</w:t>
            </w:r>
          </w:p>
          <w:p w:rsidR="001D035F" w:rsidRPr="003D4DBD" w:rsidRDefault="001D035F" w:rsidP="001D035F">
            <w:pPr>
              <w:numPr>
                <w:ilvl w:val="0"/>
                <w:numId w:val="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3D4DBD">
              <w:rPr>
                <w:rFonts w:ascii="Arial" w:hAnsi="Arial" w:cs="Arial"/>
                <w:sz w:val="20"/>
                <w:szCs w:val="20"/>
              </w:rPr>
              <w:t>Phillips screwdriver</w:t>
            </w:r>
          </w:p>
          <w:p w:rsidR="001D035F" w:rsidRDefault="001D035F" w:rsidP="001D035F">
            <w:pPr>
              <w:numPr>
                <w:ilvl w:val="0"/>
                <w:numId w:val="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3D4DBD">
              <w:rPr>
                <w:rFonts w:ascii="Arial" w:hAnsi="Arial" w:cs="Arial"/>
                <w:sz w:val="20"/>
                <w:szCs w:val="20"/>
              </w:rPr>
              <w:t>Slotted screwdriver</w:t>
            </w:r>
          </w:p>
        </w:tc>
      </w:tr>
      <w:tr w:rsidR="001D035F" w:rsidTr="00121C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1D035F" w:rsidRDefault="001D035F" w:rsidP="001D035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1D035F" w:rsidRDefault="001D035F" w:rsidP="001D035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1D035F" w:rsidRDefault="001D035F" w:rsidP="001D035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bottom w:val="nil"/>
              <w:right w:val="nil"/>
            </w:tcBorders>
          </w:tcPr>
          <w:p w:rsidR="001D035F" w:rsidRDefault="001D035F" w:rsidP="001D035F">
            <w:pPr>
              <w:rPr>
                <w:rFonts w:ascii="Arial" w:hAnsi="Arial" w:cs="Arial"/>
                <w:sz w:val="20"/>
              </w:rPr>
            </w:pPr>
          </w:p>
          <w:p w:rsidR="001D035F" w:rsidRPr="00830AE5" w:rsidRDefault="001D035F" w:rsidP="001D035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Microbiologists/virologists are subject to occupational risks associated with specimen handling. Refer to the safety policies</w:t>
            </w:r>
            <w:r w:rsidRPr="00830AE5">
              <w:rPr>
                <w:rFonts w:ascii="Arial" w:hAnsi="Arial" w:cs="Arial"/>
                <w:b/>
                <w:sz w:val="20"/>
              </w:rPr>
              <w:t>:</w:t>
            </w:r>
          </w:p>
          <w:p w:rsidR="001D035F" w:rsidRPr="003D4DBD" w:rsidRDefault="007B7104" w:rsidP="001D035F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</w:rPr>
            </w:pPr>
            <w:hyperlink r:id="rId8" w:history="1">
              <w:r w:rsidR="001D035F" w:rsidRPr="003D4DBD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1D035F" w:rsidRPr="003D4DBD" w:rsidRDefault="007B7104" w:rsidP="001D035F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</w:rPr>
            </w:pPr>
            <w:hyperlink r:id="rId9" w:history="1">
              <w:r w:rsidR="001D035F" w:rsidRPr="003D4DBD">
                <w:rPr>
                  <w:rStyle w:val="Hyperlink"/>
                  <w:rFonts w:ascii="Arial" w:hAnsi="Arial" w:cs="Arial"/>
                  <w:i/>
                  <w:sz w:val="20"/>
                </w:rPr>
                <w:t>Safety in the Microbiology/Virology Laboratory</w:t>
              </w:r>
            </w:hyperlink>
          </w:p>
          <w:p w:rsidR="001D035F" w:rsidRDefault="007B7104" w:rsidP="001D035F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1D035F" w:rsidRPr="003D4DBD">
                <w:rPr>
                  <w:rStyle w:val="Hyperlink"/>
                  <w:rFonts w:ascii="Arial" w:hAnsi="Arial" w:cs="Arial"/>
                  <w:i/>
                  <w:sz w:val="20"/>
                </w:rPr>
                <w:t>Biohazardous Spills</w:t>
              </w:r>
            </w:hyperlink>
          </w:p>
          <w:p w:rsidR="001D035F" w:rsidRDefault="001D035F" w:rsidP="001D03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1D035F" w:rsidRDefault="001D035F" w:rsidP="001D035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944" w:hanging="1944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Physical Hazard: </w:t>
            </w:r>
          </w:p>
          <w:p w:rsidR="001D035F" w:rsidRPr="00830AE5" w:rsidRDefault="001D035F" w:rsidP="001D035F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ind w:left="107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The mercury lamp emits UV light, which is damaging to the eyes and skin. </w:t>
            </w:r>
            <w:r>
              <w:rPr>
                <w:rFonts w:ascii="Arial" w:hAnsi="Arial" w:cs="Arial"/>
                <w:b/>
                <w:bCs/>
                <w:iCs/>
                <w:sz w:val="20"/>
              </w:rPr>
              <w:t>Do not look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</w:rPr>
              <w:t>directly at the mercury arc</w:t>
            </w:r>
            <w:r w:rsidR="004D75D0">
              <w:rPr>
                <w:rFonts w:ascii="Arial" w:hAnsi="Arial" w:cs="Arial"/>
                <w:iCs/>
                <w:sz w:val="20"/>
              </w:rPr>
              <w:t>. The high luminance of the lamp can cause severe damage to the retina if the arc or the surface of the reflector is viewed directly.</w:t>
            </w:r>
            <w:r>
              <w:rPr>
                <w:rFonts w:ascii="Arial" w:hAnsi="Arial" w:cs="Arial"/>
                <w:iCs/>
                <w:sz w:val="20"/>
              </w:rPr>
              <w:t xml:space="preserve"> The barrier filters in the scope prevent UV light from entering the eye during routine use of the microscope.</w:t>
            </w:r>
          </w:p>
          <w:p w:rsidR="001D035F" w:rsidRDefault="001D035F" w:rsidP="001D035F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ind w:left="107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The mercury lamp is under high pressure when warm and can become unstable and explode .It is, however, located within a protective housing that will contain the explosion.</w:t>
            </w:r>
          </w:p>
          <w:p w:rsidR="001D035F" w:rsidRDefault="001D035F" w:rsidP="001D035F">
            <w:pPr>
              <w:pStyle w:val="Header"/>
              <w:tabs>
                <w:tab w:val="clear" w:pos="4320"/>
                <w:tab w:val="clear" w:pos="8640"/>
              </w:tabs>
              <w:ind w:left="1980" w:hanging="1890"/>
              <w:rPr>
                <w:rFonts w:ascii="Arial" w:hAnsi="Arial" w:cs="Arial"/>
                <w:bCs/>
                <w:iCs/>
                <w:sz w:val="20"/>
              </w:rPr>
            </w:pPr>
          </w:p>
          <w:p w:rsidR="001D035F" w:rsidRDefault="001D035F" w:rsidP="001D035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  <w:tab w:val="left" w:pos="360"/>
              </w:tabs>
              <w:ind w:left="2060" w:hanging="206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Chemical Hazard: </w:t>
            </w:r>
          </w:p>
          <w:p w:rsidR="001D035F" w:rsidRPr="003D4DBD" w:rsidRDefault="001D035F" w:rsidP="001D035F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left" w:pos="360"/>
              </w:tabs>
              <w:ind w:left="1070"/>
              <w:rPr>
                <w:rFonts w:ascii="Arial" w:hAnsi="Arial" w:cs="Arial"/>
                <w:bCs/>
                <w:iCs/>
                <w:sz w:val="20"/>
              </w:rPr>
            </w:pPr>
            <w:r w:rsidRPr="003D4DBD">
              <w:rPr>
                <w:rFonts w:ascii="Arial" w:hAnsi="Arial" w:cs="Arial"/>
                <w:bCs/>
                <w:iCs/>
                <w:sz w:val="20"/>
              </w:rPr>
              <w:t>If a lamp should explode, mercury vapor will escape. The vapor will condense and fall inside the housing.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 </w:t>
            </w:r>
            <w:r w:rsidRPr="003D4DBD">
              <w:rPr>
                <w:rFonts w:ascii="Arial" w:hAnsi="Arial" w:cs="Arial"/>
                <w:bCs/>
                <w:iCs/>
                <w:sz w:val="20"/>
              </w:rPr>
              <w:t>If a bulb explodes:</w:t>
            </w:r>
          </w:p>
          <w:p w:rsidR="001D035F" w:rsidRDefault="001D035F" w:rsidP="001D035F">
            <w:pPr>
              <w:pStyle w:val="Header"/>
              <w:numPr>
                <w:ilvl w:val="0"/>
                <w:numId w:val="4"/>
              </w:numPr>
              <w:tabs>
                <w:tab w:val="clear" w:pos="2430"/>
                <w:tab w:val="clear" w:pos="4320"/>
                <w:tab w:val="clear" w:pos="8640"/>
                <w:tab w:val="num" w:pos="1340"/>
              </w:tabs>
              <w:ind w:left="1340" w:hanging="27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All personnel should leave the immediate area at once so that no mercury vapor is inhaled.</w:t>
            </w:r>
          </w:p>
          <w:p w:rsidR="001D035F" w:rsidRDefault="001D035F" w:rsidP="001D035F">
            <w:pPr>
              <w:pStyle w:val="Header"/>
              <w:numPr>
                <w:ilvl w:val="0"/>
                <w:numId w:val="4"/>
              </w:numPr>
              <w:tabs>
                <w:tab w:val="clear" w:pos="2430"/>
                <w:tab w:val="clear" w:pos="4320"/>
                <w:tab w:val="clear" w:pos="8640"/>
                <w:tab w:val="num" w:pos="1340"/>
              </w:tabs>
              <w:ind w:left="1340" w:hanging="27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Close the curtain at the darkroom entrance.</w:t>
            </w:r>
          </w:p>
          <w:p w:rsidR="001D035F" w:rsidRDefault="001D035F" w:rsidP="001D035F">
            <w:pPr>
              <w:pStyle w:val="Header"/>
              <w:numPr>
                <w:ilvl w:val="0"/>
                <w:numId w:val="4"/>
              </w:numPr>
              <w:tabs>
                <w:tab w:val="clear" w:pos="2430"/>
                <w:tab w:val="clear" w:pos="4320"/>
                <w:tab w:val="clear" w:pos="8640"/>
                <w:tab w:val="num" w:pos="1340"/>
              </w:tabs>
              <w:ind w:left="1340" w:hanging="27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The area should be thoroughly ventilated for a minimum of 30 minutes.</w:t>
            </w:r>
          </w:p>
          <w:p w:rsidR="001D035F" w:rsidRDefault="001D035F" w:rsidP="001D035F">
            <w:pPr>
              <w:pStyle w:val="Header"/>
              <w:numPr>
                <w:ilvl w:val="0"/>
                <w:numId w:val="4"/>
              </w:numPr>
              <w:tabs>
                <w:tab w:val="clear" w:pos="2430"/>
                <w:tab w:val="clear" w:pos="4320"/>
                <w:tab w:val="clear" w:pos="8640"/>
                <w:tab w:val="num" w:pos="1340"/>
              </w:tabs>
              <w:ind w:left="1340" w:hanging="27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When the lamp housing has cooled, any mercury residue should be picked up wi</w:t>
            </w:r>
            <w:r w:rsidR="00343AEA">
              <w:rPr>
                <w:rFonts w:ascii="Arial" w:hAnsi="Arial" w:cs="Arial"/>
                <w:bCs/>
                <w:iCs/>
                <w:sz w:val="20"/>
              </w:rPr>
              <w:t xml:space="preserve">th a special adsorptive agent contained in the Mercury Spill Kit. </w:t>
            </w:r>
            <w:r>
              <w:rPr>
                <w:rFonts w:ascii="Arial" w:hAnsi="Arial" w:cs="Arial"/>
                <w:bCs/>
                <w:iCs/>
                <w:sz w:val="20"/>
              </w:rPr>
              <w:t>Call Security at 5-7777 and contact the Safety Specialist 6-6712 for disposal instructions. Wear gloves and handle material in a safe manner to prevent cuts from any glass shards which may be present.</w:t>
            </w:r>
          </w:p>
          <w:p w:rsidR="001D035F" w:rsidRDefault="001D035F" w:rsidP="001D035F">
            <w:pPr>
              <w:pStyle w:val="Header"/>
              <w:numPr>
                <w:ilvl w:val="0"/>
                <w:numId w:val="4"/>
              </w:numPr>
              <w:tabs>
                <w:tab w:val="clear" w:pos="2430"/>
                <w:tab w:val="clear" w:pos="4320"/>
                <w:tab w:val="clear" w:pos="8640"/>
                <w:tab w:val="num" w:pos="1340"/>
              </w:tabs>
              <w:ind w:left="1340" w:hanging="27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lastRenderedPageBreak/>
              <w:t>Contact BioMed (5-6383) after decontamination is complete to arrange for repair as the collector lens will likely have been damaged.</w:t>
            </w:r>
          </w:p>
          <w:p w:rsidR="001D035F" w:rsidRDefault="001D035F" w:rsidP="001D035F">
            <w:pPr>
              <w:pStyle w:val="Header"/>
              <w:numPr>
                <w:ilvl w:val="0"/>
                <w:numId w:val="4"/>
              </w:numPr>
              <w:tabs>
                <w:tab w:val="clear" w:pos="2430"/>
                <w:tab w:val="clear" w:pos="4320"/>
                <w:tab w:val="clear" w:pos="8640"/>
                <w:tab w:val="num" w:pos="1340"/>
              </w:tabs>
              <w:ind w:left="1340" w:hanging="27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Notify Lead MLS</w:t>
            </w:r>
            <w:r w:rsidR="000437DC">
              <w:rPr>
                <w:rFonts w:ascii="Arial" w:hAnsi="Arial" w:cs="Arial"/>
                <w:bCs/>
                <w:iCs/>
                <w:sz w:val="20"/>
              </w:rPr>
              <w:t>, Micro Supervisor and Lab Safety Officer.</w:t>
            </w:r>
          </w:p>
          <w:p w:rsidR="001D035F" w:rsidRDefault="001D035F" w:rsidP="001D035F">
            <w:pPr>
              <w:pStyle w:val="Header"/>
              <w:numPr>
                <w:ilvl w:val="0"/>
                <w:numId w:val="4"/>
              </w:numPr>
              <w:tabs>
                <w:tab w:val="clear" w:pos="2430"/>
                <w:tab w:val="clear" w:pos="4320"/>
                <w:tab w:val="clear" w:pos="8640"/>
                <w:tab w:val="num" w:pos="1340"/>
              </w:tabs>
              <w:ind w:left="1340" w:hanging="27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Complete a Laboratory Safety Report and submit it to the Laboratory Safety Officer for quality assurance</w:t>
            </w:r>
          </w:p>
          <w:p w:rsidR="001D035F" w:rsidRPr="003D4DBD" w:rsidRDefault="001D035F" w:rsidP="001D035F">
            <w:pPr>
              <w:pStyle w:val="Header"/>
              <w:numPr>
                <w:ilvl w:val="0"/>
                <w:numId w:val="4"/>
              </w:numPr>
              <w:tabs>
                <w:tab w:val="clear" w:pos="2430"/>
                <w:tab w:val="clear" w:pos="4320"/>
                <w:tab w:val="clear" w:pos="8640"/>
                <w:tab w:val="num" w:pos="1340"/>
              </w:tabs>
              <w:ind w:left="1340" w:hanging="270"/>
              <w:rPr>
                <w:rFonts w:ascii="Arial" w:hAnsi="Arial" w:cs="Arial"/>
                <w:bCs/>
                <w:iCs/>
                <w:sz w:val="20"/>
              </w:rPr>
            </w:pPr>
            <w:r w:rsidRPr="003D4DBD">
              <w:rPr>
                <w:rFonts w:ascii="Arial" w:hAnsi="Arial" w:cs="Arial"/>
                <w:bCs/>
                <w:iCs/>
                <w:sz w:val="20"/>
              </w:rPr>
              <w:t>Submit a copy of the report to the supervisor.</w:t>
            </w:r>
          </w:p>
          <w:p w:rsidR="001D035F" w:rsidRDefault="001D035F" w:rsidP="001D035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1D035F" w:rsidRDefault="00121C2E" w:rsidP="001D035F">
            <w:pPr>
              <w:pStyle w:val="Header"/>
              <w:tabs>
                <w:tab w:val="clear" w:pos="4320"/>
                <w:tab w:val="clear" w:pos="8640"/>
              </w:tabs>
            </w:pPr>
            <w:r>
              <w:t>___________________________________________________________________________________</w:t>
            </w:r>
          </w:p>
        </w:tc>
      </w:tr>
      <w:tr w:rsidR="001D035F" w:rsidTr="00121C2E">
        <w:trPr>
          <w:trHeight w:val="287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1D035F" w:rsidRDefault="001D035F" w:rsidP="001D035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Procedure</w:t>
            </w:r>
          </w:p>
        </w:tc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035F" w:rsidRDefault="001D035F" w:rsidP="001D035F">
            <w:pPr>
              <w:pStyle w:val="Heading2"/>
              <w:numPr>
                <w:ilvl w:val="0"/>
                <w:numId w:val="8"/>
              </w:numPr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>Operation</w:t>
            </w:r>
          </w:p>
          <w:p w:rsidR="001D035F" w:rsidRDefault="001D035F" w:rsidP="001D035F">
            <w:pPr>
              <w:rPr>
                <w:rFonts w:ascii="Arial" w:hAnsi="Arial" w:cs="Arial"/>
                <w:sz w:val="20"/>
              </w:rPr>
            </w:pPr>
          </w:p>
          <w:p w:rsidR="001D035F" w:rsidRDefault="001D035F" w:rsidP="001D035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Keep a log of the hours the lamp is in use. The bulbs have an expected life of 180-200 hours. Bulbs exceeding 200 hours have a much greater risk of instability and explosion.</w:t>
            </w:r>
          </w:p>
          <w:p w:rsidR="001D035F" w:rsidRDefault="001D035F" w:rsidP="001D035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Avoid switching the microscope on and off frequently, as this can impair the stability of the lamp and shorten its life.  The bulb must cool down for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one hour </w:t>
            </w:r>
            <w:r>
              <w:rPr>
                <w:rFonts w:ascii="Arial" w:hAnsi="Arial" w:cs="Arial"/>
                <w:sz w:val="20"/>
              </w:rPr>
              <w:t xml:space="preserve">prior to being reignited. Reigniting a warm bulb increases the chance of explosion. </w:t>
            </w:r>
          </w:p>
          <w:p w:rsidR="001D035F" w:rsidRDefault="001D035F" w:rsidP="001D035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Allow the bulb to warm up for 5-10 minutes before use to attain its maximum brightness.</w:t>
            </w:r>
          </w:p>
          <w:p w:rsidR="001D035F" w:rsidRDefault="001D035F" w:rsidP="001D035F">
            <w:pPr>
              <w:pStyle w:val="BodyTextIndent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Close the shutter in the light path when the slide on the stage is not being viewed to avoid quenching of the fluorescence.</w:t>
            </w:r>
          </w:p>
          <w:p w:rsidR="001D035F" w:rsidRDefault="001D035F" w:rsidP="001D035F">
            <w:pPr>
              <w:pStyle w:val="BodyTextIndent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Mounting media (buffered glycerol) of a pH appropriate for the stain must be used for coverslipping FA slides to achieve adequate fluorescence. </w:t>
            </w:r>
          </w:p>
          <w:p w:rsidR="001D035F" w:rsidRDefault="001D035F" w:rsidP="001D035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Store stained slides in the dark at 2-8</w:t>
            </w:r>
            <w:r>
              <w:rPr>
                <w:rFonts w:ascii="Arial" w:hAnsi="Arial" w:cs="Arial"/>
                <w:sz w:val="20"/>
              </w:rPr>
              <w:sym w:font="Symbol" w:char="F0B0"/>
            </w:r>
            <w:r>
              <w:rPr>
                <w:rFonts w:ascii="Arial" w:hAnsi="Arial" w:cs="Arial"/>
                <w:sz w:val="20"/>
              </w:rPr>
              <w:t>C or colder to preserve fluorescence.</w:t>
            </w:r>
          </w:p>
          <w:p w:rsidR="001D035F" w:rsidRDefault="000437DC" w:rsidP="001D035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 each session, r</w:t>
            </w:r>
            <w:r w:rsidR="001D035F">
              <w:rPr>
                <w:rFonts w:ascii="Arial" w:hAnsi="Arial" w:cs="Arial"/>
                <w:sz w:val="20"/>
              </w:rPr>
              <w:t>emove oil or mounting fluid from the objectives, condense</w:t>
            </w:r>
            <w:r>
              <w:rPr>
                <w:rFonts w:ascii="Arial" w:hAnsi="Arial" w:cs="Arial"/>
                <w:sz w:val="20"/>
              </w:rPr>
              <w:t xml:space="preserve">r, and stage </w:t>
            </w:r>
            <w:r w:rsidR="001D035F">
              <w:rPr>
                <w:rFonts w:ascii="Arial" w:hAnsi="Arial" w:cs="Arial"/>
                <w:sz w:val="20"/>
              </w:rPr>
              <w:t xml:space="preserve">using lens cleaner and lens paper. Clean the dry objectives first before cleaning the oil immersion objectives. </w:t>
            </w:r>
          </w:p>
          <w:p w:rsidR="001D035F" w:rsidRDefault="001D035F" w:rsidP="001D035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Avoid dragging the high dry objective through oil on the slide.</w:t>
            </w:r>
          </w:p>
          <w:p w:rsidR="001D035F" w:rsidRDefault="001D035F" w:rsidP="001D035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Organic solvents such as alcohols and acetone should not be used on the lenses because the solvent may dissolve the optical mounting cement.</w:t>
            </w:r>
          </w:p>
          <w:p w:rsidR="001D035F" w:rsidRDefault="001D035F" w:rsidP="001D035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stage should be cleaned regularly and any spilled immersion oil and mounting fluid must be removed or slides will stick as they are moved across the stage.</w:t>
            </w:r>
          </w:p>
          <w:p w:rsidR="001D035F" w:rsidRDefault="001D035F" w:rsidP="001D035F">
            <w:pPr>
              <w:numPr>
                <w:ilvl w:val="0"/>
                <w:numId w:val="7"/>
              </w:numPr>
            </w:pPr>
            <w:r>
              <w:rPr>
                <w:rFonts w:ascii="Arial" w:hAnsi="Arial" w:cs="Arial"/>
                <w:sz w:val="20"/>
              </w:rPr>
              <w:t>Annually, the microscope is to be cleaned and adjusted professionally.</w:t>
            </w:r>
          </w:p>
          <w:p w:rsidR="001D035F" w:rsidRDefault="001D035F" w:rsidP="001D035F">
            <w:pPr>
              <w:rPr>
                <w:rFonts w:ascii="Arial" w:hAnsi="Arial" w:cs="Arial"/>
                <w:sz w:val="20"/>
              </w:rPr>
            </w:pPr>
          </w:p>
          <w:p w:rsidR="001D035F" w:rsidRDefault="001D035F" w:rsidP="001D035F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Bulb Replacement - </w:t>
            </w:r>
            <w:r w:rsidRPr="003D4DBD">
              <w:rPr>
                <w:rFonts w:ascii="Arial" w:hAnsi="Arial" w:cs="Arial"/>
                <w:sz w:val="20"/>
              </w:rPr>
              <w:t>The mercury bulb should be replaced as soon as the bulb shows advanced blackening causing decreased brightness or has been in use for 200 hours.</w:t>
            </w:r>
            <w:r w:rsidR="005A1E1A">
              <w:rPr>
                <w:rFonts w:ascii="Arial" w:hAnsi="Arial" w:cs="Arial"/>
                <w:sz w:val="20"/>
              </w:rPr>
              <w:t xml:space="preserve"> The risk of the bulb bursting is greatly increased with advanced blackening.</w:t>
            </w:r>
          </w:p>
          <w:p w:rsidR="001D035F" w:rsidRDefault="001D035F" w:rsidP="001D035F">
            <w:pPr>
              <w:rPr>
                <w:rFonts w:ascii="Arial" w:hAnsi="Arial" w:cs="Arial"/>
                <w:sz w:val="20"/>
              </w:rPr>
            </w:pPr>
          </w:p>
          <w:p w:rsidR="001D035F" w:rsidRDefault="001D035F" w:rsidP="001D035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Wait for lamp housing to cool down before opening (at least 30 minutes).</w:t>
            </w:r>
          </w:p>
          <w:p w:rsidR="001D035F" w:rsidRDefault="007B7104" w:rsidP="001D035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7B710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320.95pt;margin-top:2.4pt;width:139.9pt;height:130.4pt;z-index:251662336;mso-position-horizontal-relative:text;mso-position-vertical-relative:text;mso-width-relative:page;mso-height-relative:page">
                  <v:imagedata r:id="rId11" o:title=""/>
                  <w10:wrap type="square"/>
                </v:shape>
              </w:pict>
            </w:r>
            <w:r w:rsidR="001D035F">
              <w:rPr>
                <w:rFonts w:ascii="Arial" w:hAnsi="Arial" w:cs="Arial"/>
                <w:sz w:val="20"/>
              </w:rPr>
              <w:t>Unplug the power unit from the wall.</w:t>
            </w:r>
          </w:p>
          <w:p w:rsidR="001D035F" w:rsidRDefault="001D035F" w:rsidP="001D035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Loosen Phillips screws on right and left side of housing front.</w:t>
            </w:r>
            <w:r w:rsidR="009850D2">
              <w:rPr>
                <w:rFonts w:ascii="Arial" w:hAnsi="Arial" w:cs="Arial"/>
                <w:sz w:val="20"/>
              </w:rPr>
              <w:t xml:space="preserve"> </w:t>
            </w:r>
          </w:p>
          <w:p w:rsidR="001D035F" w:rsidRDefault="001D035F" w:rsidP="001D035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Pull housing front up using knob.</w:t>
            </w:r>
          </w:p>
          <w:p w:rsidR="001D035F" w:rsidRDefault="001D035F" w:rsidP="001D035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Loosen screws </w:t>
            </w:r>
            <w:r w:rsidRPr="000437DC">
              <w:rPr>
                <w:rFonts w:ascii="Arial" w:hAnsi="Arial" w:cs="Arial"/>
                <w:b/>
                <w:sz w:val="20"/>
              </w:rPr>
              <w:t>#4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0437DC">
              <w:rPr>
                <w:rFonts w:ascii="Arial" w:hAnsi="Arial" w:cs="Arial"/>
                <w:b/>
                <w:sz w:val="20"/>
              </w:rPr>
              <w:t>#6</w:t>
            </w:r>
            <w:r>
              <w:rPr>
                <w:rFonts w:ascii="Arial" w:hAnsi="Arial" w:cs="Arial"/>
                <w:sz w:val="20"/>
              </w:rPr>
              <w:t xml:space="preserve"> on socket.</w:t>
            </w:r>
          </w:p>
          <w:p w:rsidR="001D035F" w:rsidRDefault="001D035F" w:rsidP="001D035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Pull socket out.</w:t>
            </w:r>
          </w:p>
          <w:p w:rsidR="001D035F" w:rsidRDefault="000437DC" w:rsidP="001D035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Loosen Phillips screw </w:t>
            </w:r>
            <w:r w:rsidRPr="000437DC">
              <w:rPr>
                <w:rFonts w:ascii="Arial" w:hAnsi="Arial" w:cs="Arial"/>
                <w:b/>
                <w:sz w:val="20"/>
              </w:rPr>
              <w:t>#1</w:t>
            </w:r>
            <w:r w:rsidR="001D035F">
              <w:rPr>
                <w:rFonts w:ascii="Arial" w:hAnsi="Arial" w:cs="Arial"/>
                <w:sz w:val="20"/>
              </w:rPr>
              <w:t xml:space="preserve"> on heat sink and pull heat sink off.</w:t>
            </w:r>
          </w:p>
          <w:p w:rsidR="001D035F" w:rsidRDefault="001D035F" w:rsidP="001D035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Loosen setscrew on base of lamp and pull bulb out.</w:t>
            </w:r>
          </w:p>
          <w:p w:rsidR="001D035F" w:rsidRDefault="001D035F" w:rsidP="001D035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Put used bulb in zip lock bag, seal, label with Hazardous Waste label and take to Hazardous Waste Room located in basement for disposal.</w:t>
            </w:r>
          </w:p>
          <w:p w:rsidR="001D035F" w:rsidRPr="003D4DBD" w:rsidRDefault="001D035F" w:rsidP="001D035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Never</w:t>
            </w:r>
            <w:r w:rsidR="005A1E1A">
              <w:rPr>
                <w:rFonts w:ascii="Arial" w:hAnsi="Arial" w:cs="Arial"/>
                <w:sz w:val="20"/>
              </w:rPr>
              <w:t xml:space="preserve"> touch glass parts of the bulb</w:t>
            </w:r>
            <w:r>
              <w:rPr>
                <w:rFonts w:ascii="Arial" w:hAnsi="Arial" w:cs="Arial"/>
                <w:sz w:val="20"/>
              </w:rPr>
              <w:t xml:space="preserve"> with your hands. </w:t>
            </w:r>
            <w:r w:rsidR="005A1E1A">
              <w:rPr>
                <w:rFonts w:ascii="Arial" w:hAnsi="Arial" w:cs="Arial"/>
                <w:sz w:val="20"/>
              </w:rPr>
              <w:t>When inadvertently touched, it should be degreased immediately with alcohol and a soft, lint free c</w:t>
            </w:r>
            <w:r w:rsidR="009C7F2A">
              <w:rPr>
                <w:rFonts w:ascii="Arial" w:hAnsi="Arial" w:cs="Arial"/>
                <w:sz w:val="20"/>
              </w:rPr>
              <w:t>loth. Wipe dry.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3D4DBD">
              <w:rPr>
                <w:rFonts w:ascii="Arial" w:hAnsi="Arial" w:cs="Arial"/>
                <w:sz w:val="20"/>
              </w:rPr>
              <w:t>Insert new bulb with “UP” on top. Position bulb so seal point is at the side not in the light path.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3D4DBD">
              <w:rPr>
                <w:rFonts w:ascii="Arial" w:hAnsi="Arial" w:cs="Arial"/>
                <w:sz w:val="20"/>
              </w:rPr>
              <w:t>Tighten setscrew and reattach heat sink.</w:t>
            </w:r>
          </w:p>
          <w:p w:rsidR="001D035F" w:rsidRDefault="001D035F" w:rsidP="001D035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Slide socket back in.</w:t>
            </w:r>
          </w:p>
          <w:p w:rsidR="001D035F" w:rsidRDefault="001D035F" w:rsidP="001D035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Tighten screws </w:t>
            </w:r>
            <w:r w:rsidRPr="000437DC">
              <w:rPr>
                <w:rFonts w:ascii="Arial" w:hAnsi="Arial" w:cs="Arial"/>
                <w:b/>
                <w:sz w:val="20"/>
              </w:rPr>
              <w:t>#4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0437DC">
              <w:rPr>
                <w:rFonts w:ascii="Arial" w:hAnsi="Arial" w:cs="Arial"/>
                <w:b/>
                <w:sz w:val="20"/>
              </w:rPr>
              <w:t>#6</w:t>
            </w:r>
            <w:r>
              <w:rPr>
                <w:rFonts w:ascii="Arial" w:hAnsi="Arial" w:cs="Arial"/>
                <w:sz w:val="20"/>
              </w:rPr>
              <w:t xml:space="preserve"> on socket.</w:t>
            </w:r>
          </w:p>
          <w:p w:rsidR="001D035F" w:rsidRDefault="001D035F" w:rsidP="001D035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Close housing front and tighten screws on housing.</w:t>
            </w:r>
          </w:p>
          <w:p w:rsidR="001D035F" w:rsidRDefault="001D035F" w:rsidP="001D035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Turn scope on.</w:t>
            </w:r>
          </w:p>
          <w:p w:rsidR="001D035F" w:rsidRDefault="001D035F" w:rsidP="001D035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Allow bulb to warm up for 5-10 minutes and perform alignment as soon as bulb warms up.</w:t>
            </w:r>
          </w:p>
          <w:p w:rsidR="0070423C" w:rsidRDefault="0070423C" w:rsidP="0070423C">
            <w:pPr>
              <w:ind w:left="720"/>
              <w:rPr>
                <w:rFonts w:ascii="Arial" w:hAnsi="Arial" w:cs="Arial"/>
                <w:sz w:val="20"/>
              </w:rPr>
            </w:pPr>
          </w:p>
          <w:p w:rsidR="0070423C" w:rsidRDefault="0070423C" w:rsidP="0070423C">
            <w:pPr>
              <w:ind w:left="720"/>
              <w:rPr>
                <w:rFonts w:ascii="Arial" w:hAnsi="Arial" w:cs="Arial"/>
                <w:sz w:val="20"/>
              </w:rPr>
            </w:pPr>
          </w:p>
          <w:p w:rsidR="000437DC" w:rsidRDefault="000437DC" w:rsidP="0070423C">
            <w:pPr>
              <w:ind w:left="720"/>
              <w:rPr>
                <w:rFonts w:ascii="Arial" w:hAnsi="Arial" w:cs="Arial"/>
                <w:sz w:val="20"/>
              </w:rPr>
            </w:pPr>
          </w:p>
          <w:p w:rsidR="0070423C" w:rsidRDefault="0070423C" w:rsidP="0070423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Alignment</w:t>
            </w:r>
          </w:p>
          <w:p w:rsidR="001D035F" w:rsidRDefault="001D035F" w:rsidP="001D035F">
            <w:pPr>
              <w:rPr>
                <w:rFonts w:ascii="Arial" w:hAnsi="Arial" w:cs="Arial"/>
                <w:sz w:val="20"/>
              </w:rPr>
            </w:pPr>
          </w:p>
          <w:p w:rsidR="00AE263F" w:rsidRDefault="007B7104" w:rsidP="001D035F">
            <w:pPr>
              <w:rPr>
                <w:rFonts w:ascii="Arial" w:hAnsi="Arial" w:cs="Arial"/>
                <w:sz w:val="20"/>
              </w:rPr>
            </w:pPr>
            <w:r w:rsidRPr="007B7104">
              <w:rPr>
                <w:noProof/>
              </w:rPr>
              <w:pict>
                <v:shape id="_x0000_s1032" type="#_x0000_t75" style="position:absolute;left:0;text-align:left;margin-left:49.2pt;margin-top:3.7pt;width:251.9pt;height:149.45pt;z-index:251660288;mso-position-horizontal-relative:text;mso-position-vertical-relative:text;mso-width-relative:page;mso-height-relative:page">
                  <v:imagedata r:id="rId12" o:title=""/>
                  <w10:wrap type="square"/>
                </v:shape>
              </w:pict>
            </w:r>
          </w:p>
          <w:p w:rsidR="00AE263F" w:rsidRDefault="00AE263F" w:rsidP="001D035F">
            <w:pPr>
              <w:rPr>
                <w:rFonts w:ascii="Arial" w:hAnsi="Arial" w:cs="Arial"/>
                <w:sz w:val="20"/>
              </w:rPr>
            </w:pPr>
          </w:p>
          <w:p w:rsidR="00AE263F" w:rsidRDefault="00AE263F" w:rsidP="001D035F">
            <w:pPr>
              <w:rPr>
                <w:rFonts w:ascii="Arial" w:hAnsi="Arial" w:cs="Arial"/>
                <w:sz w:val="20"/>
              </w:rPr>
            </w:pPr>
          </w:p>
          <w:p w:rsidR="00AE263F" w:rsidRDefault="00AE263F" w:rsidP="001D035F">
            <w:pPr>
              <w:rPr>
                <w:rFonts w:ascii="Arial" w:hAnsi="Arial" w:cs="Arial"/>
                <w:sz w:val="20"/>
              </w:rPr>
            </w:pPr>
          </w:p>
          <w:p w:rsidR="00AE263F" w:rsidRDefault="00AE263F" w:rsidP="001D035F">
            <w:pPr>
              <w:rPr>
                <w:rFonts w:ascii="Arial" w:hAnsi="Arial" w:cs="Arial"/>
                <w:sz w:val="20"/>
              </w:rPr>
            </w:pPr>
          </w:p>
          <w:p w:rsidR="00AE263F" w:rsidRDefault="00AE263F" w:rsidP="001D035F">
            <w:pPr>
              <w:rPr>
                <w:rFonts w:ascii="Arial" w:hAnsi="Arial" w:cs="Arial"/>
                <w:sz w:val="20"/>
              </w:rPr>
            </w:pPr>
          </w:p>
          <w:p w:rsidR="00AE263F" w:rsidRDefault="00AE263F" w:rsidP="001D035F">
            <w:pPr>
              <w:rPr>
                <w:rFonts w:ascii="Arial" w:hAnsi="Arial" w:cs="Arial"/>
                <w:sz w:val="20"/>
              </w:rPr>
            </w:pPr>
          </w:p>
          <w:p w:rsidR="00AE263F" w:rsidRDefault="00AE263F" w:rsidP="001D035F">
            <w:pPr>
              <w:rPr>
                <w:rFonts w:ascii="Arial" w:hAnsi="Arial" w:cs="Arial"/>
                <w:sz w:val="20"/>
              </w:rPr>
            </w:pPr>
          </w:p>
          <w:p w:rsidR="00AE263F" w:rsidRDefault="00AE263F" w:rsidP="001D035F">
            <w:pPr>
              <w:rPr>
                <w:rFonts w:ascii="Arial" w:hAnsi="Arial" w:cs="Arial"/>
                <w:sz w:val="20"/>
              </w:rPr>
            </w:pPr>
          </w:p>
          <w:p w:rsidR="00AE263F" w:rsidRDefault="00AE263F" w:rsidP="001D035F">
            <w:pPr>
              <w:rPr>
                <w:rFonts w:ascii="Arial" w:hAnsi="Arial" w:cs="Arial"/>
                <w:sz w:val="20"/>
              </w:rPr>
            </w:pPr>
          </w:p>
          <w:p w:rsidR="00AE263F" w:rsidRDefault="00AE263F" w:rsidP="001D035F">
            <w:pPr>
              <w:rPr>
                <w:rFonts w:ascii="Arial" w:hAnsi="Arial" w:cs="Arial"/>
                <w:sz w:val="20"/>
              </w:rPr>
            </w:pPr>
          </w:p>
          <w:p w:rsidR="00AE263F" w:rsidRDefault="00AE263F" w:rsidP="001D035F">
            <w:pPr>
              <w:rPr>
                <w:rFonts w:ascii="Arial" w:hAnsi="Arial" w:cs="Arial"/>
                <w:sz w:val="20"/>
              </w:rPr>
            </w:pPr>
          </w:p>
          <w:p w:rsidR="00AE263F" w:rsidRDefault="00AE263F" w:rsidP="001D035F">
            <w:pPr>
              <w:rPr>
                <w:rFonts w:ascii="Arial" w:hAnsi="Arial" w:cs="Arial"/>
                <w:sz w:val="20"/>
              </w:rPr>
            </w:pPr>
          </w:p>
          <w:p w:rsidR="00AE263F" w:rsidRDefault="00AE263F" w:rsidP="001D035F">
            <w:pPr>
              <w:rPr>
                <w:rFonts w:ascii="Arial" w:hAnsi="Arial" w:cs="Arial"/>
                <w:sz w:val="20"/>
              </w:rPr>
            </w:pPr>
          </w:p>
          <w:p w:rsidR="001D035F" w:rsidRDefault="001D035F" w:rsidP="0070423C">
            <w:pPr>
              <w:rPr>
                <w:rFonts w:ascii="Arial" w:hAnsi="Arial" w:cs="Arial"/>
                <w:sz w:val="20"/>
              </w:rPr>
            </w:pPr>
          </w:p>
          <w:p w:rsidR="001D035F" w:rsidRDefault="001D035F" w:rsidP="001D035F">
            <w:pPr>
              <w:rPr>
                <w:rFonts w:ascii="Arial" w:hAnsi="Arial" w:cs="Arial"/>
                <w:sz w:val="20"/>
              </w:rPr>
            </w:pPr>
          </w:p>
          <w:p w:rsidR="001D035F" w:rsidRDefault="001D035F" w:rsidP="001D035F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 an objective and set aside. Place a white card on the stage. </w:t>
            </w:r>
          </w:p>
          <w:p w:rsidR="001D035F" w:rsidRDefault="001D035F" w:rsidP="001D035F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 the light path so it shines on the card.</w:t>
            </w:r>
          </w:p>
          <w:p w:rsidR="001D035F" w:rsidRDefault="001D035F" w:rsidP="001D035F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Focus the filament image with knob </w:t>
            </w:r>
            <w:r w:rsidR="00E27C66" w:rsidRPr="00E27C66">
              <w:rPr>
                <w:rFonts w:ascii="Arial" w:hAnsi="Arial" w:cs="Arial"/>
                <w:b/>
                <w:sz w:val="20"/>
              </w:rPr>
              <w:t>#6</w:t>
            </w:r>
            <w:r w:rsidR="00E27C66">
              <w:rPr>
                <w:rFonts w:ascii="Arial" w:hAnsi="Arial" w:cs="Arial"/>
                <w:sz w:val="20"/>
              </w:rPr>
              <w:t xml:space="preserve"> (collector).</w:t>
            </w:r>
          </w:p>
          <w:p w:rsidR="001D035F" w:rsidRDefault="001D035F" w:rsidP="001D035F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Separate the real image and reflected (mirror) image using horizontal adjustment </w:t>
            </w:r>
            <w:r w:rsidRPr="00E27C66">
              <w:rPr>
                <w:rFonts w:ascii="Arial" w:hAnsi="Arial" w:cs="Arial"/>
                <w:b/>
                <w:sz w:val="20"/>
              </w:rPr>
              <w:t>#5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1D035F" w:rsidRDefault="001D035F" w:rsidP="001D035F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Focus the mirror image using adjustment </w:t>
            </w:r>
            <w:r w:rsidRPr="00E27C66">
              <w:rPr>
                <w:rFonts w:ascii="Arial" w:hAnsi="Arial" w:cs="Arial"/>
                <w:b/>
                <w:sz w:val="20"/>
              </w:rPr>
              <w:t>#3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1D035F" w:rsidRDefault="001D035F" w:rsidP="001D035F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the real image using adjustment</w:t>
            </w:r>
            <w:r w:rsidR="00E27C66">
              <w:rPr>
                <w:rFonts w:ascii="Arial" w:hAnsi="Arial" w:cs="Arial"/>
                <w:sz w:val="20"/>
              </w:rPr>
              <w:t xml:space="preserve"> </w:t>
            </w:r>
            <w:r w:rsidRPr="00E27C66">
              <w:rPr>
                <w:rFonts w:ascii="Arial" w:hAnsi="Arial" w:cs="Arial"/>
                <w:b/>
                <w:sz w:val="20"/>
              </w:rPr>
              <w:t>#1</w:t>
            </w:r>
            <w:r>
              <w:rPr>
                <w:rFonts w:ascii="Arial" w:hAnsi="Arial" w:cs="Arial"/>
                <w:sz w:val="20"/>
              </w:rPr>
              <w:t xml:space="preserve"> (vertical) and </w:t>
            </w:r>
            <w:r w:rsidRPr="00E27C66">
              <w:rPr>
                <w:rFonts w:ascii="Arial" w:hAnsi="Arial" w:cs="Arial"/>
                <w:b/>
                <w:sz w:val="20"/>
              </w:rPr>
              <w:t>#5</w:t>
            </w:r>
            <w:r>
              <w:rPr>
                <w:rFonts w:ascii="Arial" w:hAnsi="Arial" w:cs="Arial"/>
                <w:sz w:val="20"/>
              </w:rPr>
              <w:t xml:space="preserve"> (horizontal).</w:t>
            </w:r>
          </w:p>
          <w:p w:rsidR="001D035F" w:rsidRDefault="001D035F" w:rsidP="001D035F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Align mirror image over real image using adjustment </w:t>
            </w:r>
            <w:r w:rsidRPr="00E27C66">
              <w:rPr>
                <w:rFonts w:ascii="Arial" w:hAnsi="Arial" w:cs="Arial"/>
                <w:b/>
                <w:sz w:val="20"/>
              </w:rPr>
              <w:t>#4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1D035F" w:rsidRDefault="001D035F" w:rsidP="001D035F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objective and check field brightness using a control slide.</w:t>
            </w:r>
          </w:p>
          <w:p w:rsidR="001D035F" w:rsidRDefault="001D035F" w:rsidP="001D035F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Adjust the field brightness using the focus knob</w:t>
            </w:r>
            <w:r w:rsidR="00E27C66">
              <w:rPr>
                <w:rFonts w:ascii="Arial" w:hAnsi="Arial" w:cs="Arial"/>
                <w:sz w:val="20"/>
              </w:rPr>
              <w:t xml:space="preserve"> </w:t>
            </w:r>
            <w:r w:rsidRPr="00E27C66">
              <w:rPr>
                <w:rFonts w:ascii="Arial" w:hAnsi="Arial" w:cs="Arial"/>
                <w:b/>
                <w:sz w:val="20"/>
              </w:rPr>
              <w:t>#6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1D035F" w:rsidRDefault="00121C2E" w:rsidP="001D03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__________________________________________________________________________________</w:t>
            </w:r>
          </w:p>
        </w:tc>
      </w:tr>
      <w:tr w:rsidR="001D035F" w:rsidTr="00121C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left w:val="nil"/>
            </w:tcBorders>
          </w:tcPr>
          <w:p w:rsidR="001D035F" w:rsidRDefault="001D035F" w:rsidP="001D035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1D035F" w:rsidRDefault="001D035F" w:rsidP="001D035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1D035F" w:rsidRDefault="001D035F" w:rsidP="001D035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1D035F" w:rsidRDefault="001D035F" w:rsidP="001D035F">
            <w:pPr>
              <w:rPr>
                <w:rFonts w:ascii="Arial" w:hAnsi="Arial" w:cs="Arial"/>
                <w:sz w:val="20"/>
              </w:rPr>
            </w:pPr>
          </w:p>
          <w:p w:rsidR="001D035F" w:rsidRDefault="001D035F" w:rsidP="001D035F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Versalovic, James ., et al, </w:t>
            </w:r>
            <w:r>
              <w:rPr>
                <w:rFonts w:ascii="Arial" w:hAnsi="Arial" w:cs="Arial"/>
                <w:i/>
                <w:sz w:val="20"/>
              </w:rPr>
              <w:t>Manual of Clinical Microbiology</w:t>
            </w:r>
            <w:r>
              <w:rPr>
                <w:rFonts w:ascii="Arial" w:hAnsi="Arial" w:cs="Arial"/>
                <w:sz w:val="20"/>
              </w:rPr>
              <w:t>, 10</w:t>
            </w:r>
            <w:r w:rsidRPr="00DA7F17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edition, 2011, ASM press, American Society for Microbiology, Washington, D.C.</w:t>
            </w:r>
          </w:p>
          <w:p w:rsidR="001D035F" w:rsidRDefault="001D035F" w:rsidP="001D035F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Leica DMLS Microscope Inst</w:t>
            </w:r>
            <w:r w:rsidR="002C47CC">
              <w:rPr>
                <w:rFonts w:ascii="Arial" w:hAnsi="Arial" w:cs="Arial"/>
                <w:sz w:val="20"/>
              </w:rPr>
              <w:t>ruction Manual,</w:t>
            </w:r>
            <w:r>
              <w:rPr>
                <w:rFonts w:ascii="Arial" w:hAnsi="Arial" w:cs="Arial"/>
                <w:sz w:val="20"/>
              </w:rPr>
              <w:t xml:space="preserve"> 1995, Leica Mikroskopie, Wetzlar, Germany.</w:t>
            </w:r>
          </w:p>
          <w:p w:rsidR="001D035F" w:rsidRDefault="001D035F" w:rsidP="001D035F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Osram Mer</w:t>
            </w:r>
            <w:r w:rsidR="005A1E1A">
              <w:rPr>
                <w:rFonts w:ascii="Arial" w:hAnsi="Arial" w:cs="Arial"/>
                <w:sz w:val="20"/>
              </w:rPr>
              <w:t>cury Lamp package insert, 06/13.</w:t>
            </w:r>
          </w:p>
          <w:p w:rsidR="001D035F" w:rsidRDefault="001D035F" w:rsidP="001D035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1D035F" w:rsidTr="00830A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1D035F" w:rsidRDefault="001D035F" w:rsidP="001D035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1D035F" w:rsidRDefault="001D035F" w:rsidP="001D035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Competency Assessment</w:t>
            </w:r>
          </w:p>
        </w:tc>
      </w:tr>
      <w:tr w:rsidR="001D035F" w:rsidTr="00830A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must read the procedure</w:t>
            </w:r>
          </w:p>
          <w:p w:rsidR="001D035F" w:rsidRDefault="001D035F" w:rsidP="001D035F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will observe trainer performing the procedure.</w:t>
            </w:r>
          </w:p>
          <w:p w:rsidR="001D035F" w:rsidRDefault="001D035F" w:rsidP="001D035F">
            <w:pPr>
              <w:numPr>
                <w:ilvl w:val="0"/>
                <w:numId w:val="1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will demonstrate the ability to perform procedure, record results and document corrective action after instruction by the trainer.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Direct observation</w:t>
            </w:r>
          </w:p>
          <w:p w:rsidR="001D035F" w:rsidRDefault="001D035F" w:rsidP="001D035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1D035F" w:rsidTr="00830A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1D035F" w:rsidRDefault="001C5D45" w:rsidP="001D035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035F" w:rsidRDefault="001D035F" w:rsidP="001D035F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1D035F" w:rsidTr="00DA7F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</w:tr>
      <w:tr w:rsidR="001D035F" w:rsidTr="00DA7F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07/11/1993</w:t>
            </w:r>
          </w:p>
        </w:tc>
      </w:tr>
      <w:tr w:rsidR="001D035F" w:rsidTr="00DA7F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Helen Stefan</w:t>
            </w:r>
          </w:p>
        </w:tc>
        <w:tc>
          <w:tcPr>
            <w:tcW w:w="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08/03/2007 </w:t>
            </w:r>
            <w:r>
              <w:rPr>
                <w:rFonts w:ascii="Arial" w:hAnsi="Arial"/>
                <w:sz w:val="16"/>
              </w:rPr>
              <w:t>Formatting change ; added bulb change procedure</w:t>
            </w:r>
          </w:p>
        </w:tc>
      </w:tr>
      <w:tr w:rsidR="001D035F" w:rsidTr="00DA7F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Helen Stefan</w:t>
            </w:r>
          </w:p>
        </w:tc>
        <w:tc>
          <w:tcPr>
            <w:tcW w:w="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09/11/2011</w:t>
            </w:r>
            <w:r>
              <w:rPr>
                <w:rFonts w:ascii="Arial" w:hAnsi="Arial"/>
                <w:sz w:val="16"/>
              </w:rPr>
              <w:t xml:space="preserve"> Added order information for mercury spill kit and FITC filter specifications.</w:t>
            </w:r>
          </w:p>
        </w:tc>
      </w:tr>
      <w:tr w:rsidR="001D035F" w:rsidTr="00DA7F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Tina Gronquist</w:t>
            </w:r>
          </w:p>
        </w:tc>
        <w:tc>
          <w:tcPr>
            <w:tcW w:w="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08/11/2014 Reformatted to CMS version</w:t>
            </w:r>
          </w:p>
        </w:tc>
      </w:tr>
      <w:tr w:rsidR="001D035F" w:rsidTr="00DA7F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Becky Carlson </w:t>
            </w:r>
          </w:p>
          <w:p w:rsidR="006150CA" w:rsidRDefault="006150CA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Helen Stefan</w:t>
            </w:r>
          </w:p>
        </w:tc>
        <w:tc>
          <w:tcPr>
            <w:tcW w:w="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4/4/2015 Re-numbered from MC 810</w:t>
            </w:r>
          </w:p>
          <w:p w:rsidR="006150CA" w:rsidRDefault="006150CA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close darkroom curtain in the e</w:t>
            </w:r>
            <w:r w:rsidR="009C7F2A">
              <w:rPr>
                <w:rFonts w:ascii="Arial" w:hAnsi="Arial"/>
                <w:sz w:val="20"/>
              </w:rPr>
              <w:t xml:space="preserve">vent of bulb breakage, </w:t>
            </w:r>
            <w:r>
              <w:rPr>
                <w:rFonts w:ascii="Arial" w:hAnsi="Arial"/>
                <w:sz w:val="20"/>
              </w:rPr>
              <w:t>use of buffered glycerol moun</w:t>
            </w:r>
            <w:r w:rsidR="009C7F2A">
              <w:rPr>
                <w:rFonts w:ascii="Arial" w:hAnsi="Arial"/>
                <w:sz w:val="20"/>
              </w:rPr>
              <w:t>ting media in operation section, CHC order number for mercury bulb and updated references.</w:t>
            </w:r>
          </w:p>
        </w:tc>
      </w:tr>
      <w:tr w:rsidR="00604F4A" w:rsidTr="00DA7F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604F4A" w:rsidRDefault="00604F4A" w:rsidP="001D035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Default="00604F4A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Default="00604F4A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Helen Stefan</w:t>
            </w:r>
          </w:p>
        </w:tc>
        <w:tc>
          <w:tcPr>
            <w:tcW w:w="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Default="00604F4A" w:rsidP="001D03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7/25/17 </w:t>
            </w:r>
            <w:r w:rsidR="00EA3310">
              <w:rPr>
                <w:rFonts w:ascii="Arial" w:hAnsi="Arial"/>
                <w:sz w:val="20"/>
              </w:rPr>
              <w:t>Updated logo and lamp housing diagram in replacement and alignment section.</w:t>
            </w:r>
            <w:r w:rsidR="00E276BD">
              <w:rPr>
                <w:rFonts w:ascii="Arial" w:hAnsi="Arial"/>
                <w:sz w:val="20"/>
              </w:rPr>
              <w:t xml:space="preserve"> </w:t>
            </w:r>
            <w:r w:rsidR="00E276BD" w:rsidRPr="00E276BD">
              <w:rPr>
                <w:rFonts w:ascii="Arial" w:hAnsi="Arial"/>
                <w:sz w:val="20"/>
                <w:szCs w:val="20"/>
              </w:rPr>
              <w:t xml:space="preserve">Added </w:t>
            </w:r>
            <w:r w:rsidR="00E276BD" w:rsidRPr="00E276BD">
              <w:rPr>
                <w:rFonts w:ascii="Arial" w:hAnsi="Arial" w:cs="Arial"/>
                <w:sz w:val="20"/>
                <w:szCs w:val="20"/>
              </w:rPr>
              <w:t>R-</w:t>
            </w:r>
            <w:proofErr w:type="spellStart"/>
            <w:r w:rsidR="00E276BD" w:rsidRPr="00E276BD">
              <w:rPr>
                <w:rFonts w:ascii="Arial" w:hAnsi="Arial" w:cs="Arial"/>
                <w:sz w:val="20"/>
                <w:szCs w:val="20"/>
              </w:rPr>
              <w:t>phycoerythrin</w:t>
            </w:r>
            <w:proofErr w:type="spellEnd"/>
          </w:p>
        </w:tc>
      </w:tr>
      <w:tr w:rsidR="001D035F" w:rsidTr="00DA7F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D035F" w:rsidRDefault="001D035F" w:rsidP="001D035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F" w:rsidRDefault="001D035F" w:rsidP="001D035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</w:tr>
      <w:tr w:rsidR="001D035F" w:rsidTr="00830A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1D035F" w:rsidRDefault="001D035F" w:rsidP="001D035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5F" w:rsidRDefault="001D035F" w:rsidP="001D035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5F" w:rsidRDefault="001D035F" w:rsidP="001D035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5F" w:rsidRDefault="001D035F" w:rsidP="001D035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5F" w:rsidRDefault="001D035F" w:rsidP="001D035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</w:tbl>
    <w:p w:rsidR="003D4DBD" w:rsidRDefault="003D4DBD" w:rsidP="00830AE5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3D4DBD" w:rsidSect="00B45F0D">
      <w:headerReference w:type="default" r:id="rId13"/>
      <w:footerReference w:type="defaul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10" w:rsidRDefault="00EA3310">
      <w:r>
        <w:separator/>
      </w:r>
    </w:p>
  </w:endnote>
  <w:endnote w:type="continuationSeparator" w:id="0">
    <w:p w:rsidR="00EA3310" w:rsidRDefault="00EA3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10" w:rsidRPr="002455FC" w:rsidRDefault="00EA3310" w:rsidP="006150CA">
    <w:pPr>
      <w:pStyle w:val="Footer"/>
      <w:rPr>
        <w:rFonts w:ascii="Arial" w:hAnsi="Arial" w:cs="Arial"/>
        <w:sz w:val="16"/>
        <w:szCs w:val="16"/>
      </w:rPr>
    </w:pPr>
    <w:r w:rsidRPr="002455FC">
      <w:rPr>
        <w:rFonts w:ascii="Arial" w:hAnsi="Arial" w:cs="Arial"/>
        <w:sz w:val="16"/>
        <w:szCs w:val="16"/>
      </w:rPr>
      <w:t>Children’s Hospitals and Clini</w:t>
    </w:r>
    <w:r>
      <w:rPr>
        <w:rFonts w:ascii="Arial" w:hAnsi="Arial" w:cs="Arial"/>
        <w:sz w:val="16"/>
        <w:szCs w:val="16"/>
      </w:rPr>
      <w:t>cs of Minnesota Laboratory, Minneapolis</w:t>
    </w:r>
    <w:r w:rsidRPr="002455FC">
      <w:rPr>
        <w:rFonts w:ascii="Arial" w:hAnsi="Arial" w:cs="Arial"/>
        <w:sz w:val="16"/>
        <w:szCs w:val="16"/>
      </w:rPr>
      <w:t>/St Paul MN</w:t>
    </w: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ab/>
    </w:r>
    <w:r w:rsidRPr="006150CA">
      <w:rPr>
        <w:rFonts w:ascii="Arial" w:hAnsi="Arial" w:cs="Arial"/>
        <w:sz w:val="16"/>
        <w:szCs w:val="16"/>
      </w:rPr>
      <w:t xml:space="preserve">Page </w:t>
    </w:r>
    <w:r w:rsidR="007B7104" w:rsidRPr="006150CA">
      <w:rPr>
        <w:rFonts w:ascii="Arial" w:hAnsi="Arial" w:cs="Arial"/>
        <w:sz w:val="16"/>
        <w:szCs w:val="16"/>
      </w:rPr>
      <w:fldChar w:fldCharType="begin"/>
    </w:r>
    <w:r w:rsidRPr="006150CA">
      <w:rPr>
        <w:rFonts w:ascii="Arial" w:hAnsi="Arial" w:cs="Arial"/>
        <w:sz w:val="16"/>
        <w:szCs w:val="16"/>
      </w:rPr>
      <w:instrText xml:space="preserve"> PAGE </w:instrText>
    </w:r>
    <w:r w:rsidR="007B7104" w:rsidRPr="006150CA">
      <w:rPr>
        <w:rFonts w:ascii="Arial" w:hAnsi="Arial" w:cs="Arial"/>
        <w:sz w:val="16"/>
        <w:szCs w:val="16"/>
      </w:rPr>
      <w:fldChar w:fldCharType="separate"/>
    </w:r>
    <w:r w:rsidR="00BE35F9">
      <w:rPr>
        <w:rFonts w:ascii="Arial" w:hAnsi="Arial" w:cs="Arial"/>
        <w:noProof/>
        <w:sz w:val="16"/>
        <w:szCs w:val="16"/>
      </w:rPr>
      <w:t>3</w:t>
    </w:r>
    <w:r w:rsidR="007B7104" w:rsidRPr="006150CA">
      <w:rPr>
        <w:rFonts w:ascii="Arial" w:hAnsi="Arial" w:cs="Arial"/>
        <w:sz w:val="16"/>
        <w:szCs w:val="16"/>
      </w:rPr>
      <w:fldChar w:fldCharType="end"/>
    </w:r>
    <w:r w:rsidRPr="006150CA">
      <w:rPr>
        <w:rFonts w:ascii="Arial" w:hAnsi="Arial" w:cs="Arial"/>
        <w:sz w:val="16"/>
        <w:szCs w:val="16"/>
      </w:rPr>
      <w:t xml:space="preserve"> of </w:t>
    </w:r>
    <w:r w:rsidR="007B7104" w:rsidRPr="006150CA">
      <w:rPr>
        <w:rFonts w:ascii="Arial" w:hAnsi="Arial" w:cs="Arial"/>
        <w:sz w:val="16"/>
        <w:szCs w:val="16"/>
      </w:rPr>
      <w:fldChar w:fldCharType="begin"/>
    </w:r>
    <w:r w:rsidRPr="006150CA">
      <w:rPr>
        <w:rFonts w:ascii="Arial" w:hAnsi="Arial" w:cs="Arial"/>
        <w:sz w:val="16"/>
        <w:szCs w:val="16"/>
      </w:rPr>
      <w:instrText xml:space="preserve"> NUMPAGES </w:instrText>
    </w:r>
    <w:r w:rsidR="007B7104" w:rsidRPr="006150CA">
      <w:rPr>
        <w:rFonts w:ascii="Arial" w:hAnsi="Arial" w:cs="Arial"/>
        <w:sz w:val="16"/>
        <w:szCs w:val="16"/>
      </w:rPr>
      <w:fldChar w:fldCharType="separate"/>
    </w:r>
    <w:r w:rsidR="00BE35F9">
      <w:rPr>
        <w:rFonts w:ascii="Arial" w:hAnsi="Arial" w:cs="Arial"/>
        <w:noProof/>
        <w:sz w:val="16"/>
        <w:szCs w:val="16"/>
      </w:rPr>
      <w:t>4</w:t>
    </w:r>
    <w:r w:rsidR="007B7104" w:rsidRPr="006150CA">
      <w:rPr>
        <w:rFonts w:ascii="Arial" w:hAnsi="Arial" w:cs="Arial"/>
        <w:sz w:val="16"/>
        <w:szCs w:val="16"/>
      </w:rPr>
      <w:fldChar w:fldCharType="end"/>
    </w:r>
  </w:p>
  <w:p w:rsidR="00EA3310" w:rsidRPr="002455FC" w:rsidRDefault="00EA3310" w:rsidP="006150CA">
    <w:pPr>
      <w:pStyle w:val="Footer"/>
      <w:rPr>
        <w:rFonts w:ascii="Arial" w:hAnsi="Arial" w:cs="Arial"/>
        <w:sz w:val="16"/>
        <w:szCs w:val="16"/>
      </w:rPr>
    </w:pPr>
    <w:r w:rsidRPr="002455FC">
      <w:rPr>
        <w:rFonts w:ascii="Arial" w:hAnsi="Arial" w:cs="Arial"/>
        <w:sz w:val="16"/>
        <w:szCs w:val="16"/>
      </w:rPr>
      <w:t>Printed copy expires 2359 on day of print</w:t>
    </w:r>
  </w:p>
  <w:p w:rsidR="00EA3310" w:rsidRPr="002455FC" w:rsidRDefault="00EA3310" w:rsidP="002455FC">
    <w:pPr>
      <w:pStyle w:val="Foo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EA3310" w:rsidRPr="002455FC" w:rsidRDefault="00EA3310">
    <w:pPr>
      <w:ind w:left="-1260" w:right="-1260"/>
      <w:rPr>
        <w:rFonts w:ascii="Arial" w:hAnsi="Arial" w:cs="Arial"/>
        <w:sz w:val="16"/>
      </w:rPr>
    </w:pPr>
    <w:r w:rsidRPr="002455FC">
      <w:rPr>
        <w:rFonts w:ascii="Arial" w:hAnsi="Arial" w:cs="Arial"/>
        <w:sz w:val="16"/>
      </w:rPr>
      <w:tab/>
    </w:r>
    <w:r w:rsidRPr="002455FC">
      <w:rPr>
        <w:rFonts w:ascii="Arial" w:hAnsi="Arial" w:cs="Arial"/>
        <w:sz w:val="16"/>
      </w:rPr>
      <w:tab/>
    </w:r>
    <w:r w:rsidRPr="002455FC">
      <w:rPr>
        <w:rFonts w:ascii="Arial" w:hAnsi="Arial" w:cs="Arial"/>
        <w:sz w:val="16"/>
      </w:rPr>
      <w:tab/>
    </w:r>
    <w:r w:rsidRPr="002455FC">
      <w:rPr>
        <w:rFonts w:ascii="Arial" w:hAnsi="Arial" w:cs="Arial"/>
        <w:sz w:val="16"/>
      </w:rPr>
      <w:tab/>
    </w:r>
    <w:r w:rsidRPr="002455FC">
      <w:rPr>
        <w:rFonts w:ascii="Arial" w:hAnsi="Arial" w:cs="Arial"/>
        <w:sz w:val="16"/>
      </w:rPr>
      <w:tab/>
    </w:r>
    <w:r w:rsidRPr="002455FC">
      <w:rPr>
        <w:rFonts w:ascii="Arial" w:hAnsi="Arial" w:cs="Arial"/>
        <w:sz w:val="16"/>
      </w:rPr>
      <w:tab/>
    </w:r>
    <w:r w:rsidRPr="002455FC"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10" w:rsidRDefault="00EA3310">
      <w:r>
        <w:separator/>
      </w:r>
    </w:p>
  </w:footnote>
  <w:footnote w:type="continuationSeparator" w:id="0">
    <w:p w:rsidR="00EA3310" w:rsidRDefault="00EA3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10" w:rsidRDefault="007B7104">
    <w:pPr>
      <w:ind w:left="-1260" w:right="-1260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400.35pt;margin-top:12.35pt;width:87.65pt;height:28.15pt;z-index:251658240;mso-position-vertical-relative:page" o:allowincell="f">
          <v:imagedata r:id="rId1" o:title="Childrens_MN_2015_logo_RGB_of_PMS280-PMS2925_800x257"/>
          <w10:wrap anchory="page"/>
        </v:shape>
      </w:pict>
    </w:r>
    <w:r w:rsidR="00EA3310">
      <w:rPr>
        <w:rFonts w:ascii="Arial" w:hAnsi="Arial"/>
        <w:sz w:val="18"/>
      </w:rPr>
      <w:t>MCVI 6.7 Fluorescent Microscope Operation</w:t>
    </w:r>
    <w:r w:rsidR="00EA3310">
      <w:rPr>
        <w:rFonts w:ascii="Arial" w:hAnsi="Arial"/>
        <w:sz w:val="18"/>
      </w:rPr>
      <w:tab/>
    </w:r>
    <w:r w:rsidR="00EA3310">
      <w:rPr>
        <w:rFonts w:ascii="Arial" w:hAnsi="Arial"/>
        <w:sz w:val="18"/>
      </w:rPr>
      <w:tab/>
    </w:r>
    <w:r w:rsidR="00EA3310">
      <w:rPr>
        <w:rFonts w:ascii="Arial" w:hAnsi="Arial"/>
        <w:sz w:val="18"/>
      </w:rPr>
      <w:tab/>
    </w:r>
    <w:r w:rsidR="00EA3310">
      <w:rPr>
        <w:rFonts w:ascii="Arial" w:hAnsi="Arial"/>
        <w:sz w:val="18"/>
      </w:rPr>
      <w:tab/>
    </w:r>
    <w:r w:rsidR="00EA3310">
      <w:rPr>
        <w:rFonts w:ascii="Arial" w:hAnsi="Arial"/>
        <w:sz w:val="18"/>
      </w:rPr>
      <w:tab/>
    </w:r>
    <w:r w:rsidR="00EA3310">
      <w:rPr>
        <w:rFonts w:ascii="Arial" w:hAnsi="Arial"/>
        <w:sz w:val="18"/>
      </w:rPr>
      <w:tab/>
    </w:r>
    <w:r w:rsidR="00EA3310">
      <w:rPr>
        <w:rFonts w:ascii="Arial" w:hAnsi="Arial"/>
        <w:sz w:val="18"/>
      </w:rPr>
      <w:tab/>
    </w:r>
    <w:r w:rsidR="00EA3310">
      <w:rPr>
        <w:rFonts w:ascii="Arial" w:hAnsi="Arial"/>
        <w:sz w:val="18"/>
      </w:rPr>
      <w:tab/>
      <w:t xml:space="preserve">           </w:t>
    </w:r>
  </w:p>
  <w:p w:rsidR="00EA3310" w:rsidRDefault="00EA3310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3</w:t>
    </w:r>
  </w:p>
  <w:p w:rsidR="00EA3310" w:rsidRDefault="00EA3310" w:rsidP="002455FC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7/25/17</w:t>
    </w:r>
  </w:p>
  <w:p w:rsidR="00EA3310" w:rsidRDefault="00EA3310" w:rsidP="002455FC">
    <w:pPr>
      <w:pStyle w:val="Header"/>
      <w:tabs>
        <w:tab w:val="clear" w:pos="8640"/>
        <w:tab w:val="right" w:pos="9900"/>
      </w:tabs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7D371F"/>
    <w:multiLevelType w:val="hybridMultilevel"/>
    <w:tmpl w:val="CB6C8B5A"/>
    <w:lvl w:ilvl="0" w:tplc="71FAED1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2C6ECD"/>
    <w:multiLevelType w:val="hybridMultilevel"/>
    <w:tmpl w:val="0C5EBD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8C3F93"/>
    <w:multiLevelType w:val="hybridMultilevel"/>
    <w:tmpl w:val="68D2BB7E"/>
    <w:lvl w:ilvl="0" w:tplc="3D10E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376428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5F465F9"/>
    <w:multiLevelType w:val="hybridMultilevel"/>
    <w:tmpl w:val="7EC23D94"/>
    <w:lvl w:ilvl="0" w:tplc="0409000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6">
    <w:nsid w:val="488C57B1"/>
    <w:multiLevelType w:val="hybridMultilevel"/>
    <w:tmpl w:val="F0DE1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60F3A"/>
    <w:multiLevelType w:val="hybridMultilevel"/>
    <w:tmpl w:val="3D46349E"/>
    <w:lvl w:ilvl="0" w:tplc="441EC86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BEA87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D03F1C"/>
    <w:multiLevelType w:val="hybridMultilevel"/>
    <w:tmpl w:val="D1C0694C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9">
    <w:nsid w:val="543F3C0A"/>
    <w:multiLevelType w:val="hybridMultilevel"/>
    <w:tmpl w:val="228A6306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1">
    <w:nsid w:val="63FC12AE"/>
    <w:multiLevelType w:val="hybridMultilevel"/>
    <w:tmpl w:val="B9465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0AC4A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76E15A9D"/>
    <w:multiLevelType w:val="hybridMultilevel"/>
    <w:tmpl w:val="23DCF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762004"/>
    <w:multiLevelType w:val="hybridMultilevel"/>
    <w:tmpl w:val="DE4CA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7"/>
  </w:num>
  <w:num w:numId="9">
    <w:abstractNumId w:val="14"/>
  </w:num>
  <w:num w:numId="10">
    <w:abstractNumId w:val="6"/>
  </w:num>
  <w:num w:numId="11">
    <w:abstractNumId w:val="11"/>
  </w:num>
  <w:num w:numId="12">
    <w:abstractNumId w:val="3"/>
  </w:num>
  <w:num w:numId="13">
    <w:abstractNumId w:val="12"/>
  </w:num>
  <w:num w:numId="14">
    <w:abstractNumId w:val="9"/>
  </w:num>
  <w:num w:numId="1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ocumentProtection w:edit="readOnly" w:enforcement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22B"/>
    <w:rsid w:val="000145DC"/>
    <w:rsid w:val="00030B40"/>
    <w:rsid w:val="000437DC"/>
    <w:rsid w:val="00087D6B"/>
    <w:rsid w:val="000E0F24"/>
    <w:rsid w:val="00121C2E"/>
    <w:rsid w:val="00134F3A"/>
    <w:rsid w:val="00151865"/>
    <w:rsid w:val="001C5D45"/>
    <w:rsid w:val="001D035F"/>
    <w:rsid w:val="001F0899"/>
    <w:rsid w:val="002455FC"/>
    <w:rsid w:val="00253A2C"/>
    <w:rsid w:val="002C47CC"/>
    <w:rsid w:val="002D622B"/>
    <w:rsid w:val="002F478D"/>
    <w:rsid w:val="00343AEA"/>
    <w:rsid w:val="003818C8"/>
    <w:rsid w:val="003B3B7C"/>
    <w:rsid w:val="003D4DBD"/>
    <w:rsid w:val="004D75D0"/>
    <w:rsid w:val="005A1E1A"/>
    <w:rsid w:val="00604F4A"/>
    <w:rsid w:val="006133A3"/>
    <w:rsid w:val="006150CA"/>
    <w:rsid w:val="0070423C"/>
    <w:rsid w:val="00710C24"/>
    <w:rsid w:val="00716C8E"/>
    <w:rsid w:val="00732516"/>
    <w:rsid w:val="007426EC"/>
    <w:rsid w:val="0075570D"/>
    <w:rsid w:val="007B398D"/>
    <w:rsid w:val="007B7104"/>
    <w:rsid w:val="007E617E"/>
    <w:rsid w:val="00810E02"/>
    <w:rsid w:val="00830AE5"/>
    <w:rsid w:val="00903F62"/>
    <w:rsid w:val="009850D2"/>
    <w:rsid w:val="009923DE"/>
    <w:rsid w:val="009C7F2A"/>
    <w:rsid w:val="00A17B53"/>
    <w:rsid w:val="00A56EFC"/>
    <w:rsid w:val="00A92A5B"/>
    <w:rsid w:val="00AC4552"/>
    <w:rsid w:val="00AC4C7B"/>
    <w:rsid w:val="00AE263F"/>
    <w:rsid w:val="00B45F0D"/>
    <w:rsid w:val="00BE35F9"/>
    <w:rsid w:val="00C042FF"/>
    <w:rsid w:val="00D24F0B"/>
    <w:rsid w:val="00D600EC"/>
    <w:rsid w:val="00DA7F17"/>
    <w:rsid w:val="00E24E44"/>
    <w:rsid w:val="00E276BD"/>
    <w:rsid w:val="00E27C66"/>
    <w:rsid w:val="00EA3310"/>
    <w:rsid w:val="00F27097"/>
    <w:rsid w:val="00F8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0D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B45F0D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B45F0D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45F0D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B45F0D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B45F0D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B45F0D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B45F0D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B45F0D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45F0D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45F0D"/>
    <w:rPr>
      <w:bCs/>
      <w:iCs/>
      <w:color w:val="000000"/>
    </w:rPr>
  </w:style>
  <w:style w:type="paragraph" w:styleId="Header">
    <w:name w:val="header"/>
    <w:basedOn w:val="Normal"/>
    <w:semiHidden/>
    <w:rsid w:val="00B45F0D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B45F0D"/>
    <w:pPr>
      <w:ind w:left="360" w:hanging="360"/>
    </w:pPr>
  </w:style>
  <w:style w:type="paragraph" w:styleId="Title">
    <w:name w:val="Title"/>
    <w:basedOn w:val="Normal"/>
    <w:qFormat/>
    <w:rsid w:val="00B45F0D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B45F0D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B45F0D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B45F0D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B45F0D"/>
    <w:pPr>
      <w:numPr>
        <w:numId w:val="0"/>
      </w:numPr>
    </w:pPr>
  </w:style>
  <w:style w:type="paragraph" w:customStyle="1" w:styleId="TableText">
    <w:name w:val="Table Text"/>
    <w:basedOn w:val="Normal"/>
    <w:rsid w:val="00B45F0D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B45F0D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B45F0D"/>
    <w:rPr>
      <w:b/>
      <w:color w:val="0000FF"/>
    </w:rPr>
  </w:style>
  <w:style w:type="paragraph" w:styleId="BodyTextIndent">
    <w:name w:val="Body Text Indent"/>
    <w:basedOn w:val="Normal"/>
    <w:semiHidden/>
    <w:rsid w:val="00B45F0D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B45F0D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B45F0D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B45F0D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B45F0D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semiHidden/>
    <w:rsid w:val="00B45F0D"/>
    <w:rPr>
      <w:color w:val="0000FF"/>
      <w:u w:val="single"/>
    </w:rPr>
  </w:style>
  <w:style w:type="character" w:styleId="FollowedHyperlink">
    <w:name w:val="FollowedHyperlink"/>
    <w:semiHidden/>
    <w:rsid w:val="00B45F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2455FC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idsnet.childrenshc.org\chcdfs\dept\Lab%20Procedures\Microbiology\MC%20200%20%20%20%20Safety\MC%20201%20%20%20Biohazard%20Containment%20R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kidsnet.childrenshc.org\chcdfs\dept\Lab%20Procedures\Microbiology\MC%20200%20%20%20%20Safety\MC%20204%20Biohazardous%20Spills%20R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kidsnet.childrenshc.org\chcdfs\dept\Lab%20Procedures\Microbiology\MC%20200%20%20%20%20Safety\MC%20202%20Safety%20in%20the%20Microbiology%20Lab%20Policy%20R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2B07-4BD9-497B-AF04-C519D0D2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1282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8463</CharactersWithSpaces>
  <SharedDoc>false</SharedDoc>
  <HLinks>
    <vt:vector size="18" baseType="variant">
      <vt:variant>
        <vt:i4>1310815</vt:i4>
      </vt:variant>
      <vt:variant>
        <vt:i4>6</vt:i4>
      </vt:variant>
      <vt:variant>
        <vt:i4>0</vt:i4>
      </vt:variant>
      <vt:variant>
        <vt:i4>5</vt:i4>
      </vt:variant>
      <vt:variant>
        <vt:lpwstr>../../MC 200    Safety/MC 204 Biohazardous Spills R.docx</vt:lpwstr>
      </vt:variant>
      <vt:variant>
        <vt:lpwstr/>
      </vt:variant>
      <vt:variant>
        <vt:i4>7995433</vt:i4>
      </vt:variant>
      <vt:variant>
        <vt:i4>3</vt:i4>
      </vt:variant>
      <vt:variant>
        <vt:i4>0</vt:i4>
      </vt:variant>
      <vt:variant>
        <vt:i4>5</vt:i4>
      </vt:variant>
      <vt:variant>
        <vt:lpwstr>../../MC 200    Safety/MC 202 Safety in the Microbiology Lab Policy R.docx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../../MC 200    Safety/MC 201   Biohazard Containment R.doc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CE002169</cp:lastModifiedBy>
  <cp:revision>13</cp:revision>
  <cp:lastPrinted>2014-08-11T17:01:00Z</cp:lastPrinted>
  <dcterms:created xsi:type="dcterms:W3CDTF">2017-07-25T17:14:00Z</dcterms:created>
  <dcterms:modified xsi:type="dcterms:W3CDTF">2017-07-28T13:55:00Z</dcterms:modified>
</cp:coreProperties>
</file>