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442"/>
        <w:gridCol w:w="2702"/>
        <w:gridCol w:w="372"/>
        <w:gridCol w:w="172"/>
        <w:gridCol w:w="1259"/>
        <w:gridCol w:w="3421"/>
        <w:gridCol w:w="8"/>
        <w:gridCol w:w="2696"/>
        <w:gridCol w:w="2696"/>
      </w:tblGrid>
      <w:tr w:rsidR="000A2E6A">
        <w:tblPrEx>
          <w:tblCellMar>
            <w:top w:w="0" w:type="dxa"/>
            <w:bottom w:w="0" w:type="dxa"/>
          </w:tblCellMar>
        </w:tblPrEx>
        <w:trPr>
          <w:gridAfter w:val="2"/>
          <w:wAfter w:w="5392" w:type="dxa"/>
          <w:cantSplit/>
        </w:trPr>
        <w:tc>
          <w:tcPr>
            <w:tcW w:w="11168" w:type="dxa"/>
            <w:gridSpan w:val="8"/>
            <w:tcBorders>
              <w:top w:val="nil"/>
              <w:left w:val="nil"/>
              <w:bottom w:val="nil"/>
              <w:right w:val="nil"/>
            </w:tcBorders>
          </w:tcPr>
          <w:p w:rsidR="000A2E6A" w:rsidRDefault="000A2E6A">
            <w:pPr>
              <w:pStyle w:val="Title"/>
              <w:jc w:val="left"/>
              <w:rPr>
                <w:rFonts w:ascii="Arial" w:hAnsi="Arial"/>
                <w:color w:val="0000FF"/>
              </w:rPr>
            </w:pPr>
            <w:r w:rsidRPr="000A2E6A">
              <w:rPr>
                <w:rFonts w:ascii="Arial" w:hAnsi="Arial"/>
                <w:color w:val="0000FF"/>
              </w:rPr>
              <w:t xml:space="preserve">Anaerobe Jar-Pack-Anaero </w:t>
            </w:r>
            <w:r>
              <w:rPr>
                <w:rFonts w:ascii="Arial" w:hAnsi="Arial"/>
                <w:color w:val="0000FF"/>
              </w:rPr>
              <w:t>G</w:t>
            </w:r>
            <w:r w:rsidRPr="000A2E6A">
              <w:rPr>
                <w:rFonts w:ascii="Arial" w:hAnsi="Arial"/>
                <w:color w:val="0000FF"/>
              </w:rPr>
              <w:t>as Generator System</w:t>
            </w:r>
          </w:p>
          <w:p w:rsidR="000A2E6A" w:rsidRDefault="000A2E6A">
            <w:pPr>
              <w:pStyle w:val="Custom"/>
            </w:pPr>
          </w:p>
        </w:tc>
      </w:tr>
      <w:tr w:rsidR="000A2E6A">
        <w:tblPrEx>
          <w:tblCellMar>
            <w:top w:w="0" w:type="dxa"/>
            <w:bottom w:w="0" w:type="dxa"/>
          </w:tblCellMar>
        </w:tblPrEx>
        <w:trPr>
          <w:gridAfter w:val="2"/>
          <w:wAfter w:w="5392" w:type="dxa"/>
          <w:trHeight w:val="1025"/>
        </w:trPr>
        <w:tc>
          <w:tcPr>
            <w:tcW w:w="1792" w:type="dxa"/>
            <w:tcBorders>
              <w:top w:val="nil"/>
              <w:left w:val="nil"/>
              <w:bottom w:val="nil"/>
              <w:right w:val="nil"/>
            </w:tcBorders>
          </w:tcPr>
          <w:p w:rsidR="000A2E6A" w:rsidRDefault="000A2E6A">
            <w:pPr>
              <w:rPr>
                <w:rFonts w:ascii="Arial" w:hAnsi="Arial"/>
                <w:b/>
                <w:color w:val="0000FF"/>
                <w:sz w:val="20"/>
              </w:rPr>
            </w:pPr>
          </w:p>
          <w:p w:rsidR="000A2E6A" w:rsidRDefault="000A2E6A">
            <w:pPr>
              <w:rPr>
                <w:rFonts w:ascii="Arial" w:hAnsi="Arial"/>
                <w:b/>
                <w:color w:val="0000FF"/>
                <w:sz w:val="20"/>
              </w:rPr>
            </w:pPr>
            <w:r>
              <w:rPr>
                <w:rFonts w:ascii="Arial" w:hAnsi="Arial"/>
                <w:b/>
                <w:color w:val="0000FF"/>
                <w:sz w:val="20"/>
              </w:rPr>
              <w:t>Purpose</w:t>
            </w:r>
          </w:p>
        </w:tc>
        <w:tc>
          <w:tcPr>
            <w:tcW w:w="9376" w:type="dxa"/>
            <w:gridSpan w:val="7"/>
            <w:tcBorders>
              <w:top w:val="single" w:sz="4" w:space="0" w:color="auto"/>
              <w:left w:val="nil"/>
              <w:bottom w:val="single" w:sz="4" w:space="0" w:color="auto"/>
              <w:right w:val="nil"/>
            </w:tcBorders>
          </w:tcPr>
          <w:p w:rsidR="000A2E6A" w:rsidRDefault="000A1576">
            <w:pPr>
              <w:pStyle w:val="Header"/>
              <w:tabs>
                <w:tab w:val="clear" w:pos="4320"/>
                <w:tab w:val="clear" w:pos="8640"/>
              </w:tabs>
              <w:rPr>
                <w:rFonts w:ascii="Arial" w:hAnsi="Arial" w:cs="Arial"/>
                <w:sz w:val="20"/>
              </w:rPr>
            </w:pPr>
            <w:r>
              <w:rPr>
                <w:rFonts w:ascii="Arial" w:hAnsi="Arial" w:cs="Arial"/>
                <w:sz w:val="20"/>
              </w:rPr>
              <w:t>This procedure provides instructions for ANAEROBE JAR – PACK- ANAERO GAS GENERATOR.</w:t>
            </w:r>
          </w:p>
          <w:p w:rsidR="000A2E6A" w:rsidRDefault="000A2E6A">
            <w:pPr>
              <w:pStyle w:val="TableText"/>
              <w:autoSpaceDE/>
              <w:autoSpaceDN/>
              <w:rPr>
                <w:rFonts w:ascii="Arial" w:hAnsi="Arial"/>
                <w:bCs/>
              </w:rPr>
            </w:pPr>
            <w:r w:rsidRPr="000A2E6A">
              <w:rPr>
                <w:rFonts w:ascii="Arial" w:hAnsi="Arial" w:cs="Arial"/>
                <w:bCs/>
              </w:rPr>
              <w:t>The Pack–Anaero gas generating system is used to produce an atmosphere necessary to support the primary isolation and cultivation of anaerobic and microaerophilic bacteria. The atmospheric oxygen in the closed jar is absorbed with the simultaneous generation of carbon dioxide. The reaction proceeds without hydrogen, thus eliminating the need for a catalyst and no water is needed to activate the reaction.</w:t>
            </w:r>
          </w:p>
          <w:p w:rsidR="000A2E6A" w:rsidRDefault="000A2E6A">
            <w:pPr>
              <w:pStyle w:val="TableText"/>
              <w:autoSpaceDE/>
              <w:autoSpaceDN/>
              <w:rPr>
                <w:rFonts w:ascii="Arial" w:hAnsi="Arial"/>
              </w:rPr>
            </w:pPr>
          </w:p>
        </w:tc>
      </w:tr>
      <w:tr w:rsidR="000A2E6A">
        <w:tblPrEx>
          <w:tblCellMar>
            <w:top w:w="0" w:type="dxa"/>
            <w:bottom w:w="0" w:type="dxa"/>
          </w:tblCellMar>
        </w:tblPrEx>
        <w:trPr>
          <w:gridAfter w:val="2"/>
          <w:wAfter w:w="5392" w:type="dxa"/>
          <w:trHeight w:val="330"/>
        </w:trPr>
        <w:tc>
          <w:tcPr>
            <w:tcW w:w="1792" w:type="dxa"/>
            <w:tcBorders>
              <w:top w:val="nil"/>
              <w:left w:val="nil"/>
              <w:bottom w:val="nil"/>
              <w:right w:val="nil"/>
            </w:tcBorders>
          </w:tcPr>
          <w:p w:rsidR="000A2E6A" w:rsidRDefault="000A2E6A">
            <w:pPr>
              <w:rPr>
                <w:rFonts w:ascii="Arial" w:hAnsi="Arial"/>
                <w:b/>
                <w:color w:val="0000FF"/>
                <w:sz w:val="20"/>
              </w:rPr>
            </w:pPr>
            <w:r>
              <w:rPr>
                <w:rFonts w:ascii="Arial" w:hAnsi="Arial"/>
                <w:b/>
                <w:color w:val="0000FF"/>
                <w:sz w:val="20"/>
              </w:rPr>
              <w:t>Policy Statements</w:t>
            </w:r>
          </w:p>
        </w:tc>
        <w:tc>
          <w:tcPr>
            <w:tcW w:w="9376" w:type="dxa"/>
            <w:gridSpan w:val="7"/>
            <w:tcBorders>
              <w:top w:val="nil"/>
              <w:left w:val="nil"/>
              <w:bottom w:val="single" w:sz="4" w:space="0" w:color="auto"/>
              <w:right w:val="nil"/>
            </w:tcBorders>
          </w:tcPr>
          <w:p w:rsidR="000A2E6A" w:rsidRDefault="000A2E6A">
            <w:pPr>
              <w:tabs>
                <w:tab w:val="left" w:pos="252"/>
              </w:tabs>
              <w:jc w:val="left"/>
              <w:rPr>
                <w:rFonts w:ascii="Arial" w:hAnsi="Arial"/>
                <w:sz w:val="20"/>
              </w:rPr>
            </w:pPr>
            <w:r>
              <w:rPr>
                <w:rFonts w:ascii="Arial" w:hAnsi="Arial"/>
                <w:sz w:val="20"/>
              </w:rPr>
              <w:t xml:space="preserve">This procedure applies to </w:t>
            </w:r>
            <w:r w:rsidRPr="000A2E6A">
              <w:rPr>
                <w:rFonts w:ascii="Arial" w:hAnsi="Arial"/>
                <w:sz w:val="20"/>
              </w:rPr>
              <w:t>Microbiologists/virologists who perform culture set-up and/or plate reading</w:t>
            </w:r>
          </w:p>
          <w:p w:rsidR="000A2E6A" w:rsidRDefault="000A2E6A">
            <w:pPr>
              <w:ind w:left="360"/>
              <w:jc w:val="left"/>
              <w:rPr>
                <w:rFonts w:ascii="Arial" w:hAnsi="Arial"/>
                <w:sz w:val="20"/>
              </w:rPr>
            </w:pPr>
          </w:p>
        </w:tc>
      </w:tr>
      <w:tr w:rsidR="000A2E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Pr>
        <w:tc>
          <w:tcPr>
            <w:tcW w:w="1792" w:type="dxa"/>
            <w:tcBorders>
              <w:left w:val="nil"/>
              <w:right w:val="single" w:sz="4" w:space="0" w:color="auto"/>
            </w:tcBorders>
          </w:tcPr>
          <w:p w:rsidR="000A2E6A" w:rsidRDefault="000A2E6A">
            <w:pPr>
              <w:jc w:val="left"/>
              <w:rPr>
                <w:rFonts w:ascii="Arial" w:hAnsi="Arial"/>
                <w:b/>
                <w:color w:val="0000FF"/>
                <w:sz w:val="20"/>
              </w:rPr>
            </w:pPr>
            <w:r>
              <w:rPr>
                <w:rFonts w:ascii="Arial" w:hAnsi="Arial"/>
                <w:b/>
                <w:color w:val="0000FF"/>
                <w:sz w:val="20"/>
              </w:rPr>
              <w:t>Materials</w:t>
            </w:r>
          </w:p>
        </w:tc>
        <w:tc>
          <w:tcPr>
            <w:tcW w:w="4688" w:type="dxa"/>
            <w:gridSpan w:val="4"/>
            <w:tcBorders>
              <w:top w:val="single" w:sz="4" w:space="0" w:color="auto"/>
              <w:left w:val="single" w:sz="4" w:space="0" w:color="auto"/>
              <w:bottom w:val="single" w:sz="4" w:space="0" w:color="auto"/>
              <w:right w:val="single" w:sz="4" w:space="0" w:color="auto"/>
            </w:tcBorders>
          </w:tcPr>
          <w:p w:rsidR="000A2E6A" w:rsidRDefault="000A2E6A">
            <w:pPr>
              <w:jc w:val="left"/>
              <w:rPr>
                <w:rFonts w:ascii="Arial" w:hAnsi="Arial"/>
                <w:b/>
                <w:sz w:val="20"/>
              </w:rPr>
            </w:pPr>
            <w:r>
              <w:rPr>
                <w:rFonts w:ascii="Arial" w:hAnsi="Arial"/>
                <w:b/>
                <w:sz w:val="20"/>
              </w:rPr>
              <w:t>Supplies</w:t>
            </w:r>
          </w:p>
        </w:tc>
        <w:tc>
          <w:tcPr>
            <w:tcW w:w="4680" w:type="dxa"/>
            <w:gridSpan w:val="2"/>
            <w:tcBorders>
              <w:top w:val="single" w:sz="4" w:space="0" w:color="auto"/>
              <w:left w:val="single" w:sz="4" w:space="0" w:color="auto"/>
              <w:bottom w:val="single" w:sz="4" w:space="0" w:color="auto"/>
              <w:right w:val="single" w:sz="4" w:space="0" w:color="auto"/>
            </w:tcBorders>
          </w:tcPr>
          <w:p w:rsidR="000A2E6A" w:rsidRDefault="000A2E6A">
            <w:pPr>
              <w:jc w:val="left"/>
              <w:rPr>
                <w:rFonts w:ascii="Arial" w:hAnsi="Arial"/>
                <w:b/>
                <w:sz w:val="20"/>
              </w:rPr>
            </w:pPr>
            <w:r>
              <w:rPr>
                <w:rFonts w:ascii="Arial" w:hAnsi="Arial"/>
                <w:b/>
                <w:sz w:val="20"/>
              </w:rPr>
              <w:t>Equipment</w:t>
            </w:r>
          </w:p>
        </w:tc>
      </w:tr>
      <w:tr w:rsidR="000A2E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3"/>
          <w:wAfter w:w="5400" w:type="dxa"/>
          <w:cantSplit/>
          <w:trHeight w:val="530"/>
        </w:trPr>
        <w:tc>
          <w:tcPr>
            <w:tcW w:w="1792" w:type="dxa"/>
            <w:tcBorders>
              <w:left w:val="nil"/>
              <w:right w:val="single" w:sz="4" w:space="0" w:color="auto"/>
            </w:tcBorders>
          </w:tcPr>
          <w:p w:rsidR="000A2E6A" w:rsidRDefault="000A2E6A">
            <w:pPr>
              <w:jc w:val="left"/>
              <w:rPr>
                <w:rFonts w:ascii="Arial" w:hAnsi="Arial"/>
                <w:b/>
                <w:color w:val="0000FF"/>
                <w:sz w:val="20"/>
              </w:rPr>
            </w:pPr>
          </w:p>
        </w:tc>
        <w:tc>
          <w:tcPr>
            <w:tcW w:w="4688" w:type="dxa"/>
            <w:gridSpan w:val="4"/>
            <w:tcBorders>
              <w:top w:val="single" w:sz="4" w:space="0" w:color="auto"/>
              <w:left w:val="single" w:sz="4" w:space="0" w:color="auto"/>
              <w:bottom w:val="single" w:sz="4" w:space="0" w:color="auto"/>
              <w:right w:val="single" w:sz="4" w:space="0" w:color="auto"/>
            </w:tcBorders>
          </w:tcPr>
          <w:p w:rsidR="000A2E6A" w:rsidRDefault="000A2E6A">
            <w:pPr>
              <w:numPr>
                <w:ilvl w:val="0"/>
                <w:numId w:val="4"/>
              </w:numPr>
              <w:tabs>
                <w:tab w:val="clear" w:pos="360"/>
              </w:tabs>
              <w:jc w:val="left"/>
              <w:rPr>
                <w:rFonts w:ascii="Arial" w:hAnsi="Arial"/>
                <w:sz w:val="20"/>
              </w:rPr>
            </w:pPr>
            <w:r>
              <w:rPr>
                <w:rFonts w:ascii="Arial" w:hAnsi="Arial"/>
                <w:sz w:val="20"/>
              </w:rPr>
              <w:t>Mitsubishi Pack-Micro Aero sachets</w:t>
            </w:r>
          </w:p>
          <w:p w:rsidR="000A2E6A" w:rsidRDefault="000A2E6A" w:rsidP="000A2E6A">
            <w:pPr>
              <w:jc w:val="left"/>
              <w:rPr>
                <w:rFonts w:ascii="Arial" w:hAnsi="Arial"/>
                <w:sz w:val="20"/>
              </w:rPr>
            </w:pPr>
            <w:r>
              <w:rPr>
                <w:rFonts w:ascii="Arial" w:hAnsi="Arial"/>
                <w:sz w:val="20"/>
              </w:rPr>
              <w:t>--Remel cat. No. 68-5025</w:t>
            </w:r>
          </w:p>
          <w:p w:rsidR="000A2E6A" w:rsidRDefault="000A2E6A">
            <w:pPr>
              <w:numPr>
                <w:ilvl w:val="1"/>
                <w:numId w:val="4"/>
              </w:numPr>
              <w:tabs>
                <w:tab w:val="clear" w:pos="504"/>
              </w:tabs>
              <w:jc w:val="left"/>
              <w:rPr>
                <w:rFonts w:ascii="Arial" w:hAnsi="Arial"/>
                <w:sz w:val="20"/>
              </w:rPr>
            </w:pPr>
            <w:r>
              <w:rPr>
                <w:rFonts w:ascii="Arial" w:hAnsi="Arial"/>
                <w:sz w:val="20"/>
              </w:rPr>
              <w:t>Store at 2-25</w:t>
            </w:r>
            <w:r>
              <w:rPr>
                <w:rFonts w:ascii="Arial" w:hAnsi="Arial" w:cs="Arial"/>
                <w:sz w:val="20"/>
              </w:rPr>
              <w:t>º</w:t>
            </w:r>
            <w:r w:rsidR="00B35215">
              <w:rPr>
                <w:rFonts w:ascii="Arial" w:hAnsi="Arial"/>
                <w:sz w:val="20"/>
              </w:rPr>
              <w:t>C until expiration</w:t>
            </w:r>
            <w:r>
              <w:rPr>
                <w:rFonts w:ascii="Arial" w:hAnsi="Arial"/>
                <w:sz w:val="20"/>
              </w:rPr>
              <w:t xml:space="preserve"> date</w:t>
            </w:r>
          </w:p>
          <w:p w:rsidR="000A2E6A" w:rsidRDefault="000A2E6A">
            <w:pPr>
              <w:numPr>
                <w:ilvl w:val="1"/>
                <w:numId w:val="4"/>
              </w:numPr>
              <w:tabs>
                <w:tab w:val="clear" w:pos="504"/>
              </w:tabs>
              <w:jc w:val="left"/>
              <w:rPr>
                <w:rFonts w:ascii="Arial" w:hAnsi="Arial"/>
                <w:sz w:val="20"/>
              </w:rPr>
            </w:pPr>
            <w:r>
              <w:rPr>
                <w:rFonts w:ascii="Arial" w:hAnsi="Arial"/>
                <w:sz w:val="20"/>
              </w:rPr>
              <w:t>Avoid direct sunlight and excessive temperatures</w:t>
            </w:r>
          </w:p>
          <w:p w:rsidR="000A2E6A" w:rsidRDefault="000A2E6A">
            <w:pPr>
              <w:numPr>
                <w:ilvl w:val="1"/>
                <w:numId w:val="4"/>
              </w:numPr>
              <w:tabs>
                <w:tab w:val="clear" w:pos="504"/>
              </w:tabs>
              <w:jc w:val="left"/>
              <w:rPr>
                <w:rFonts w:ascii="Arial" w:hAnsi="Arial"/>
                <w:sz w:val="20"/>
              </w:rPr>
            </w:pPr>
            <w:r>
              <w:rPr>
                <w:rFonts w:ascii="Arial" w:hAnsi="Arial"/>
                <w:sz w:val="20"/>
              </w:rPr>
              <w:t>Do not use if outer foil is damaged</w:t>
            </w:r>
          </w:p>
          <w:p w:rsidR="000A2E6A" w:rsidRDefault="000A2E6A">
            <w:pPr>
              <w:numPr>
                <w:ilvl w:val="0"/>
                <w:numId w:val="4"/>
              </w:numPr>
              <w:tabs>
                <w:tab w:val="clear" w:pos="360"/>
              </w:tabs>
              <w:jc w:val="left"/>
              <w:rPr>
                <w:rFonts w:ascii="Arial" w:hAnsi="Arial"/>
                <w:sz w:val="20"/>
              </w:rPr>
            </w:pPr>
            <w:r>
              <w:rPr>
                <w:rFonts w:ascii="Arial" w:hAnsi="Arial"/>
                <w:sz w:val="20"/>
              </w:rPr>
              <w:t>Mitsubishi 2.5L Rectangular Jar</w:t>
            </w:r>
          </w:p>
          <w:p w:rsidR="000A2E6A" w:rsidRDefault="000A2E6A" w:rsidP="000A2E6A">
            <w:pPr>
              <w:jc w:val="left"/>
              <w:rPr>
                <w:rFonts w:ascii="Arial" w:hAnsi="Arial"/>
                <w:sz w:val="20"/>
              </w:rPr>
            </w:pPr>
            <w:r>
              <w:rPr>
                <w:rFonts w:ascii="Arial" w:hAnsi="Arial"/>
                <w:sz w:val="20"/>
              </w:rPr>
              <w:t>--Remel cat. No. 68-1001</w:t>
            </w:r>
          </w:p>
          <w:p w:rsidR="000A2E6A" w:rsidRDefault="000A2E6A" w:rsidP="000A2E6A">
            <w:pPr>
              <w:numPr>
                <w:ilvl w:val="0"/>
                <w:numId w:val="11"/>
              </w:numPr>
              <w:ind w:left="170" w:hanging="180"/>
              <w:jc w:val="left"/>
              <w:rPr>
                <w:rFonts w:ascii="Arial" w:hAnsi="Arial"/>
                <w:sz w:val="20"/>
              </w:rPr>
            </w:pPr>
            <w:r>
              <w:rPr>
                <w:rFonts w:ascii="Arial" w:hAnsi="Arial"/>
                <w:sz w:val="20"/>
              </w:rPr>
              <w:t>BD Anaerobic Indicator Strips</w:t>
            </w:r>
          </w:p>
          <w:p w:rsidR="000A2E6A" w:rsidRDefault="000A2E6A">
            <w:pPr>
              <w:jc w:val="left"/>
              <w:rPr>
                <w:rFonts w:ascii="Arial" w:hAnsi="Arial"/>
                <w:sz w:val="20"/>
              </w:rPr>
            </w:pPr>
            <w:r>
              <w:rPr>
                <w:rFonts w:ascii="Arial" w:hAnsi="Arial"/>
                <w:sz w:val="20"/>
              </w:rPr>
              <w:t>--BD cat. No. 271051</w:t>
            </w:r>
          </w:p>
        </w:tc>
        <w:tc>
          <w:tcPr>
            <w:tcW w:w="4680" w:type="dxa"/>
            <w:gridSpan w:val="2"/>
            <w:tcBorders>
              <w:top w:val="single" w:sz="4" w:space="0" w:color="auto"/>
              <w:left w:val="single" w:sz="4" w:space="0" w:color="auto"/>
              <w:bottom w:val="single" w:sz="4" w:space="0" w:color="auto"/>
              <w:right w:val="single" w:sz="4" w:space="0" w:color="auto"/>
            </w:tcBorders>
          </w:tcPr>
          <w:p w:rsidR="000A2E6A" w:rsidRDefault="000A2E6A">
            <w:pPr>
              <w:numPr>
                <w:ilvl w:val="0"/>
                <w:numId w:val="4"/>
              </w:numPr>
              <w:tabs>
                <w:tab w:val="clear" w:pos="360"/>
              </w:tabs>
              <w:jc w:val="left"/>
              <w:rPr>
                <w:rFonts w:ascii="Arial" w:hAnsi="Arial"/>
                <w:bCs/>
                <w:sz w:val="20"/>
              </w:rPr>
            </w:pPr>
            <w:r>
              <w:rPr>
                <w:rFonts w:ascii="Arial" w:hAnsi="Arial"/>
                <w:sz w:val="20"/>
              </w:rPr>
              <w:t>35</w:t>
            </w:r>
            <w:r>
              <w:rPr>
                <w:rFonts w:ascii="Arial" w:hAnsi="Arial" w:cs="Arial"/>
                <w:bCs/>
                <w:sz w:val="20"/>
              </w:rPr>
              <w:t>º</w:t>
            </w:r>
            <w:r>
              <w:rPr>
                <w:rFonts w:ascii="Arial" w:hAnsi="Arial"/>
                <w:bCs/>
                <w:sz w:val="20"/>
              </w:rPr>
              <w:t>C ambient air incubator</w:t>
            </w:r>
          </w:p>
          <w:p w:rsidR="000A2E6A" w:rsidRDefault="000A2E6A">
            <w:pPr>
              <w:pStyle w:val="TableText"/>
              <w:autoSpaceDE/>
              <w:autoSpaceDN/>
              <w:rPr>
                <w:rFonts w:ascii="Arial" w:hAnsi="Arial"/>
              </w:rPr>
            </w:pPr>
          </w:p>
        </w:tc>
      </w:tr>
      <w:tr w:rsidR="000A2E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0A2E6A" w:rsidRDefault="000A2E6A">
            <w:pPr>
              <w:jc w:val="left"/>
              <w:rPr>
                <w:rFonts w:ascii="Arial" w:hAnsi="Arial"/>
                <w:b/>
                <w:color w:val="0000FF"/>
                <w:sz w:val="20"/>
              </w:rPr>
            </w:pPr>
          </w:p>
          <w:p w:rsidR="000A2E6A" w:rsidRDefault="000A2E6A">
            <w:pPr>
              <w:jc w:val="left"/>
              <w:rPr>
                <w:rFonts w:ascii="Arial" w:hAnsi="Arial"/>
                <w:b/>
                <w:color w:val="0000FF"/>
                <w:sz w:val="20"/>
              </w:rPr>
            </w:pPr>
            <w:r>
              <w:rPr>
                <w:rFonts w:ascii="Arial" w:hAnsi="Arial"/>
                <w:b/>
                <w:color w:val="0000FF"/>
                <w:sz w:val="20"/>
              </w:rPr>
              <w:t>Special Safety Precautions</w:t>
            </w:r>
          </w:p>
          <w:p w:rsidR="000A2E6A" w:rsidRDefault="000A2E6A">
            <w:pPr>
              <w:jc w:val="left"/>
              <w:rPr>
                <w:rFonts w:ascii="Arial" w:hAnsi="Arial"/>
                <w:b/>
                <w:color w:val="0000FF"/>
                <w:sz w:val="20"/>
              </w:rPr>
            </w:pPr>
          </w:p>
        </w:tc>
        <w:tc>
          <w:tcPr>
            <w:tcW w:w="9376" w:type="dxa"/>
            <w:gridSpan w:val="7"/>
            <w:tcBorders>
              <w:top w:val="single" w:sz="4" w:space="0" w:color="auto"/>
              <w:bottom w:val="single" w:sz="6" w:space="0" w:color="auto"/>
              <w:right w:val="nil"/>
            </w:tcBorders>
          </w:tcPr>
          <w:p w:rsidR="000A2E6A" w:rsidRDefault="000A2E6A">
            <w:pPr>
              <w:rPr>
                <w:rFonts w:ascii="Arial" w:hAnsi="Arial" w:cs="Arial"/>
                <w:sz w:val="20"/>
              </w:rPr>
            </w:pPr>
          </w:p>
          <w:p w:rsidR="000A2E6A" w:rsidRDefault="000A2E6A">
            <w:pPr>
              <w:rPr>
                <w:rFonts w:ascii="Arial" w:hAnsi="Arial" w:cs="Arial"/>
                <w:b/>
                <w:sz w:val="20"/>
              </w:rPr>
            </w:pPr>
            <w:r>
              <w:rPr>
                <w:rFonts w:ascii="Arial" w:hAnsi="Arial" w:cs="Arial"/>
                <w:sz w:val="20"/>
              </w:rPr>
              <w:t>Microbiologists/virologists are subject to occupational risks associated with specimen handling. Refer to the safety policies</w:t>
            </w:r>
            <w:r>
              <w:rPr>
                <w:rFonts w:ascii="Arial" w:hAnsi="Arial" w:cs="Arial"/>
                <w:b/>
                <w:sz w:val="20"/>
              </w:rPr>
              <w:t>:</w:t>
            </w:r>
          </w:p>
          <w:p w:rsidR="000A2E6A" w:rsidRPr="000A2E6A" w:rsidRDefault="000A2E6A" w:rsidP="000A2E6A">
            <w:pPr>
              <w:numPr>
                <w:ilvl w:val="0"/>
                <w:numId w:val="2"/>
              </w:numPr>
              <w:rPr>
                <w:rFonts w:ascii="Arial" w:hAnsi="Arial" w:cs="Arial"/>
                <w:i/>
                <w:sz w:val="20"/>
              </w:rPr>
            </w:pPr>
            <w:hyperlink r:id="rId7" w:history="1">
              <w:r w:rsidRPr="000A2E6A">
                <w:rPr>
                  <w:rStyle w:val="Hyperlink"/>
                  <w:rFonts w:ascii="Arial" w:hAnsi="Arial" w:cs="Arial"/>
                  <w:i/>
                  <w:sz w:val="20"/>
                </w:rPr>
                <w:t>Biohazard Containment</w:t>
              </w:r>
            </w:hyperlink>
          </w:p>
          <w:p w:rsidR="000A2E6A" w:rsidRPr="000A2E6A" w:rsidRDefault="000A2E6A" w:rsidP="000A2E6A">
            <w:pPr>
              <w:numPr>
                <w:ilvl w:val="0"/>
                <w:numId w:val="2"/>
              </w:numPr>
              <w:rPr>
                <w:rFonts w:ascii="Arial" w:hAnsi="Arial" w:cs="Arial"/>
                <w:i/>
                <w:sz w:val="20"/>
              </w:rPr>
            </w:pPr>
            <w:hyperlink r:id="rId8" w:history="1">
              <w:r w:rsidRPr="000A2E6A">
                <w:rPr>
                  <w:rStyle w:val="Hyperlink"/>
                  <w:rFonts w:ascii="Arial" w:hAnsi="Arial" w:cs="Arial"/>
                  <w:i/>
                  <w:sz w:val="20"/>
                </w:rPr>
                <w:t>Safety in the Microbiology/Virology Laboratory</w:t>
              </w:r>
            </w:hyperlink>
          </w:p>
          <w:p w:rsidR="000A2E6A" w:rsidRPr="00A324F5" w:rsidRDefault="000A2E6A" w:rsidP="00A324F5">
            <w:pPr>
              <w:numPr>
                <w:ilvl w:val="0"/>
                <w:numId w:val="2"/>
              </w:numPr>
              <w:rPr>
                <w:rFonts w:ascii="Arial" w:hAnsi="Arial" w:cs="Arial"/>
                <w:b/>
                <w:i/>
                <w:sz w:val="20"/>
              </w:rPr>
            </w:pPr>
            <w:hyperlink r:id="rId9" w:history="1">
              <w:r w:rsidRPr="000A2E6A">
                <w:rPr>
                  <w:rStyle w:val="Hyperlink"/>
                  <w:rFonts w:ascii="Arial" w:hAnsi="Arial" w:cs="Arial"/>
                  <w:i/>
                  <w:sz w:val="20"/>
                </w:rPr>
                <w:t>Biohazardous Spills</w:t>
              </w:r>
            </w:hyperlink>
          </w:p>
        </w:tc>
      </w:tr>
      <w:tr w:rsidR="000A2E6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top w:val="nil"/>
              <w:left w:val="nil"/>
              <w:bottom w:val="nil"/>
            </w:tcBorders>
          </w:tcPr>
          <w:p w:rsidR="000A2E6A" w:rsidRDefault="000A2E6A">
            <w:pPr>
              <w:rPr>
                <w:rFonts w:ascii="Arial" w:hAnsi="Arial"/>
                <w:b/>
                <w:color w:val="0000FF"/>
                <w:sz w:val="20"/>
              </w:rPr>
            </w:pPr>
          </w:p>
          <w:p w:rsidR="000A2E6A" w:rsidRDefault="000A2E6A">
            <w:pPr>
              <w:rPr>
                <w:rFonts w:ascii="Arial" w:hAnsi="Arial"/>
                <w:b/>
                <w:color w:val="0000FF"/>
                <w:sz w:val="20"/>
              </w:rPr>
            </w:pPr>
            <w:r>
              <w:rPr>
                <w:rFonts w:ascii="Arial" w:hAnsi="Arial"/>
                <w:b/>
                <w:color w:val="0000FF"/>
                <w:sz w:val="20"/>
              </w:rPr>
              <w:t>Quality Control</w:t>
            </w:r>
          </w:p>
          <w:p w:rsidR="000A2E6A" w:rsidRDefault="000A2E6A">
            <w:pPr>
              <w:rPr>
                <w:rFonts w:ascii="Arial" w:hAnsi="Arial"/>
                <w:b/>
                <w:color w:val="0000FF"/>
                <w:sz w:val="20"/>
              </w:rPr>
            </w:pPr>
          </w:p>
        </w:tc>
        <w:tc>
          <w:tcPr>
            <w:tcW w:w="9376" w:type="dxa"/>
            <w:gridSpan w:val="7"/>
            <w:tcBorders>
              <w:top w:val="single" w:sz="6" w:space="0" w:color="auto"/>
              <w:bottom w:val="single" w:sz="4" w:space="0" w:color="auto"/>
              <w:right w:val="nil"/>
            </w:tcBorders>
          </w:tcPr>
          <w:p w:rsidR="000A2E6A" w:rsidRDefault="000A2E6A">
            <w:pPr>
              <w:rPr>
                <w:rFonts w:ascii="Arial" w:hAnsi="Arial" w:cs="Arial"/>
                <w:sz w:val="20"/>
              </w:rPr>
            </w:pP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QC testing is performed using an anaerobic indicator strip.</w:t>
            </w:r>
          </w:p>
          <w:p w:rsidR="000A2E6A" w:rsidRPr="0072264F" w:rsidRDefault="000A2E6A" w:rsidP="000A2E6A">
            <w:pPr>
              <w:numPr>
                <w:ilvl w:val="1"/>
                <w:numId w:val="5"/>
              </w:numPr>
              <w:tabs>
                <w:tab w:val="clear" w:pos="1080"/>
                <w:tab w:val="num" w:pos="1440"/>
              </w:tabs>
              <w:ind w:left="1440"/>
              <w:jc w:val="left"/>
              <w:rPr>
                <w:rFonts w:ascii="Arial" w:hAnsi="Arial"/>
                <w:sz w:val="20"/>
                <w:szCs w:val="20"/>
              </w:rPr>
            </w:pPr>
            <w:r w:rsidRPr="0072264F">
              <w:rPr>
                <w:rFonts w:ascii="Arial" w:hAnsi="Arial"/>
                <w:sz w:val="20"/>
                <w:szCs w:val="20"/>
              </w:rPr>
              <w:t>WHITE indicates redox has occurred and the atmosphere is suitable for the growth of anaerobic bacteria</w:t>
            </w:r>
          </w:p>
          <w:p w:rsidR="000A2E6A" w:rsidRPr="0072264F" w:rsidRDefault="000A2E6A" w:rsidP="000A2E6A">
            <w:pPr>
              <w:numPr>
                <w:ilvl w:val="1"/>
                <w:numId w:val="5"/>
              </w:numPr>
              <w:tabs>
                <w:tab w:val="clear" w:pos="1080"/>
                <w:tab w:val="num" w:pos="1440"/>
              </w:tabs>
              <w:ind w:left="1440"/>
              <w:jc w:val="left"/>
              <w:rPr>
                <w:rFonts w:ascii="Arial" w:hAnsi="Arial"/>
                <w:b/>
                <w:sz w:val="20"/>
                <w:szCs w:val="20"/>
              </w:rPr>
            </w:pPr>
            <w:r w:rsidRPr="0072264F">
              <w:rPr>
                <w:rFonts w:ascii="Arial" w:hAnsi="Arial"/>
                <w:sz w:val="20"/>
                <w:szCs w:val="20"/>
              </w:rPr>
              <w:t xml:space="preserve">BLUE indicates oxygen is present and the atmosphere is </w:t>
            </w:r>
            <w:r w:rsidRPr="0072264F">
              <w:rPr>
                <w:rFonts w:ascii="Arial" w:hAnsi="Arial"/>
                <w:b/>
                <w:sz w:val="20"/>
                <w:szCs w:val="20"/>
              </w:rPr>
              <w:t xml:space="preserve">not </w:t>
            </w:r>
            <w:r w:rsidRPr="0072264F">
              <w:rPr>
                <w:rFonts w:ascii="Arial" w:hAnsi="Arial"/>
                <w:sz w:val="20"/>
                <w:szCs w:val="20"/>
              </w:rPr>
              <w:t>suitable for the growth of anaerobic bacteria</w:t>
            </w: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Perform QC with each new lot or shipment before put into service. Record results in QC manual.</w:t>
            </w: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 xml:space="preserve">Perform daily QC with each jar that is closed.  Check </w:t>
            </w:r>
            <w:r w:rsidRPr="0072264F">
              <w:rPr>
                <w:rFonts w:ascii="Arial" w:hAnsi="Arial"/>
                <w:b/>
                <w:sz w:val="20"/>
                <w:szCs w:val="20"/>
              </w:rPr>
              <w:t>ALL</w:t>
            </w:r>
            <w:r w:rsidR="000A1576">
              <w:rPr>
                <w:rFonts w:ascii="Arial" w:hAnsi="Arial"/>
                <w:b/>
                <w:sz w:val="20"/>
                <w:szCs w:val="20"/>
              </w:rPr>
              <w:t xml:space="preserve"> </w:t>
            </w:r>
            <w:r w:rsidR="000A1576" w:rsidRPr="000A1576">
              <w:rPr>
                <w:rFonts w:ascii="Arial" w:hAnsi="Arial"/>
                <w:sz w:val="20"/>
                <w:szCs w:val="20"/>
              </w:rPr>
              <w:t>of</w:t>
            </w:r>
            <w:r w:rsidRPr="0072264F">
              <w:rPr>
                <w:rFonts w:ascii="Arial" w:hAnsi="Arial"/>
                <w:sz w:val="20"/>
                <w:szCs w:val="20"/>
              </w:rPr>
              <w:t xml:space="preserve"> the in use anaerobe jars in the incubator daily before opening the jars due to be opened that day. Observe the indicator strips to be sure that anaerobic conditions were maintained during incubation.  If the indicator is blue, an anaerobic atmosphere was not maintained and the anaerobic culture result is</w:t>
            </w:r>
            <w:r w:rsidRPr="0072264F">
              <w:rPr>
                <w:rFonts w:ascii="Arial" w:hAnsi="Arial"/>
                <w:b/>
                <w:sz w:val="20"/>
                <w:szCs w:val="20"/>
              </w:rPr>
              <w:t xml:space="preserve"> not </w:t>
            </w:r>
            <w:r w:rsidRPr="0072264F">
              <w:rPr>
                <w:rFonts w:ascii="Arial" w:hAnsi="Arial"/>
                <w:sz w:val="20"/>
                <w:szCs w:val="20"/>
              </w:rPr>
              <w:t>valid.  Document jar failure on daily maintenance log and notify the appropriate personnel of failure.</w:t>
            </w: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Attempt recovery of anaerobes from a failed jar by using the THIO broth if available.</w:t>
            </w: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Before and after use check jar and lid for cracks.</w:t>
            </w:r>
          </w:p>
          <w:p w:rsidR="000A2E6A" w:rsidRPr="0072264F" w:rsidRDefault="000A2E6A" w:rsidP="000A2E6A">
            <w:pPr>
              <w:numPr>
                <w:ilvl w:val="0"/>
                <w:numId w:val="5"/>
              </w:numPr>
              <w:tabs>
                <w:tab w:val="clear" w:pos="360"/>
                <w:tab w:val="num" w:pos="720"/>
              </w:tabs>
              <w:ind w:left="720"/>
              <w:jc w:val="left"/>
              <w:rPr>
                <w:rFonts w:ascii="Arial" w:hAnsi="Arial"/>
                <w:sz w:val="20"/>
                <w:szCs w:val="20"/>
              </w:rPr>
            </w:pPr>
            <w:r w:rsidRPr="0072264F">
              <w:rPr>
                <w:rFonts w:ascii="Arial" w:hAnsi="Arial"/>
                <w:sz w:val="20"/>
                <w:szCs w:val="20"/>
              </w:rPr>
              <w:t>Check jar seal ring. It is important to keep the seal clean. Wash jars with mild soap when necessary.</w:t>
            </w:r>
          </w:p>
          <w:p w:rsidR="000A2E6A" w:rsidRPr="000A2E6A" w:rsidRDefault="000A2E6A" w:rsidP="000A2E6A">
            <w:pPr>
              <w:numPr>
                <w:ilvl w:val="0"/>
                <w:numId w:val="5"/>
              </w:numPr>
              <w:tabs>
                <w:tab w:val="clear" w:pos="360"/>
                <w:tab w:val="num" w:pos="720"/>
              </w:tabs>
              <w:ind w:left="720"/>
              <w:jc w:val="left"/>
              <w:rPr>
                <w:rFonts w:ascii="Arial" w:hAnsi="Arial"/>
              </w:rPr>
            </w:pPr>
            <w:r w:rsidRPr="0072264F">
              <w:rPr>
                <w:rFonts w:ascii="Arial" w:hAnsi="Arial"/>
                <w:sz w:val="20"/>
                <w:szCs w:val="20"/>
              </w:rPr>
              <w:t>If there is a QC failure, document observation, notify supervisor and call Remel technical service at 1-800-447-3641 or Mitsubishi at 1-212-752-4620.</w:t>
            </w:r>
          </w:p>
        </w:tc>
      </w:tr>
      <w:tr w:rsidR="000A2E6A">
        <w:tblPrEx>
          <w:tblCellMar>
            <w:top w:w="0" w:type="dxa"/>
            <w:bottom w:w="0" w:type="dxa"/>
          </w:tblCellMar>
        </w:tblPrEx>
        <w:trPr>
          <w:gridAfter w:val="2"/>
          <w:wAfter w:w="5392" w:type="dxa"/>
          <w:trHeight w:val="2582"/>
        </w:trPr>
        <w:tc>
          <w:tcPr>
            <w:tcW w:w="1792" w:type="dxa"/>
            <w:tcBorders>
              <w:top w:val="nil"/>
              <w:left w:val="nil"/>
              <w:bottom w:val="nil"/>
              <w:right w:val="nil"/>
            </w:tcBorders>
          </w:tcPr>
          <w:p w:rsidR="000A2E6A" w:rsidRDefault="00A324F5">
            <w:pPr>
              <w:rPr>
                <w:rFonts w:ascii="Arial" w:hAnsi="Arial"/>
              </w:rPr>
            </w:pPr>
            <w:r>
              <w:rPr>
                <w:rFonts w:ascii="Arial" w:hAnsi="Arial"/>
                <w:b/>
                <w:color w:val="0000FF"/>
                <w:sz w:val="20"/>
              </w:rPr>
              <w:lastRenderedPageBreak/>
              <w:t>Procedure</w:t>
            </w:r>
          </w:p>
        </w:tc>
        <w:tc>
          <w:tcPr>
            <w:tcW w:w="9376" w:type="dxa"/>
            <w:gridSpan w:val="7"/>
            <w:tcBorders>
              <w:top w:val="single" w:sz="4" w:space="0" w:color="auto"/>
              <w:left w:val="nil"/>
              <w:bottom w:val="single" w:sz="4" w:space="0" w:color="auto"/>
              <w:right w:val="nil"/>
            </w:tcBorders>
          </w:tcPr>
          <w:p w:rsidR="000A2E6A" w:rsidRPr="00A324F5" w:rsidRDefault="000A2E6A" w:rsidP="00A324F5">
            <w:pPr>
              <w:pStyle w:val="Header"/>
              <w:numPr>
                <w:ilvl w:val="0"/>
                <w:numId w:val="6"/>
              </w:numPr>
              <w:tabs>
                <w:tab w:val="clear" w:pos="4320"/>
                <w:tab w:val="clear" w:pos="8640"/>
              </w:tabs>
              <w:ind w:hanging="10"/>
              <w:rPr>
                <w:rFonts w:ascii="Arial" w:hAnsi="Arial" w:cs="Arial"/>
                <w:sz w:val="20"/>
                <w:szCs w:val="20"/>
              </w:rPr>
            </w:pPr>
            <w:r w:rsidRPr="00A324F5">
              <w:rPr>
                <w:rFonts w:ascii="Arial" w:hAnsi="Arial" w:cs="Arial"/>
                <w:sz w:val="20"/>
                <w:szCs w:val="20"/>
              </w:rPr>
              <w:t xml:space="preserve">Place inoculated plates in compartment </w:t>
            </w:r>
            <w:r w:rsidRPr="00A324F5">
              <w:rPr>
                <w:rFonts w:ascii="Arial" w:hAnsi="Arial" w:cs="Arial"/>
                <w:b/>
                <w:bCs/>
                <w:sz w:val="20"/>
                <w:szCs w:val="20"/>
              </w:rPr>
              <w:t>A</w:t>
            </w:r>
            <w:r w:rsidRPr="00A324F5">
              <w:rPr>
                <w:rFonts w:ascii="Arial" w:hAnsi="Arial" w:cs="Arial"/>
                <w:sz w:val="20"/>
                <w:szCs w:val="20"/>
              </w:rPr>
              <w:t xml:space="preserve"> of a 2.5 L jar (up to 12 plates).</w:t>
            </w:r>
          </w:p>
          <w:p w:rsidR="000A2E6A" w:rsidRPr="00A324F5" w:rsidRDefault="000A2E6A" w:rsidP="00A324F5">
            <w:pPr>
              <w:pStyle w:val="Header"/>
              <w:tabs>
                <w:tab w:val="clear" w:pos="4320"/>
                <w:tab w:val="clear" w:pos="8640"/>
              </w:tabs>
              <w:ind w:left="2160"/>
              <w:rPr>
                <w:rFonts w:ascii="Arial" w:hAnsi="Arial" w:cs="Arial"/>
                <w:sz w:val="20"/>
                <w:szCs w:val="20"/>
              </w:rPr>
            </w:pPr>
            <w:r w:rsidRPr="00A324F5">
              <w:rPr>
                <w:rFonts w:ascii="Arial" w:hAnsi="Arial" w:cs="Arial"/>
                <w:sz w:val="20"/>
                <w:szCs w:val="20"/>
              </w:rPr>
              <w:object w:dxaOrig="5954"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53.25pt" o:ole="">
                  <v:imagedata r:id="rId10" o:title=""/>
                </v:shape>
                <o:OLEObject Type="Embed" ProgID="PBrush" ShapeID="_x0000_i1025" DrawAspect="Content" ObjectID="_1563686072" r:id="rId11"/>
              </w:objec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b/>
                <w:bCs/>
                <w:sz w:val="20"/>
                <w:szCs w:val="20"/>
              </w:rPr>
            </w:pPr>
            <w:r w:rsidRPr="00A324F5">
              <w:rPr>
                <w:rFonts w:ascii="Arial" w:hAnsi="Arial" w:cs="Arial"/>
                <w:bCs/>
                <w:sz w:val="20"/>
                <w:szCs w:val="20"/>
              </w:rPr>
              <w:t xml:space="preserve">Place the indicator strip in compartment </w:t>
            </w:r>
            <w:r w:rsidRPr="00A324F5">
              <w:rPr>
                <w:rFonts w:ascii="Arial" w:hAnsi="Arial" w:cs="Arial"/>
                <w:b/>
                <w:bCs/>
                <w:sz w:val="20"/>
                <w:szCs w:val="20"/>
              </w:rPr>
              <w:t>C.</w: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b/>
                <w:bCs/>
                <w:sz w:val="20"/>
                <w:szCs w:val="20"/>
              </w:rPr>
            </w:pPr>
            <w:r w:rsidRPr="00A324F5">
              <w:rPr>
                <w:rFonts w:ascii="Arial" w:hAnsi="Arial" w:cs="Arial"/>
                <w:sz w:val="20"/>
                <w:szCs w:val="20"/>
              </w:rPr>
              <w:t xml:space="preserve">Place the Anaerobic sachet in compartment </w:t>
            </w:r>
            <w:r w:rsidRPr="00A324F5">
              <w:rPr>
                <w:rFonts w:ascii="Arial" w:hAnsi="Arial" w:cs="Arial"/>
                <w:b/>
                <w:bCs/>
                <w:sz w:val="20"/>
                <w:szCs w:val="20"/>
              </w:rPr>
              <w:t>B.</w: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sz w:val="20"/>
                <w:szCs w:val="20"/>
              </w:rPr>
            </w:pPr>
            <w:r w:rsidRPr="00A324F5">
              <w:rPr>
                <w:rFonts w:ascii="Arial" w:hAnsi="Arial" w:cs="Arial"/>
                <w:sz w:val="20"/>
                <w:szCs w:val="20"/>
              </w:rPr>
              <w:t>Close the jar immediately. The time should not exceed 1 min between opening the sachet and sealing the jar.</w: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sz w:val="20"/>
                <w:szCs w:val="20"/>
              </w:rPr>
            </w:pPr>
            <w:r w:rsidRPr="00A324F5">
              <w:rPr>
                <w:rFonts w:ascii="Arial" w:hAnsi="Arial" w:cs="Arial"/>
                <w:sz w:val="20"/>
                <w:szCs w:val="20"/>
              </w:rPr>
              <w:t xml:space="preserve">To close the jar, hook the larger latches simultaneously, then the shorter latches. </w: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sz w:val="20"/>
                <w:szCs w:val="20"/>
              </w:rPr>
            </w:pPr>
            <w:r w:rsidRPr="00A324F5">
              <w:rPr>
                <w:rFonts w:ascii="Arial" w:hAnsi="Arial" w:cs="Arial"/>
                <w:sz w:val="20"/>
                <w:szCs w:val="20"/>
              </w:rPr>
              <w:t>After incubation, open the jar by releasing the larger latches simultaneously and then the shorter latches. If the proper procedure is not followed, the latches will break and the integrity of the jar will be lost.</w:t>
            </w:r>
          </w:p>
          <w:p w:rsidR="000A2E6A" w:rsidRPr="00A324F5" w:rsidRDefault="000A2E6A" w:rsidP="000A2E6A">
            <w:pPr>
              <w:pStyle w:val="Header"/>
              <w:numPr>
                <w:ilvl w:val="0"/>
                <w:numId w:val="6"/>
              </w:numPr>
              <w:tabs>
                <w:tab w:val="clear" w:pos="360"/>
                <w:tab w:val="clear" w:pos="4320"/>
                <w:tab w:val="clear" w:pos="8640"/>
                <w:tab w:val="num" w:pos="720"/>
              </w:tabs>
              <w:ind w:left="720"/>
              <w:jc w:val="left"/>
              <w:rPr>
                <w:rFonts w:ascii="Arial" w:hAnsi="Arial" w:cs="Arial"/>
                <w:sz w:val="20"/>
                <w:szCs w:val="20"/>
              </w:rPr>
            </w:pPr>
            <w:r w:rsidRPr="00A324F5">
              <w:rPr>
                <w:rFonts w:ascii="Arial" w:hAnsi="Arial" w:cs="Arial"/>
                <w:sz w:val="20"/>
                <w:szCs w:val="20"/>
              </w:rPr>
              <w:t>If the jar is difficult to open after the latches are released, lift one corner to release the negative pressure.</w:t>
            </w:r>
          </w:p>
          <w:p w:rsidR="000A2E6A" w:rsidRPr="000A2E6A" w:rsidRDefault="000A2E6A" w:rsidP="000A2E6A">
            <w:pPr>
              <w:pStyle w:val="Header"/>
              <w:numPr>
                <w:ilvl w:val="0"/>
                <w:numId w:val="6"/>
              </w:numPr>
              <w:tabs>
                <w:tab w:val="clear" w:pos="360"/>
                <w:tab w:val="clear" w:pos="4320"/>
                <w:tab w:val="clear" w:pos="8640"/>
                <w:tab w:val="num" w:pos="720"/>
              </w:tabs>
              <w:ind w:left="720"/>
              <w:jc w:val="left"/>
              <w:rPr>
                <w:rFonts w:ascii="Arial" w:hAnsi="Arial" w:cs="Arial"/>
              </w:rPr>
            </w:pPr>
            <w:r w:rsidRPr="00A324F5">
              <w:rPr>
                <w:rFonts w:ascii="Arial" w:hAnsi="Arial" w:cs="Arial"/>
                <w:sz w:val="20"/>
                <w:szCs w:val="20"/>
              </w:rPr>
              <w:t>Discard sachet in the biohazardous waste container.</w:t>
            </w:r>
          </w:p>
        </w:tc>
      </w:tr>
      <w:tr w:rsidR="000A2E6A">
        <w:tblPrEx>
          <w:tblCellMar>
            <w:top w:w="0" w:type="dxa"/>
            <w:bottom w:w="0" w:type="dxa"/>
          </w:tblCellMar>
        </w:tblPrEx>
        <w:trPr>
          <w:gridAfter w:val="2"/>
          <w:wAfter w:w="5392" w:type="dxa"/>
          <w:trHeight w:val="541"/>
        </w:trPr>
        <w:tc>
          <w:tcPr>
            <w:tcW w:w="1792" w:type="dxa"/>
            <w:tcBorders>
              <w:top w:val="nil"/>
              <w:left w:val="nil"/>
              <w:bottom w:val="nil"/>
              <w:right w:val="nil"/>
            </w:tcBorders>
          </w:tcPr>
          <w:p w:rsidR="000A2E6A" w:rsidRDefault="000A2E6A">
            <w:pPr>
              <w:rPr>
                <w:rFonts w:ascii="Arial" w:hAnsi="Arial"/>
                <w:b/>
                <w:color w:val="0000FF"/>
                <w:sz w:val="20"/>
              </w:rPr>
            </w:pPr>
            <w:r>
              <w:rPr>
                <w:rFonts w:ascii="Arial" w:hAnsi="Arial"/>
                <w:b/>
                <w:color w:val="0000FF"/>
                <w:sz w:val="20"/>
              </w:rPr>
              <w:br w:type="page"/>
            </w:r>
          </w:p>
          <w:p w:rsidR="000A2E6A" w:rsidRDefault="000A2E6A">
            <w:pPr>
              <w:rPr>
                <w:rFonts w:ascii="Arial" w:hAnsi="Arial"/>
                <w:b/>
                <w:color w:val="0000FF"/>
                <w:sz w:val="20"/>
              </w:rPr>
            </w:pPr>
            <w:r>
              <w:rPr>
                <w:rFonts w:ascii="Arial" w:hAnsi="Arial"/>
                <w:b/>
                <w:color w:val="0000FF"/>
                <w:sz w:val="20"/>
              </w:rPr>
              <w:t>Interpretation/ Results/Critical Values</w:t>
            </w:r>
          </w:p>
        </w:tc>
        <w:tc>
          <w:tcPr>
            <w:tcW w:w="9376" w:type="dxa"/>
            <w:gridSpan w:val="7"/>
            <w:tcBorders>
              <w:top w:val="single" w:sz="4" w:space="0" w:color="auto"/>
              <w:left w:val="nil"/>
              <w:bottom w:val="single" w:sz="4" w:space="0" w:color="auto"/>
              <w:right w:val="nil"/>
            </w:tcBorders>
          </w:tcPr>
          <w:p w:rsidR="000A2E6A" w:rsidRDefault="000A2E6A">
            <w:pPr>
              <w:pStyle w:val="Header"/>
              <w:tabs>
                <w:tab w:val="clear" w:pos="4320"/>
                <w:tab w:val="clear" w:pos="8640"/>
              </w:tabs>
              <w:rPr>
                <w:rFonts w:ascii="Arial" w:hAnsi="Arial" w:cs="Arial"/>
                <w:sz w:val="20"/>
              </w:rPr>
            </w:pPr>
          </w:p>
          <w:p w:rsidR="000A2E6A" w:rsidRPr="00A324F5" w:rsidRDefault="000A2E6A" w:rsidP="000A2E6A">
            <w:pPr>
              <w:pStyle w:val="Header"/>
              <w:numPr>
                <w:ilvl w:val="0"/>
                <w:numId w:val="7"/>
              </w:numPr>
              <w:tabs>
                <w:tab w:val="clear" w:pos="360"/>
                <w:tab w:val="clear" w:pos="4320"/>
                <w:tab w:val="clear" w:pos="8640"/>
                <w:tab w:val="num" w:pos="720"/>
              </w:tabs>
              <w:ind w:left="720"/>
              <w:jc w:val="left"/>
              <w:rPr>
                <w:rFonts w:ascii="Arial" w:hAnsi="Arial" w:cs="Arial"/>
                <w:sz w:val="20"/>
                <w:szCs w:val="20"/>
              </w:rPr>
            </w:pPr>
            <w:r w:rsidRPr="00A324F5">
              <w:rPr>
                <w:rFonts w:ascii="Arial" w:hAnsi="Arial" w:cs="Arial"/>
                <w:sz w:val="20"/>
                <w:szCs w:val="20"/>
              </w:rPr>
              <w:t>The indicator strip should be white indicating proper atmospheric conditions have been achieved.  If a failure occurs:</w:t>
            </w:r>
          </w:p>
          <w:p w:rsidR="000A2E6A" w:rsidRPr="00A324F5" w:rsidRDefault="000A2E6A" w:rsidP="000A2E6A">
            <w:pPr>
              <w:pStyle w:val="Header"/>
              <w:numPr>
                <w:ilvl w:val="0"/>
                <w:numId w:val="13"/>
              </w:numPr>
              <w:tabs>
                <w:tab w:val="clear" w:pos="720"/>
                <w:tab w:val="clear" w:pos="4320"/>
                <w:tab w:val="clear" w:pos="8640"/>
                <w:tab w:val="num" w:pos="1080"/>
              </w:tabs>
              <w:ind w:left="1080"/>
              <w:jc w:val="left"/>
              <w:rPr>
                <w:sz w:val="20"/>
                <w:szCs w:val="20"/>
              </w:rPr>
            </w:pPr>
            <w:r w:rsidRPr="00A324F5">
              <w:rPr>
                <w:rFonts w:ascii="Arial" w:hAnsi="Arial" w:cs="Arial"/>
                <w:sz w:val="20"/>
                <w:szCs w:val="20"/>
              </w:rPr>
              <w:t>Check if the correct AnaeroPack was used—white packs for anaerobes, blue packs for Campy.</w:t>
            </w:r>
          </w:p>
          <w:p w:rsidR="000A2E6A" w:rsidRPr="00A324F5" w:rsidRDefault="000A2E6A" w:rsidP="000A2E6A">
            <w:pPr>
              <w:pStyle w:val="Header"/>
              <w:numPr>
                <w:ilvl w:val="0"/>
                <w:numId w:val="13"/>
              </w:numPr>
              <w:tabs>
                <w:tab w:val="clear" w:pos="720"/>
                <w:tab w:val="clear" w:pos="4320"/>
                <w:tab w:val="clear" w:pos="8640"/>
                <w:tab w:val="num" w:pos="1080"/>
              </w:tabs>
              <w:ind w:left="1080"/>
              <w:jc w:val="left"/>
              <w:rPr>
                <w:sz w:val="20"/>
                <w:szCs w:val="20"/>
              </w:rPr>
            </w:pPr>
            <w:r w:rsidRPr="00A324F5">
              <w:rPr>
                <w:rFonts w:ascii="Arial" w:hAnsi="Arial" w:cs="Arial"/>
                <w:sz w:val="20"/>
                <w:szCs w:val="20"/>
              </w:rPr>
              <w:t xml:space="preserve">If the </w:t>
            </w:r>
            <w:r w:rsidRPr="00A324F5">
              <w:rPr>
                <w:rFonts w:ascii="Arial" w:hAnsi="Arial" w:cs="Arial"/>
                <w:iCs/>
                <w:sz w:val="20"/>
                <w:szCs w:val="20"/>
              </w:rPr>
              <w:t>indicator strip is blue</w:t>
            </w:r>
            <w:r w:rsidRPr="00A324F5">
              <w:rPr>
                <w:rFonts w:ascii="Arial" w:hAnsi="Arial" w:cs="Arial"/>
                <w:sz w:val="20"/>
                <w:szCs w:val="20"/>
              </w:rPr>
              <w:t>, the jar contained too much oxygen. Check the jar for cracks or bad seal.</w:t>
            </w:r>
          </w:p>
          <w:p w:rsidR="000A2E6A" w:rsidRPr="000A2E6A" w:rsidRDefault="000A2E6A" w:rsidP="000A2E6A">
            <w:pPr>
              <w:pStyle w:val="Header"/>
              <w:numPr>
                <w:ilvl w:val="0"/>
                <w:numId w:val="13"/>
              </w:numPr>
              <w:tabs>
                <w:tab w:val="clear" w:pos="720"/>
                <w:tab w:val="clear" w:pos="4320"/>
                <w:tab w:val="clear" w:pos="8640"/>
                <w:tab w:val="num" w:pos="1080"/>
              </w:tabs>
              <w:ind w:left="1080"/>
              <w:jc w:val="left"/>
            </w:pPr>
            <w:r w:rsidRPr="00A324F5">
              <w:rPr>
                <w:rFonts w:ascii="Arial" w:hAnsi="Arial" w:cs="Arial"/>
                <w:sz w:val="20"/>
                <w:szCs w:val="20"/>
              </w:rPr>
              <w:t>Do not report patient results if there is a failure.</w:t>
            </w:r>
          </w:p>
        </w:tc>
      </w:tr>
      <w:tr w:rsidR="000A2E6A">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trPr>
        <w:tc>
          <w:tcPr>
            <w:tcW w:w="1792" w:type="dxa"/>
            <w:tcBorders>
              <w:left w:val="nil"/>
            </w:tcBorders>
          </w:tcPr>
          <w:p w:rsidR="000A2E6A" w:rsidRDefault="000A2E6A">
            <w:pPr>
              <w:rPr>
                <w:rFonts w:ascii="Arial" w:hAnsi="Arial"/>
                <w:b/>
                <w:color w:val="0000FF"/>
                <w:sz w:val="20"/>
              </w:rPr>
            </w:pPr>
          </w:p>
          <w:p w:rsidR="000A2E6A" w:rsidRDefault="000A2E6A">
            <w:pPr>
              <w:rPr>
                <w:rFonts w:ascii="Arial" w:hAnsi="Arial"/>
                <w:b/>
                <w:color w:val="0000FF"/>
                <w:sz w:val="20"/>
              </w:rPr>
            </w:pPr>
            <w:r>
              <w:rPr>
                <w:rFonts w:ascii="Arial" w:hAnsi="Arial"/>
                <w:b/>
                <w:color w:val="0000FF"/>
                <w:sz w:val="20"/>
              </w:rPr>
              <w:t>References</w:t>
            </w:r>
          </w:p>
          <w:p w:rsidR="000A2E6A" w:rsidRDefault="000A2E6A">
            <w:pPr>
              <w:rPr>
                <w:rFonts w:ascii="Arial" w:hAnsi="Arial"/>
                <w:b/>
                <w:color w:val="0000FF"/>
                <w:sz w:val="20"/>
              </w:rPr>
            </w:pPr>
          </w:p>
        </w:tc>
        <w:tc>
          <w:tcPr>
            <w:tcW w:w="9376" w:type="dxa"/>
            <w:gridSpan w:val="7"/>
            <w:tcBorders>
              <w:top w:val="single" w:sz="4" w:space="0" w:color="auto"/>
              <w:bottom w:val="single" w:sz="4" w:space="0" w:color="auto"/>
              <w:right w:val="nil"/>
            </w:tcBorders>
          </w:tcPr>
          <w:p w:rsidR="000A2E6A" w:rsidRDefault="000A2E6A">
            <w:pPr>
              <w:pStyle w:val="Header"/>
              <w:tabs>
                <w:tab w:val="clear" w:pos="4320"/>
                <w:tab w:val="clear" w:pos="8640"/>
              </w:tabs>
              <w:rPr>
                <w:rFonts w:ascii="Arial" w:hAnsi="Arial" w:cs="Arial"/>
                <w:sz w:val="20"/>
              </w:rPr>
            </w:pPr>
          </w:p>
          <w:p w:rsidR="000A2E6A" w:rsidRPr="00A324F5" w:rsidRDefault="000A2E6A">
            <w:pPr>
              <w:pStyle w:val="Header"/>
              <w:numPr>
                <w:ilvl w:val="0"/>
                <w:numId w:val="10"/>
              </w:numPr>
              <w:tabs>
                <w:tab w:val="clear" w:pos="4320"/>
                <w:tab w:val="clear" w:pos="8640"/>
              </w:tabs>
              <w:rPr>
                <w:rFonts w:ascii="Arial" w:hAnsi="Arial" w:cs="Arial"/>
                <w:sz w:val="16"/>
                <w:szCs w:val="16"/>
              </w:rPr>
            </w:pPr>
            <w:r w:rsidRPr="00A324F5">
              <w:rPr>
                <w:rFonts w:ascii="Arial" w:hAnsi="Arial" w:cs="Arial"/>
                <w:sz w:val="16"/>
                <w:szCs w:val="16"/>
              </w:rPr>
              <w:t>Mitsubishi Gas Chemical America, INC., product circular 10-05, July 2002, 520 Madison Ave., New York, NY 10022.</w:t>
            </w:r>
          </w:p>
          <w:p w:rsidR="000A2E6A" w:rsidRDefault="000A2E6A">
            <w:pPr>
              <w:jc w:val="left"/>
              <w:rPr>
                <w:rFonts w:ascii="Arial" w:hAnsi="Arial"/>
                <w:sz w:val="20"/>
              </w:rPr>
            </w:pPr>
          </w:p>
        </w:tc>
      </w:tr>
      <w:tr w:rsidR="000A2E6A">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64"/>
        </w:trPr>
        <w:tc>
          <w:tcPr>
            <w:tcW w:w="1792" w:type="dxa"/>
            <w:vMerge w:val="restart"/>
            <w:tcBorders>
              <w:top w:val="nil"/>
              <w:left w:val="nil"/>
              <w:right w:val="single" w:sz="4" w:space="0" w:color="auto"/>
            </w:tcBorders>
          </w:tcPr>
          <w:p w:rsidR="000A2E6A" w:rsidRDefault="000A2E6A">
            <w:pPr>
              <w:rPr>
                <w:rFonts w:ascii="Arial" w:hAnsi="Arial"/>
                <w:b/>
                <w:color w:val="0000FF"/>
                <w:sz w:val="20"/>
              </w:rPr>
            </w:pPr>
          </w:p>
          <w:p w:rsidR="000A2E6A" w:rsidRDefault="000A2E6A">
            <w:pPr>
              <w:jc w:val="left"/>
              <w:rPr>
                <w:rFonts w:ascii="Arial" w:hAnsi="Arial"/>
                <w:b/>
                <w:color w:val="0000FF"/>
                <w:sz w:val="20"/>
              </w:rPr>
            </w:pPr>
            <w:r>
              <w:rPr>
                <w:rFonts w:ascii="Arial" w:hAnsi="Arial"/>
                <w:b/>
                <w:color w:val="0000FF"/>
                <w:sz w:val="20"/>
              </w:rPr>
              <w:t>Training Plan/ Competency Assessment</w:t>
            </w:r>
          </w:p>
          <w:p w:rsidR="000A2E6A" w:rsidRDefault="000A2E6A">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0A2E6A" w:rsidRDefault="000A2E6A">
            <w:pPr>
              <w:jc w:val="left"/>
              <w:rPr>
                <w:rFonts w:ascii="Arial" w:hAnsi="Arial"/>
                <w:b/>
                <w:sz w:val="20"/>
              </w:rPr>
            </w:pPr>
            <w:r>
              <w:rPr>
                <w:rFonts w:ascii="Arial" w:hAnsi="Arial"/>
                <w:b/>
                <w:sz w:val="20"/>
              </w:rPr>
              <w:t>Training Plan</w:t>
            </w:r>
          </w:p>
        </w:tc>
        <w:tc>
          <w:tcPr>
            <w:tcW w:w="4860" w:type="dxa"/>
            <w:gridSpan w:val="4"/>
            <w:tcBorders>
              <w:top w:val="single" w:sz="4" w:space="0" w:color="auto"/>
              <w:left w:val="single" w:sz="4" w:space="0" w:color="auto"/>
              <w:bottom w:val="single" w:sz="4" w:space="0" w:color="auto"/>
              <w:right w:val="single" w:sz="4" w:space="0" w:color="auto"/>
            </w:tcBorders>
          </w:tcPr>
          <w:p w:rsidR="000A2E6A" w:rsidRDefault="000A2E6A">
            <w:pPr>
              <w:jc w:val="left"/>
              <w:rPr>
                <w:rFonts w:ascii="Arial" w:hAnsi="Arial"/>
                <w:b/>
                <w:sz w:val="20"/>
              </w:rPr>
            </w:pPr>
            <w:r>
              <w:rPr>
                <w:rFonts w:ascii="Arial" w:hAnsi="Arial"/>
                <w:b/>
                <w:sz w:val="20"/>
              </w:rPr>
              <w:t>Initial Competency Assessment</w:t>
            </w:r>
          </w:p>
        </w:tc>
      </w:tr>
      <w:tr w:rsidR="000A2E6A">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872"/>
        </w:trPr>
        <w:tc>
          <w:tcPr>
            <w:tcW w:w="1792" w:type="dxa"/>
            <w:vMerge/>
            <w:tcBorders>
              <w:left w:val="nil"/>
              <w:bottom w:val="nil"/>
              <w:right w:val="single" w:sz="4" w:space="0" w:color="auto"/>
            </w:tcBorders>
          </w:tcPr>
          <w:p w:rsidR="000A2E6A" w:rsidRDefault="000A2E6A">
            <w:pPr>
              <w:rPr>
                <w:rFonts w:ascii="Arial" w:hAnsi="Arial"/>
                <w:b/>
                <w:color w:val="0000FF"/>
                <w:sz w:val="20"/>
              </w:rPr>
            </w:pPr>
          </w:p>
        </w:tc>
        <w:tc>
          <w:tcPr>
            <w:tcW w:w="4516" w:type="dxa"/>
            <w:gridSpan w:val="3"/>
            <w:tcBorders>
              <w:top w:val="single" w:sz="4" w:space="0" w:color="auto"/>
              <w:left w:val="single" w:sz="4" w:space="0" w:color="auto"/>
              <w:bottom w:val="single" w:sz="4" w:space="0" w:color="auto"/>
              <w:right w:val="single" w:sz="4" w:space="0" w:color="auto"/>
            </w:tcBorders>
          </w:tcPr>
          <w:p w:rsidR="000A2E6A" w:rsidRDefault="000A2E6A">
            <w:pPr>
              <w:numPr>
                <w:ilvl w:val="0"/>
                <w:numId w:val="8"/>
              </w:numPr>
              <w:rPr>
                <w:rFonts w:ascii="Arial" w:hAnsi="Arial" w:cs="Arial"/>
                <w:sz w:val="20"/>
              </w:rPr>
            </w:pPr>
            <w:r>
              <w:rPr>
                <w:rFonts w:ascii="Arial" w:hAnsi="Arial" w:cs="Arial"/>
                <w:sz w:val="20"/>
              </w:rPr>
              <w:t>Employee must read the procedure</w:t>
            </w:r>
          </w:p>
          <w:p w:rsidR="000A2E6A" w:rsidRDefault="000A2E6A">
            <w:pPr>
              <w:numPr>
                <w:ilvl w:val="0"/>
                <w:numId w:val="8"/>
              </w:numPr>
              <w:rPr>
                <w:rFonts w:ascii="Arial" w:hAnsi="Arial" w:cs="Arial"/>
                <w:sz w:val="20"/>
              </w:rPr>
            </w:pPr>
            <w:r>
              <w:rPr>
                <w:rFonts w:ascii="Arial" w:hAnsi="Arial" w:cs="Arial"/>
                <w:sz w:val="20"/>
              </w:rPr>
              <w:t>Employee will observe trainer performing the procedure.</w:t>
            </w:r>
          </w:p>
          <w:p w:rsidR="000A2E6A" w:rsidRDefault="000A2E6A">
            <w:pPr>
              <w:numPr>
                <w:ilvl w:val="0"/>
                <w:numId w:val="8"/>
              </w:numPr>
              <w:rPr>
                <w:rFonts w:ascii="Arial" w:hAnsi="Arial" w:cs="Arial"/>
                <w:sz w:val="20"/>
              </w:rPr>
            </w:pPr>
            <w:r>
              <w:rPr>
                <w:rFonts w:ascii="Arial" w:hAnsi="Arial" w:cs="Arial"/>
                <w:sz w:val="20"/>
              </w:rPr>
              <w:t>Employee will demonstrate the ability to perform procedure, record results and document corrective action after instruction by the trainer.</w:t>
            </w:r>
          </w:p>
          <w:p w:rsidR="000A2E6A" w:rsidRDefault="000A2E6A">
            <w:pPr>
              <w:jc w:val="left"/>
              <w:rPr>
                <w:rFonts w:ascii="Arial" w:hAnsi="Arial"/>
                <w:sz w:val="20"/>
              </w:rPr>
            </w:pPr>
          </w:p>
        </w:tc>
        <w:tc>
          <w:tcPr>
            <w:tcW w:w="4860" w:type="dxa"/>
            <w:gridSpan w:val="4"/>
            <w:tcBorders>
              <w:top w:val="single" w:sz="4" w:space="0" w:color="auto"/>
              <w:left w:val="single" w:sz="4" w:space="0" w:color="auto"/>
              <w:bottom w:val="single" w:sz="4" w:space="0" w:color="auto"/>
              <w:right w:val="single" w:sz="4" w:space="0" w:color="auto"/>
            </w:tcBorders>
          </w:tcPr>
          <w:p w:rsidR="000A2E6A" w:rsidRDefault="000A2E6A">
            <w:pPr>
              <w:numPr>
                <w:ilvl w:val="0"/>
                <w:numId w:val="9"/>
              </w:numPr>
              <w:jc w:val="left"/>
              <w:rPr>
                <w:rFonts w:ascii="Arial" w:hAnsi="Arial"/>
                <w:sz w:val="20"/>
              </w:rPr>
            </w:pPr>
            <w:r>
              <w:rPr>
                <w:rFonts w:ascii="Arial" w:hAnsi="Arial"/>
                <w:sz w:val="20"/>
              </w:rPr>
              <w:t>Direct observation.</w:t>
            </w:r>
          </w:p>
          <w:p w:rsidR="000A2E6A" w:rsidRDefault="000A2E6A">
            <w:pPr>
              <w:jc w:val="left"/>
              <w:rPr>
                <w:rFonts w:ascii="Arial" w:hAnsi="Arial"/>
                <w:sz w:val="20"/>
              </w:rPr>
            </w:pP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tcBorders>
              <w:left w:val="nil"/>
              <w:right w:val="nil"/>
            </w:tcBorders>
          </w:tcPr>
          <w:p w:rsidR="007B619D" w:rsidRDefault="007B619D">
            <w:pPr>
              <w:rPr>
                <w:rFonts w:ascii="Arial" w:hAnsi="Arial"/>
                <w:b/>
                <w:color w:val="0000FF"/>
                <w:sz w:val="20"/>
              </w:rPr>
            </w:pPr>
            <w:r>
              <w:rPr>
                <w:rFonts w:ascii="Arial" w:hAnsi="Arial"/>
                <w:b/>
                <w:color w:val="0000FF"/>
                <w:sz w:val="20"/>
              </w:rPr>
              <w:t>Historical Record</w:t>
            </w:r>
          </w:p>
        </w:tc>
        <w:tc>
          <w:tcPr>
            <w:tcW w:w="1442" w:type="dxa"/>
            <w:tcBorders>
              <w:top w:val="single" w:sz="4" w:space="0" w:color="auto"/>
              <w:left w:val="nil"/>
              <w:bottom w:val="single" w:sz="4" w:space="0" w:color="auto"/>
              <w:right w:val="nil"/>
            </w:tcBorders>
          </w:tcPr>
          <w:p w:rsidR="007B619D" w:rsidRDefault="007B619D">
            <w:pPr>
              <w:jc w:val="left"/>
              <w:rPr>
                <w:rFonts w:ascii="Arial" w:hAnsi="Arial"/>
                <w:b/>
                <w:sz w:val="20"/>
              </w:rPr>
            </w:pPr>
          </w:p>
        </w:tc>
        <w:tc>
          <w:tcPr>
            <w:tcW w:w="2702" w:type="dxa"/>
            <w:tcBorders>
              <w:top w:val="single" w:sz="4" w:space="0" w:color="auto"/>
              <w:left w:val="nil"/>
              <w:bottom w:val="single" w:sz="4" w:space="0" w:color="auto"/>
              <w:right w:val="nil"/>
            </w:tcBorders>
          </w:tcPr>
          <w:p w:rsidR="007B619D" w:rsidRDefault="007B619D">
            <w:pPr>
              <w:jc w:val="left"/>
              <w:rPr>
                <w:rFonts w:ascii="Arial" w:hAnsi="Arial"/>
                <w:b/>
                <w:sz w:val="20"/>
              </w:rPr>
            </w:pPr>
          </w:p>
        </w:tc>
        <w:tc>
          <w:tcPr>
            <w:tcW w:w="1803" w:type="dxa"/>
            <w:gridSpan w:val="3"/>
            <w:tcBorders>
              <w:top w:val="single" w:sz="4" w:space="0" w:color="auto"/>
              <w:left w:val="nil"/>
              <w:bottom w:val="single" w:sz="4" w:space="0" w:color="auto"/>
              <w:right w:val="nil"/>
            </w:tcBorders>
          </w:tcPr>
          <w:p w:rsidR="007B619D" w:rsidRDefault="007B619D">
            <w:pPr>
              <w:jc w:val="left"/>
              <w:rPr>
                <w:rFonts w:ascii="Arial" w:hAnsi="Arial"/>
                <w:b/>
                <w:sz w:val="20"/>
              </w:rPr>
            </w:pPr>
          </w:p>
        </w:tc>
        <w:tc>
          <w:tcPr>
            <w:tcW w:w="3429" w:type="dxa"/>
            <w:gridSpan w:val="2"/>
            <w:tcBorders>
              <w:top w:val="single" w:sz="4" w:space="0" w:color="auto"/>
              <w:left w:val="nil"/>
              <w:bottom w:val="single" w:sz="4" w:space="0" w:color="auto"/>
              <w:right w:val="nil"/>
            </w:tcBorders>
          </w:tcPr>
          <w:p w:rsidR="007B619D" w:rsidRDefault="007B619D">
            <w:pPr>
              <w:jc w:val="left"/>
              <w:rPr>
                <w:rFonts w:ascii="Arial" w:hAnsi="Arial"/>
                <w:b/>
                <w:sz w:val="20"/>
              </w:rPr>
            </w:pP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25"/>
        </w:trPr>
        <w:tc>
          <w:tcPr>
            <w:tcW w:w="1792" w:type="dxa"/>
            <w:vMerge w:val="restart"/>
            <w:tcBorders>
              <w:left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b/>
                <w:sz w:val="20"/>
              </w:rPr>
            </w:pPr>
            <w:r>
              <w:rPr>
                <w:rFonts w:ascii="Arial" w:hAnsi="Arial"/>
                <w:b/>
                <w:sz w:val="20"/>
              </w:rPr>
              <w:t>Version</w:t>
            </w:r>
          </w:p>
        </w:tc>
        <w:tc>
          <w:tcPr>
            <w:tcW w:w="270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b/>
                <w:sz w:val="20"/>
              </w:rPr>
            </w:pPr>
            <w:r>
              <w:rPr>
                <w:rFonts w:ascii="Arial" w:hAnsi="Arial"/>
                <w:b/>
                <w:sz w:val="20"/>
              </w:rPr>
              <w:t>Written/Revised by:</w:t>
            </w: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7B619D">
            <w:pPr>
              <w:rPr>
                <w:rFonts w:ascii="Arial" w:hAnsi="Arial"/>
                <w:b/>
                <w:sz w:val="20"/>
              </w:rPr>
            </w:pPr>
            <w:r>
              <w:rPr>
                <w:rFonts w:ascii="Arial" w:hAnsi="Arial"/>
                <w:b/>
                <w:sz w:val="20"/>
              </w:rPr>
              <w:t>Effective Date:</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7B619D">
            <w:pPr>
              <w:rPr>
                <w:rFonts w:ascii="Arial" w:hAnsi="Arial"/>
                <w:b/>
                <w:sz w:val="20"/>
              </w:rPr>
            </w:pPr>
            <w:r>
              <w:rPr>
                <w:rFonts w:ascii="Arial" w:hAnsi="Arial"/>
                <w:b/>
                <w:sz w:val="20"/>
              </w:rPr>
              <w:t>Summary of Revisions</w:t>
            </w: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35"/>
        </w:trPr>
        <w:tc>
          <w:tcPr>
            <w:tcW w:w="1792" w:type="dxa"/>
            <w:vMerge/>
            <w:tcBorders>
              <w:left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1.1</w:t>
            </w:r>
          </w:p>
        </w:tc>
        <w:tc>
          <w:tcPr>
            <w:tcW w:w="270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Pat Ackerman</w:t>
            </w: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09/12/1999</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Initial Version</w:t>
            </w: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43"/>
        </w:trPr>
        <w:tc>
          <w:tcPr>
            <w:tcW w:w="1792" w:type="dxa"/>
            <w:vMerge/>
            <w:tcBorders>
              <w:left w:val="nil"/>
              <w:bottom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1.2</w:t>
            </w:r>
          </w:p>
        </w:tc>
        <w:tc>
          <w:tcPr>
            <w:tcW w:w="270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Tina Gronquist</w:t>
            </w: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07/28/2014</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r>
              <w:rPr>
                <w:rFonts w:ascii="Arial" w:hAnsi="Arial"/>
                <w:sz w:val="20"/>
              </w:rPr>
              <w:t>Updated into online format.</w:t>
            </w: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Pr>
        <w:tc>
          <w:tcPr>
            <w:tcW w:w="1792" w:type="dxa"/>
            <w:vMerge/>
            <w:tcBorders>
              <w:top w:val="nil"/>
              <w:left w:val="nil"/>
              <w:bottom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023B5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7B619D" w:rsidRDefault="00023B5F">
            <w:pPr>
              <w:rPr>
                <w:rFonts w:ascii="Arial" w:hAnsi="Arial"/>
                <w:sz w:val="20"/>
              </w:rPr>
            </w:pPr>
            <w:r>
              <w:rPr>
                <w:rFonts w:ascii="Arial" w:hAnsi="Arial"/>
                <w:sz w:val="20"/>
              </w:rPr>
              <w:t>Becky Carlson</w:t>
            </w: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023B5F">
            <w:pPr>
              <w:rPr>
                <w:rFonts w:ascii="Arial" w:hAnsi="Arial"/>
                <w:sz w:val="20"/>
              </w:rPr>
            </w:pPr>
            <w:r>
              <w:rPr>
                <w:rFonts w:ascii="Arial" w:hAnsi="Arial"/>
                <w:sz w:val="20"/>
              </w:rPr>
              <w:t xml:space="preserve">4/4/2015 </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023B5F">
            <w:pPr>
              <w:rPr>
                <w:rFonts w:ascii="Arial" w:hAnsi="Arial"/>
                <w:sz w:val="20"/>
              </w:rPr>
            </w:pPr>
            <w:r>
              <w:rPr>
                <w:rFonts w:ascii="Arial" w:hAnsi="Arial"/>
                <w:sz w:val="20"/>
              </w:rPr>
              <w:t>Re-numbered from MC 805</w:t>
            </w: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Height w:val="255"/>
        </w:trPr>
        <w:tc>
          <w:tcPr>
            <w:tcW w:w="1792" w:type="dxa"/>
            <w:vMerge w:val="restart"/>
            <w:tcBorders>
              <w:top w:val="nil"/>
              <w:left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9453FF">
            <w:pPr>
              <w:rPr>
                <w:rFonts w:ascii="Arial" w:hAnsi="Arial"/>
                <w:sz w:val="20"/>
              </w:rPr>
            </w:pPr>
            <w:r>
              <w:rPr>
                <w:rFonts w:ascii="Arial" w:hAnsi="Arial"/>
                <w:sz w:val="20"/>
              </w:rPr>
              <w:t>2</w:t>
            </w:r>
          </w:p>
        </w:tc>
        <w:tc>
          <w:tcPr>
            <w:tcW w:w="2702" w:type="dxa"/>
            <w:tcBorders>
              <w:top w:val="single" w:sz="4" w:space="0" w:color="auto"/>
              <w:left w:val="single" w:sz="4" w:space="0" w:color="auto"/>
              <w:bottom w:val="single" w:sz="4" w:space="0" w:color="auto"/>
              <w:right w:val="single" w:sz="4" w:space="0" w:color="auto"/>
            </w:tcBorders>
          </w:tcPr>
          <w:p w:rsidR="007B619D" w:rsidRDefault="009453FF">
            <w:pPr>
              <w:rPr>
                <w:rFonts w:ascii="Arial" w:hAnsi="Arial"/>
                <w:sz w:val="20"/>
              </w:rPr>
            </w:pPr>
            <w:r>
              <w:rPr>
                <w:rFonts w:ascii="Arial" w:hAnsi="Arial"/>
                <w:sz w:val="20"/>
              </w:rPr>
              <w:t xml:space="preserve">Susan </w:t>
            </w:r>
            <w:proofErr w:type="spellStart"/>
            <w:r>
              <w:rPr>
                <w:rFonts w:ascii="Arial" w:hAnsi="Arial"/>
                <w:sz w:val="20"/>
              </w:rPr>
              <w:t>DeMeyere</w:t>
            </w:r>
            <w:proofErr w:type="spellEnd"/>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9453FF">
            <w:pPr>
              <w:rPr>
                <w:rFonts w:ascii="Arial" w:hAnsi="Arial"/>
                <w:sz w:val="20"/>
              </w:rPr>
            </w:pPr>
            <w:r>
              <w:rPr>
                <w:rFonts w:ascii="Arial" w:hAnsi="Arial"/>
                <w:sz w:val="20"/>
              </w:rPr>
              <w:t>8/8/2017</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9453FF">
            <w:pPr>
              <w:rPr>
                <w:rFonts w:ascii="Arial" w:hAnsi="Arial"/>
                <w:bCs/>
                <w:sz w:val="20"/>
              </w:rPr>
            </w:pPr>
            <w:r>
              <w:rPr>
                <w:rFonts w:ascii="Arial" w:hAnsi="Arial"/>
                <w:bCs/>
                <w:sz w:val="20"/>
              </w:rPr>
              <w:t>Update logo</w:t>
            </w:r>
          </w:p>
        </w:tc>
        <w:tc>
          <w:tcPr>
            <w:tcW w:w="2696" w:type="dxa"/>
          </w:tcPr>
          <w:p w:rsidR="007B619D" w:rsidRDefault="007B619D">
            <w:pPr>
              <w:jc w:val="left"/>
              <w:rPr>
                <w:rFonts w:ascii="Arial" w:hAnsi="Arial"/>
                <w:sz w:val="20"/>
              </w:rPr>
            </w:pPr>
          </w:p>
        </w:tc>
        <w:tc>
          <w:tcPr>
            <w:tcW w:w="2696" w:type="dxa"/>
          </w:tcPr>
          <w:p w:rsidR="007B619D" w:rsidRDefault="007B619D">
            <w:pPr>
              <w:jc w:val="left"/>
              <w:rPr>
                <w:rFonts w:ascii="Arial" w:hAnsi="Arial"/>
                <w:sz w:val="20"/>
              </w:rPr>
            </w:pP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172"/>
        </w:trPr>
        <w:tc>
          <w:tcPr>
            <w:tcW w:w="1792" w:type="dxa"/>
            <w:vMerge/>
            <w:tcBorders>
              <w:left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p>
        </w:tc>
        <w:tc>
          <w:tcPr>
            <w:tcW w:w="2702" w:type="dxa"/>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7B619D">
            <w:pPr>
              <w:rPr>
                <w:rFonts w:ascii="Arial" w:hAnsi="Arial"/>
                <w:sz w:val="20"/>
              </w:rPr>
            </w:pPr>
          </w:p>
        </w:tc>
      </w:tr>
      <w:tr w:rsidR="007B619D">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gridAfter w:val="2"/>
          <w:wAfter w:w="5392" w:type="dxa"/>
          <w:cantSplit/>
          <w:trHeight w:val="277"/>
        </w:trPr>
        <w:tc>
          <w:tcPr>
            <w:tcW w:w="1792" w:type="dxa"/>
            <w:vMerge/>
            <w:tcBorders>
              <w:left w:val="nil"/>
              <w:bottom w:val="nil"/>
              <w:right w:val="single" w:sz="4" w:space="0" w:color="auto"/>
            </w:tcBorders>
          </w:tcPr>
          <w:p w:rsidR="007B619D" w:rsidRDefault="007B619D">
            <w:pPr>
              <w:rPr>
                <w:rFonts w:ascii="Arial" w:hAnsi="Arial"/>
                <w:b/>
                <w:color w:val="0000FF"/>
                <w:sz w:val="20"/>
              </w:rPr>
            </w:pPr>
          </w:p>
        </w:tc>
        <w:tc>
          <w:tcPr>
            <w:tcW w:w="1442" w:type="dxa"/>
            <w:tcBorders>
              <w:top w:val="single" w:sz="4" w:space="0" w:color="auto"/>
              <w:left w:val="single" w:sz="4" w:space="0" w:color="auto"/>
              <w:bottom w:val="single" w:sz="4" w:space="0" w:color="auto"/>
              <w:right w:val="single" w:sz="4" w:space="0" w:color="auto"/>
            </w:tcBorders>
          </w:tcPr>
          <w:p w:rsidR="007B619D" w:rsidRDefault="007B619D">
            <w:pPr>
              <w:jc w:val="left"/>
              <w:rPr>
                <w:rFonts w:ascii="Arial" w:hAnsi="Arial"/>
                <w:b/>
                <w:sz w:val="20"/>
              </w:rPr>
            </w:pPr>
            <w:r>
              <w:rPr>
                <w:rFonts w:ascii="Arial" w:hAnsi="Arial"/>
                <w:b/>
                <w:sz w:val="20"/>
              </w:rPr>
              <w:t>Archived by:</w:t>
            </w:r>
          </w:p>
        </w:tc>
        <w:tc>
          <w:tcPr>
            <w:tcW w:w="2702" w:type="dxa"/>
            <w:tcBorders>
              <w:top w:val="single" w:sz="4" w:space="0" w:color="auto"/>
              <w:left w:val="single" w:sz="4" w:space="0" w:color="auto"/>
              <w:bottom w:val="single" w:sz="4" w:space="0" w:color="auto"/>
              <w:right w:val="single" w:sz="4" w:space="0" w:color="auto"/>
            </w:tcBorders>
          </w:tcPr>
          <w:p w:rsidR="007B619D" w:rsidRDefault="007B619D">
            <w:pPr>
              <w:jc w:val="left"/>
              <w:rPr>
                <w:rFonts w:ascii="Arial" w:hAnsi="Arial"/>
                <w:sz w:val="20"/>
              </w:rPr>
            </w:pPr>
          </w:p>
        </w:tc>
        <w:tc>
          <w:tcPr>
            <w:tcW w:w="1803" w:type="dxa"/>
            <w:gridSpan w:val="3"/>
            <w:tcBorders>
              <w:top w:val="single" w:sz="4" w:space="0" w:color="auto"/>
              <w:left w:val="single" w:sz="4" w:space="0" w:color="auto"/>
              <w:bottom w:val="single" w:sz="4" w:space="0" w:color="auto"/>
              <w:right w:val="single" w:sz="4" w:space="0" w:color="auto"/>
            </w:tcBorders>
          </w:tcPr>
          <w:p w:rsidR="007B619D" w:rsidRDefault="007B619D">
            <w:pPr>
              <w:jc w:val="left"/>
              <w:rPr>
                <w:rFonts w:ascii="Arial" w:hAnsi="Arial"/>
                <w:b/>
                <w:sz w:val="20"/>
              </w:rPr>
            </w:pPr>
            <w:r>
              <w:rPr>
                <w:rFonts w:ascii="Arial" w:hAnsi="Arial"/>
                <w:b/>
                <w:sz w:val="20"/>
              </w:rPr>
              <w:t>Archived Date:</w:t>
            </w:r>
          </w:p>
        </w:tc>
        <w:tc>
          <w:tcPr>
            <w:tcW w:w="3429" w:type="dxa"/>
            <w:gridSpan w:val="2"/>
            <w:tcBorders>
              <w:top w:val="single" w:sz="4" w:space="0" w:color="auto"/>
              <w:left w:val="single" w:sz="4" w:space="0" w:color="auto"/>
              <w:bottom w:val="single" w:sz="4" w:space="0" w:color="auto"/>
              <w:right w:val="single" w:sz="4" w:space="0" w:color="auto"/>
            </w:tcBorders>
          </w:tcPr>
          <w:p w:rsidR="007B619D" w:rsidRDefault="007B619D">
            <w:pPr>
              <w:jc w:val="left"/>
              <w:rPr>
                <w:rFonts w:ascii="Arial" w:hAnsi="Arial"/>
                <w:sz w:val="20"/>
              </w:rPr>
            </w:pPr>
          </w:p>
        </w:tc>
      </w:tr>
    </w:tbl>
    <w:p w:rsidR="000A2E6A" w:rsidRDefault="000A2E6A">
      <w:pPr>
        <w:pStyle w:val="Header"/>
        <w:tabs>
          <w:tab w:val="clear" w:pos="4320"/>
          <w:tab w:val="clear" w:pos="8640"/>
        </w:tabs>
        <w:rPr>
          <w:rFonts w:ascii="Arial" w:hAnsi="Arial"/>
        </w:rPr>
      </w:pPr>
    </w:p>
    <w:sectPr w:rsidR="000A2E6A">
      <w:headerReference w:type="default" r:id="rId12"/>
      <w:footerReference w:type="default" r:id="rId13"/>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0F" w:rsidRDefault="0067190F">
      <w:r>
        <w:separator/>
      </w:r>
    </w:p>
  </w:endnote>
  <w:endnote w:type="continuationSeparator" w:id="0">
    <w:p w:rsidR="0067190F" w:rsidRDefault="00671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15" w:rsidRPr="00023B5F" w:rsidRDefault="00B35215" w:rsidP="00023B5F">
    <w:pPr>
      <w:pStyle w:val="Footer"/>
      <w:rPr>
        <w:rFonts w:ascii="Arial" w:hAnsi="Arial" w:cs="Arial"/>
      </w:rPr>
    </w:pPr>
    <w:r w:rsidRPr="00023B5F">
      <w:rPr>
        <w:rFonts w:ascii="Arial" w:hAnsi="Arial" w:cs="Arial"/>
        <w:sz w:val="16"/>
        <w:szCs w:val="16"/>
      </w:rPr>
      <w:t xml:space="preserve">Page </w:t>
    </w:r>
    <w:r w:rsidRPr="00023B5F">
      <w:rPr>
        <w:rFonts w:ascii="Arial" w:hAnsi="Arial" w:cs="Arial"/>
        <w:b/>
        <w:sz w:val="16"/>
        <w:szCs w:val="16"/>
      </w:rPr>
      <w:fldChar w:fldCharType="begin"/>
    </w:r>
    <w:r w:rsidRPr="00023B5F">
      <w:rPr>
        <w:rFonts w:ascii="Arial" w:hAnsi="Arial" w:cs="Arial"/>
        <w:b/>
        <w:sz w:val="16"/>
        <w:szCs w:val="16"/>
      </w:rPr>
      <w:instrText xml:space="preserve"> PAGE </w:instrText>
    </w:r>
    <w:r w:rsidRPr="00023B5F">
      <w:rPr>
        <w:rFonts w:ascii="Arial" w:hAnsi="Arial" w:cs="Arial"/>
        <w:b/>
        <w:sz w:val="16"/>
        <w:szCs w:val="16"/>
      </w:rPr>
      <w:fldChar w:fldCharType="separate"/>
    </w:r>
    <w:r w:rsidR="009453FF">
      <w:rPr>
        <w:rFonts w:ascii="Arial" w:hAnsi="Arial" w:cs="Arial"/>
        <w:b/>
        <w:noProof/>
        <w:sz w:val="16"/>
        <w:szCs w:val="16"/>
      </w:rPr>
      <w:t>1</w:t>
    </w:r>
    <w:r w:rsidRPr="00023B5F">
      <w:rPr>
        <w:rFonts w:ascii="Arial" w:hAnsi="Arial" w:cs="Arial"/>
        <w:b/>
        <w:sz w:val="16"/>
        <w:szCs w:val="16"/>
      </w:rPr>
      <w:fldChar w:fldCharType="end"/>
    </w:r>
    <w:r w:rsidRPr="00023B5F">
      <w:rPr>
        <w:rFonts w:ascii="Arial" w:hAnsi="Arial" w:cs="Arial"/>
        <w:sz w:val="16"/>
        <w:szCs w:val="16"/>
      </w:rPr>
      <w:t xml:space="preserve"> of </w:t>
    </w:r>
    <w:r w:rsidRPr="00023B5F">
      <w:rPr>
        <w:rFonts w:ascii="Arial" w:hAnsi="Arial" w:cs="Arial"/>
        <w:b/>
        <w:sz w:val="16"/>
        <w:szCs w:val="16"/>
      </w:rPr>
      <w:fldChar w:fldCharType="begin"/>
    </w:r>
    <w:r w:rsidRPr="00023B5F">
      <w:rPr>
        <w:rFonts w:ascii="Arial" w:hAnsi="Arial" w:cs="Arial"/>
        <w:b/>
        <w:sz w:val="16"/>
        <w:szCs w:val="16"/>
      </w:rPr>
      <w:instrText xml:space="preserve"> NUMPAGES  </w:instrText>
    </w:r>
    <w:r w:rsidRPr="00023B5F">
      <w:rPr>
        <w:rFonts w:ascii="Arial" w:hAnsi="Arial" w:cs="Arial"/>
        <w:b/>
        <w:sz w:val="16"/>
        <w:szCs w:val="16"/>
      </w:rPr>
      <w:fldChar w:fldCharType="separate"/>
    </w:r>
    <w:r w:rsidR="009453FF">
      <w:rPr>
        <w:rFonts w:ascii="Arial" w:hAnsi="Arial" w:cs="Arial"/>
        <w:b/>
        <w:noProof/>
        <w:sz w:val="16"/>
        <w:szCs w:val="16"/>
      </w:rPr>
      <w:t>2</w:t>
    </w:r>
    <w:r w:rsidRPr="00023B5F">
      <w:rPr>
        <w:rFonts w:ascii="Arial" w:hAnsi="Arial" w:cs="Arial"/>
        <w:b/>
        <w:sz w:val="16"/>
        <w:szCs w:val="16"/>
      </w:rPr>
      <w:fldChar w:fldCharType="end"/>
    </w:r>
  </w:p>
  <w:p w:rsidR="00B35215" w:rsidRPr="00023B5F" w:rsidRDefault="00B35215" w:rsidP="00023B5F">
    <w:pPr>
      <w:pStyle w:val="Footer"/>
      <w:rPr>
        <w:rFonts w:ascii="Arial" w:hAnsi="Arial" w:cs="Arial"/>
        <w:sz w:val="16"/>
        <w:szCs w:val="16"/>
      </w:rPr>
    </w:pPr>
    <w:r w:rsidRPr="00023B5F">
      <w:rPr>
        <w:rFonts w:ascii="Arial" w:hAnsi="Arial" w:cs="Arial"/>
        <w:sz w:val="16"/>
        <w:szCs w:val="16"/>
      </w:rPr>
      <w:t>Children’s Hospitals and Clinics of Minnesota Laboratory, Mpls/St Paul MN</w:t>
    </w:r>
  </w:p>
  <w:p w:rsidR="00B35215" w:rsidRPr="00023B5F" w:rsidRDefault="00B35215" w:rsidP="00023B5F">
    <w:pPr>
      <w:pStyle w:val="Footer"/>
      <w:rPr>
        <w:rFonts w:ascii="Arial" w:hAnsi="Arial" w:cs="Arial"/>
        <w:sz w:val="16"/>
        <w:szCs w:val="16"/>
      </w:rPr>
    </w:pPr>
    <w:r w:rsidRPr="00023B5F">
      <w:rPr>
        <w:rFonts w:ascii="Arial" w:hAnsi="Arial" w:cs="Arial"/>
        <w:sz w:val="16"/>
        <w:szCs w:val="16"/>
      </w:rPr>
      <w:t>Printed copy expires 2359 on day of print</w:t>
    </w:r>
  </w:p>
  <w:p w:rsidR="00B35215" w:rsidRDefault="00B35215">
    <w:pPr>
      <w:ind w:left="-1260" w:right="-1260"/>
      <w:rPr>
        <w:rFonts w:ascii="Arial" w:hAnsi="Arial"/>
        <w:sz w:val="16"/>
      </w:rPr>
    </w:pPr>
    <w:r w:rsidRPr="00023B5F">
      <w:rPr>
        <w:rFonts w:ascii="Arial" w:hAnsi="Arial" w:cs="Arial"/>
        <w:sz w:val="16"/>
      </w:rPr>
      <w:tab/>
    </w:r>
    <w:r w:rsidRPr="00023B5F">
      <w:rPr>
        <w:rFonts w:ascii="Arial" w:hAnsi="Arial" w:cs="Arial"/>
        <w:sz w:val="16"/>
      </w:rPr>
      <w:tab/>
    </w:r>
    <w:r w:rsidRPr="00023B5F">
      <w:rPr>
        <w:rFonts w:ascii="Arial" w:hAnsi="Arial" w:cs="Arial"/>
        <w:sz w:val="16"/>
      </w:rPr>
      <w:tab/>
    </w:r>
    <w:r w:rsidRPr="00023B5F">
      <w:rPr>
        <w:rFonts w:ascii="Arial" w:hAnsi="Arial" w:cs="Arial"/>
        <w:sz w:val="16"/>
      </w:rPr>
      <w:tab/>
    </w:r>
    <w:r w:rsidRPr="00023B5F">
      <w:rPr>
        <w:rFonts w:ascii="Arial" w:hAnsi="Arial" w:cs="Arial"/>
        <w:sz w:val="16"/>
      </w:rPr>
      <w:tab/>
    </w:r>
    <w:r w:rsidRPr="00023B5F">
      <w:rPr>
        <w:rFonts w:ascii="Arial" w:hAnsi="Arial" w:cs="Arial"/>
        <w:sz w:val="16"/>
      </w:rPr>
      <w:tab/>
    </w:r>
    <w:r w:rsidRPr="00023B5F">
      <w:rPr>
        <w:rFonts w:ascii="Arial" w:hAnsi="Arial" w:cs="Arial"/>
        <w:sz w:val="16"/>
      </w:rPr>
      <w:tab/>
    </w:r>
    <w:r>
      <w:rPr>
        <w:rFonts w:ascii="Arial" w:hAnsi="Arial"/>
        <w:sz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0F" w:rsidRDefault="0067190F">
      <w:r>
        <w:separator/>
      </w:r>
    </w:p>
  </w:footnote>
  <w:footnote w:type="continuationSeparator" w:id="0">
    <w:p w:rsidR="0067190F" w:rsidRDefault="00671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15" w:rsidRDefault="00B35215" w:rsidP="000A2E6A">
    <w:pPr>
      <w:ind w:left="-1260" w:right="-1260"/>
      <w:rPr>
        <w:rFonts w:ascii="Arial" w:hAnsi="Arial"/>
        <w:sz w:val="18"/>
      </w:rPr>
    </w:pPr>
    <w:r>
      <w:rPr>
        <w:rFonts w:ascii="Arial" w:hAnsi="Arial"/>
        <w:sz w:val="18"/>
      </w:rPr>
      <w:t xml:space="preserve">MCVI 6.2 </w:t>
    </w:r>
    <w:r w:rsidRPr="00023B5F">
      <w:rPr>
        <w:rFonts w:ascii="Arial" w:hAnsi="Arial"/>
        <w:sz w:val="18"/>
      </w:rPr>
      <w:t>Anaerobe Jar-Pack-Anaero Gas Generator System</w:t>
    </w:r>
  </w:p>
  <w:p w:rsidR="00B35215" w:rsidRPr="00023B5F" w:rsidRDefault="00B35215" w:rsidP="000A2E6A">
    <w:pPr>
      <w:ind w:left="-1260" w:right="-1260"/>
      <w:rPr>
        <w:rFonts w:ascii="Arial" w:hAnsi="Arial"/>
        <w:sz w:val="18"/>
      </w:rPr>
    </w:pPr>
    <w:r>
      <w:rPr>
        <w:rFonts w:ascii="Arial" w:hAnsi="Arial"/>
        <w:sz w:val="18"/>
      </w:rPr>
      <w:t>Version 2</w:t>
    </w:r>
    <w:r w:rsidRPr="00023B5F">
      <w:rPr>
        <w:rFonts w:ascii="Arial" w:hAnsi="Arial"/>
        <w:sz w:val="18"/>
      </w:rPr>
      <w:tab/>
    </w:r>
    <w:r w:rsidRPr="00023B5F">
      <w:rPr>
        <w:rFonts w:ascii="Arial" w:hAnsi="Arial"/>
        <w:sz w:val="18"/>
      </w:rPr>
      <w:tab/>
    </w:r>
    <w:r w:rsidRPr="00023B5F">
      <w:rPr>
        <w:rFonts w:ascii="Arial" w:hAnsi="Arial"/>
        <w:sz w:val="18"/>
      </w:rPr>
      <w:tab/>
    </w:r>
    <w:r w:rsidRPr="00023B5F">
      <w:rPr>
        <w:rFonts w:ascii="Arial" w:hAnsi="Arial"/>
        <w:sz w:val="18"/>
      </w:rPr>
      <w:tab/>
    </w:r>
    <w:r w:rsidRPr="00023B5F">
      <w:rPr>
        <w:rFonts w:ascii="Arial" w:hAnsi="Arial"/>
        <w:sz w:val="18"/>
      </w:rPr>
      <w:tab/>
    </w:r>
    <w:r w:rsidRPr="00023B5F">
      <w:rPr>
        <w:rFonts w:ascii="Arial" w:hAnsi="Arial"/>
        <w:sz w:val="18"/>
      </w:rPr>
      <w:tab/>
    </w:r>
    <w:r w:rsidRPr="00023B5F">
      <w:rPr>
        <w:rFonts w:ascii="Arial" w:hAnsi="Arial"/>
        <w:sz w:val="18"/>
      </w:rPr>
      <w:tab/>
    </w:r>
    <w:r w:rsidRPr="00023B5F">
      <w:rPr>
        <w:rFonts w:ascii="Arial" w:hAnsi="Arial"/>
        <w:sz w:val="18"/>
      </w:rPr>
      <w:tab/>
      <w:t xml:space="preserve">           </w:t>
    </w:r>
    <w:r w:rsidR="009453FF">
      <w:rPr>
        <w:rFonts w:ascii="Arial" w:hAnsi="Arial"/>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Childrens_MN_2015_logo_RGB_of_PMS280-PMS2925_800x257" style="position:absolute;left:0;text-align:left;margin-left:390.75pt;margin-top:17.25pt;width:126pt;height:40.5pt;z-index:251659264;visibility:visible;mso-wrap-style:square;mso-wrap-distance-left:9pt;mso-wrap-distance-top:0;mso-wrap-distance-right:9pt;mso-wrap-distance-bottom:0;mso-position-horizontal:absolute;mso-position-horizontal-relative:text;mso-position-vertical:absolute;mso-position-vertical-relative:page" o:allowincell="f">
          <v:imagedata r:id="rId1" o:title="Childrens_MN_2015_logo_RGB_of_PMS280-PMS2925_800x257"/>
          <w10:wrap anchory="page"/>
        </v:shape>
      </w:pict>
    </w:r>
  </w:p>
  <w:p w:rsidR="00B35215" w:rsidRDefault="009453FF">
    <w:pPr>
      <w:ind w:left="-1260" w:right="-1260"/>
      <w:rPr>
        <w:rFonts w:ascii="Arial" w:hAnsi="Arial"/>
        <w:sz w:val="18"/>
      </w:rPr>
    </w:pPr>
    <w:r>
      <w:rPr>
        <w:rFonts w:ascii="Arial" w:hAnsi="Arial"/>
        <w:sz w:val="18"/>
      </w:rPr>
      <w:t>Effective Date: 8/8/2017</w:t>
    </w:r>
  </w:p>
  <w:p w:rsidR="00B35215" w:rsidRDefault="00B35215">
    <w:pPr>
      <w:pStyle w:val="Header"/>
      <w:tabs>
        <w:tab w:val="clear" w:pos="8640"/>
        <w:tab w:val="right" w:pos="9900"/>
      </w:tabs>
      <w:ind w:left="-1260"/>
      <w:jc w:val="center"/>
      <w:rPr>
        <w:b/>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15DC44FC"/>
    <w:multiLevelType w:val="hybridMultilevel"/>
    <w:tmpl w:val="7590A9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F22E6F"/>
    <w:multiLevelType w:val="hybridMultilevel"/>
    <w:tmpl w:val="30C4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91956"/>
    <w:multiLevelType w:val="hybridMultilevel"/>
    <w:tmpl w:val="75BC23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95017"/>
    <w:multiLevelType w:val="hybridMultilevel"/>
    <w:tmpl w:val="A13C1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54404CE"/>
    <w:multiLevelType w:val="hybridMultilevel"/>
    <w:tmpl w:val="A7CCA8AC"/>
    <w:lvl w:ilvl="0" w:tplc="0E1450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408747B"/>
    <w:multiLevelType w:val="hybridMultilevel"/>
    <w:tmpl w:val="D56625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67D5476"/>
    <w:multiLevelType w:val="hybridMultilevel"/>
    <w:tmpl w:val="F8A45C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7837C32"/>
    <w:multiLevelType w:val="singleLevel"/>
    <w:tmpl w:val="04090015"/>
    <w:lvl w:ilvl="0">
      <w:start w:val="1"/>
      <w:numFmt w:val="upperLetter"/>
      <w:lvlText w:val="%1."/>
      <w:lvlJc w:val="left"/>
      <w:pPr>
        <w:tabs>
          <w:tab w:val="num" w:pos="360"/>
        </w:tabs>
        <w:ind w:left="360" w:hanging="360"/>
      </w:pPr>
    </w:lvl>
  </w:abstractNum>
  <w:abstractNum w:abstractNumId="10">
    <w:nsid w:val="594D320D"/>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1">
    <w:nsid w:val="77FF37B4"/>
    <w:multiLevelType w:val="hybridMultilevel"/>
    <w:tmpl w:val="4CC0C1C0"/>
    <w:lvl w:ilvl="0" w:tplc="F0C2C614">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DDA607F"/>
    <w:multiLevelType w:val="hybridMultilevel"/>
    <w:tmpl w:val="7C8C882E"/>
    <w:lvl w:ilvl="0" w:tplc="D256CE6E">
      <w:start w:val="1"/>
      <w:numFmt w:val="bullet"/>
      <w:lvlText w:val=""/>
      <w:lvlJc w:val="left"/>
      <w:pPr>
        <w:tabs>
          <w:tab w:val="num" w:pos="360"/>
        </w:tabs>
        <w:ind w:left="144" w:hanging="144"/>
      </w:pPr>
      <w:rPr>
        <w:rFonts w:ascii="Symbol" w:hAnsi="Symbol" w:hint="default"/>
      </w:rPr>
    </w:lvl>
    <w:lvl w:ilvl="1" w:tplc="D0B8AD82">
      <w:start w:val="1"/>
      <w:numFmt w:val="bullet"/>
      <w:lvlText w:val=""/>
      <w:lvlJc w:val="left"/>
      <w:pPr>
        <w:tabs>
          <w:tab w:val="num" w:pos="504"/>
        </w:tabs>
        <w:ind w:left="288" w:hanging="144"/>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12"/>
  </w:num>
  <w:num w:numId="5">
    <w:abstractNumId w:val="2"/>
  </w:num>
  <w:num w:numId="6">
    <w:abstractNumId w:val="11"/>
  </w:num>
  <w:num w:numId="7">
    <w:abstractNumId w:val="5"/>
  </w:num>
  <w:num w:numId="8">
    <w:abstractNumId w:val="7"/>
  </w:num>
  <w:num w:numId="9">
    <w:abstractNumId w:val="6"/>
  </w:num>
  <w:num w:numId="10">
    <w:abstractNumId w:val="8"/>
  </w:num>
  <w:num w:numId="11">
    <w:abstractNumId w:val="3"/>
  </w:num>
  <w:num w:numId="12">
    <w:abstractNumId w:val="9"/>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3F09"/>
    <w:rsid w:val="00023B5F"/>
    <w:rsid w:val="000A1576"/>
    <w:rsid w:val="000A2E6A"/>
    <w:rsid w:val="00104DBB"/>
    <w:rsid w:val="002B09FE"/>
    <w:rsid w:val="005C29B4"/>
    <w:rsid w:val="0067190F"/>
    <w:rsid w:val="0072264F"/>
    <w:rsid w:val="007B619D"/>
    <w:rsid w:val="009453FF"/>
    <w:rsid w:val="00A324F5"/>
    <w:rsid w:val="00A63F09"/>
    <w:rsid w:val="00B35215"/>
    <w:rsid w:val="00D87BF2"/>
    <w:rsid w:val="00DE61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szCs w:val="24"/>
    </w:rPr>
  </w:style>
  <w:style w:type="paragraph" w:styleId="Heading1">
    <w:name w:val="heading 1"/>
    <w:basedOn w:val="Normal"/>
    <w:next w:val="Normal"/>
    <w:qFormat/>
    <w:pPr>
      <w:keepNext/>
      <w:numPr>
        <w:numId w:val="1"/>
      </w:numPr>
      <w:outlineLvl w:val="0"/>
    </w:pPr>
    <w:rPr>
      <w:rFonts w:cs="Arial"/>
      <w:b/>
      <w:bCs/>
      <w:kern w:val="32"/>
      <w:sz w:val="26"/>
      <w:szCs w:val="32"/>
    </w:rPr>
  </w:style>
  <w:style w:type="paragraph" w:styleId="Heading2">
    <w:name w:val="heading 2"/>
    <w:basedOn w:val="Normal"/>
    <w:next w:val="Normal"/>
    <w:qFormat/>
    <w:pPr>
      <w:keepNext/>
      <w:numPr>
        <w:ilvl w:val="1"/>
        <w:numId w:val="1"/>
      </w:numPr>
      <w:outlineLvl w:val="1"/>
    </w:pPr>
    <w:rPr>
      <w:rFonts w:cs="Arial"/>
      <w:b/>
      <w:bCs/>
      <w:iCs/>
      <w:sz w:val="24"/>
      <w:szCs w:val="28"/>
    </w:rPr>
  </w:style>
  <w:style w:type="paragraph" w:styleId="Heading3">
    <w:name w:val="heading 3"/>
    <w:basedOn w:val="Normal"/>
    <w:next w:val="Normal"/>
    <w:qFormat/>
    <w:pPr>
      <w:keepNext/>
      <w:numPr>
        <w:ilvl w:val="2"/>
        <w:numId w:val="1"/>
      </w:numPr>
      <w:outlineLvl w:val="2"/>
    </w:pPr>
    <w:rPr>
      <w:rFonts w:cs="Arial"/>
      <w:b/>
      <w:bCs/>
      <w:szCs w:val="26"/>
    </w:rPr>
  </w:style>
  <w:style w:type="paragraph" w:styleId="Heading4">
    <w:name w:val="heading 4"/>
    <w:aliases w:val="Map Title"/>
    <w:basedOn w:val="Normal"/>
    <w:next w:val="Normal"/>
    <w:qFormat/>
    <w:pPr>
      <w:keepNext/>
      <w:numPr>
        <w:ilvl w:val="3"/>
        <w:numId w:val="1"/>
      </w:numPr>
      <w:outlineLvl w:val="3"/>
    </w:pPr>
    <w:rPr>
      <w:bCs/>
      <w:szCs w:val="28"/>
    </w:rPr>
  </w:style>
  <w:style w:type="paragraph" w:styleId="Heading5">
    <w:name w:val="heading 5"/>
    <w:aliases w:val="Block Label"/>
    <w:basedOn w:val="Normal"/>
    <w:next w:val="Normal"/>
    <w:qFormat/>
    <w:pPr>
      <w:keepNext/>
      <w:numPr>
        <w:ilvl w:val="4"/>
        <w:numId w:val="1"/>
      </w:numPr>
      <w:spacing w:before="20"/>
      <w:outlineLvl w:val="4"/>
    </w:pPr>
  </w:style>
  <w:style w:type="paragraph" w:styleId="Heading6">
    <w:name w:val="heading 6"/>
    <w:basedOn w:val="Normal"/>
    <w:next w:val="Normal"/>
    <w:qFormat/>
    <w:pPr>
      <w:keepNext/>
      <w:numPr>
        <w:ilvl w:val="5"/>
        <w:numId w:val="1"/>
      </w:numPr>
      <w:outlineLvl w:val="5"/>
    </w:pPr>
    <w:rPr>
      <w:b/>
      <w:bCs/>
      <w:sz w:val="18"/>
    </w:rPr>
  </w:style>
  <w:style w:type="paragraph" w:styleId="Heading7">
    <w:name w:val="heading 7"/>
    <w:basedOn w:val="Normal"/>
    <w:next w:val="Normal"/>
    <w:qFormat/>
    <w:pPr>
      <w:keepNext/>
      <w:numPr>
        <w:ilvl w:val="6"/>
        <w:numId w:val="1"/>
      </w:numPr>
      <w:outlineLvl w:val="6"/>
    </w:pPr>
    <w:rPr>
      <w:sz w:val="28"/>
    </w:rPr>
  </w:style>
  <w:style w:type="paragraph" w:styleId="Heading8">
    <w:name w:val="heading 8"/>
    <w:basedOn w:val="Normal"/>
    <w:next w:val="Normal"/>
    <w:qFormat/>
    <w:pPr>
      <w:keepNext/>
      <w:numPr>
        <w:ilvl w:val="7"/>
        <w:numId w:val="1"/>
      </w:numPr>
      <w:jc w:val="center"/>
      <w:outlineLvl w:val="7"/>
    </w:pPr>
    <w:rPr>
      <w:b/>
      <w:bCs/>
    </w:rPr>
  </w:style>
  <w:style w:type="paragraph" w:styleId="Heading9">
    <w:name w:val="heading 9"/>
    <w:basedOn w:val="Normal"/>
    <w:next w:val="Normal"/>
    <w:qFormat/>
    <w:pPr>
      <w:keepNext/>
      <w:numPr>
        <w:ilvl w:val="8"/>
        <w:numId w:val="1"/>
      </w:numPr>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iCs/>
      <w:color w:val="000000"/>
    </w:rPr>
  </w:style>
  <w:style w:type="paragraph" w:styleId="Header">
    <w:name w:val="header"/>
    <w:basedOn w:val="Normal"/>
    <w:pPr>
      <w:tabs>
        <w:tab w:val="center" w:pos="4320"/>
        <w:tab w:val="right" w:pos="8640"/>
      </w:tabs>
    </w:pPr>
  </w:style>
  <w:style w:type="paragraph" w:styleId="List">
    <w:name w:val="List"/>
    <w:basedOn w:val="Normal"/>
    <w:pPr>
      <w:ind w:left="360" w:hanging="360"/>
    </w:pPr>
  </w:style>
  <w:style w:type="paragraph" w:styleId="Title">
    <w:name w:val="Title"/>
    <w:basedOn w:val="Normal"/>
    <w:qFormat/>
    <w:pPr>
      <w:spacing w:before="240" w:after="60"/>
      <w:jc w:val="center"/>
    </w:pPr>
    <w:rPr>
      <w:rFonts w:cs="Arial"/>
      <w:b/>
      <w:bCs/>
      <w:kern w:val="28"/>
      <w:sz w:val="28"/>
      <w:szCs w:val="32"/>
    </w:rPr>
  </w:style>
  <w:style w:type="paragraph" w:styleId="BodyText2">
    <w:name w:val="Body Text 2"/>
    <w:basedOn w:val="Normal"/>
    <w:pPr>
      <w:jc w:val="left"/>
    </w:pPr>
    <w:rPr>
      <w:b/>
      <w:bCs/>
      <w:color w:val="0000FF"/>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sz w:val="18"/>
      <w:vertAlign w:val="superscript"/>
    </w:rPr>
  </w:style>
  <w:style w:type="paragraph" w:customStyle="1" w:styleId="Heading">
    <w:name w:val="Heading"/>
    <w:basedOn w:val="Heading1"/>
    <w:next w:val="Normal"/>
    <w:pPr>
      <w:numPr>
        <w:numId w:val="0"/>
      </w:numPr>
    </w:pPr>
  </w:style>
  <w:style w:type="paragraph" w:customStyle="1" w:styleId="TableText">
    <w:name w:val="Table Text"/>
    <w:basedOn w:val="Normal"/>
    <w:pPr>
      <w:autoSpaceDE w:val="0"/>
      <w:autoSpaceDN w:val="0"/>
      <w:jc w:val="left"/>
    </w:pPr>
    <w:rPr>
      <w:sz w:val="20"/>
    </w:rPr>
  </w:style>
  <w:style w:type="paragraph" w:customStyle="1" w:styleId="TableHeaderText">
    <w:name w:val="Table Header Text"/>
    <w:basedOn w:val="TableText"/>
    <w:pPr>
      <w:jc w:val="center"/>
    </w:pPr>
    <w:rPr>
      <w:b/>
      <w:bCs/>
    </w:rPr>
  </w:style>
  <w:style w:type="paragraph" w:styleId="BodyText3">
    <w:name w:val="Body Text 3"/>
    <w:basedOn w:val="Normal"/>
    <w:rPr>
      <w:b/>
      <w:color w:val="0000FF"/>
    </w:rPr>
  </w:style>
  <w:style w:type="paragraph" w:styleId="BodyTextIndent">
    <w:name w:val="Body Text Indent"/>
    <w:basedOn w:val="Normal"/>
    <w:pPr>
      <w:autoSpaceDE w:val="0"/>
      <w:autoSpaceDN w:val="0"/>
      <w:adjustRightInd w:val="0"/>
      <w:ind w:left="720" w:hanging="720"/>
      <w:jc w:val="left"/>
    </w:pPr>
    <w:rPr>
      <w:rFonts w:ascii="Arial" w:hAnsi="Arial" w:cs="Arial"/>
      <w:color w:val="000000"/>
      <w:sz w:val="24"/>
      <w:szCs w:val="14"/>
    </w:rPr>
  </w:style>
  <w:style w:type="paragraph" w:customStyle="1" w:styleId="Custom">
    <w:name w:val="Custom"/>
    <w:basedOn w:val="Normal"/>
    <w:rPr>
      <w:rFonts w:ascii="Arial" w:hAnsi="Arial" w:cs="Arial"/>
      <w:sz w:val="24"/>
    </w:rPr>
  </w:style>
  <w:style w:type="paragraph" w:customStyle="1" w:styleId="Custom2">
    <w:name w:val="Custom 2"/>
    <w:basedOn w:val="Normal"/>
    <w:pPr>
      <w:jc w:val="left"/>
    </w:pPr>
    <w:rPr>
      <w:rFonts w:ascii="Arial" w:hAnsi="Arial" w:cs="Arial"/>
      <w:b/>
      <w:bCs/>
      <w:color w:val="0000FF"/>
      <w:sz w:val="20"/>
    </w:rPr>
  </w:style>
  <w:style w:type="paragraph" w:customStyle="1" w:styleId="Custom3">
    <w:name w:val="Custom 3"/>
    <w:basedOn w:val="Normal"/>
    <w:rPr>
      <w:rFonts w:ascii="Arial" w:hAnsi="Arial"/>
      <w:b/>
      <w:color w:val="0000FF"/>
      <w:sz w:val="36"/>
    </w:rPr>
  </w:style>
  <w:style w:type="paragraph" w:styleId="BodyTextIndent2">
    <w:name w:val="Body Text Indent 2"/>
    <w:basedOn w:val="Normal"/>
    <w:pPr>
      <w:autoSpaceDE w:val="0"/>
      <w:autoSpaceDN w:val="0"/>
      <w:adjustRightInd w:val="0"/>
      <w:ind w:left="450"/>
      <w:jc w:val="left"/>
    </w:pPr>
    <w:rPr>
      <w:rFonts w:ascii="Arial" w:hAnsi="Arial" w:cs="Arial"/>
      <w:color w:val="000000"/>
      <w:sz w:val="20"/>
      <w:szCs w:val="1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FooterChar">
    <w:name w:val="Footer Char"/>
    <w:basedOn w:val="DefaultParagraphFont"/>
    <w:link w:val="Footer"/>
    <w:uiPriority w:val="99"/>
    <w:rsid w:val="00023B5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LAB\Micro%20Procedure%20Manuals\MC%20200%20%20%20%20Safety\MC%20202%20Safety%20in%20the%20Microbiology%20Lab%20Policy%20R.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LAB\Micro%20Procedure%20Manuals\MC%20200%20%20%20%20Safety\MC%20201%20%20%20Biohazard%20Containment%20R.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G:\LAB\Micro%20Procedure%20Manuals\MC%20200%20%20%20%20Safety\MC%20204%20Biohazardous%20Spills%20R.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uality\Lab%20QM%20Drafts\Document%20Templates\Current%20Drafts\Analytic%20Procedure%20Draft%202%20Version%20072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Analytic Procedure Draft 2 Version 072308.dot</Template>
  <TotalTime>1</TotalTime>
  <Pages>2</Pages>
  <Words>706</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4812</CharactersWithSpaces>
  <SharedDoc>false</SharedDoc>
  <HLinks>
    <vt:vector size="18" baseType="variant">
      <vt:variant>
        <vt:i4>7602278</vt:i4>
      </vt:variant>
      <vt:variant>
        <vt:i4>6</vt:i4>
      </vt:variant>
      <vt:variant>
        <vt:i4>0</vt:i4>
      </vt:variant>
      <vt:variant>
        <vt:i4>5</vt:i4>
      </vt:variant>
      <vt:variant>
        <vt:lpwstr>\\kidsnet.childrenshc.org\chcdfs\dept\LAB\Micro Procedure Manuals\MC 200    Safety\MC 204 Biohazardous Spills R.docx</vt:lpwstr>
      </vt:variant>
      <vt:variant>
        <vt:lpwstr/>
      </vt:variant>
      <vt:variant>
        <vt:i4>1703952</vt:i4>
      </vt:variant>
      <vt:variant>
        <vt:i4>3</vt:i4>
      </vt:variant>
      <vt:variant>
        <vt:i4>0</vt:i4>
      </vt:variant>
      <vt:variant>
        <vt:i4>5</vt:i4>
      </vt:variant>
      <vt:variant>
        <vt:lpwstr>\\kidsnet.childrenshc.org\chcdfs\dept\LAB\Micro Procedure Manuals\MC 200    Safety\MC 202 Safety in the Microbiology Lab Policy R.docx</vt:lpwstr>
      </vt:variant>
      <vt:variant>
        <vt:lpwstr/>
      </vt:variant>
      <vt:variant>
        <vt:i4>1507337</vt:i4>
      </vt:variant>
      <vt:variant>
        <vt:i4>0</vt:i4>
      </vt:variant>
      <vt:variant>
        <vt:i4>0</vt:i4>
      </vt:variant>
      <vt:variant>
        <vt:i4>5</vt:i4>
      </vt:variant>
      <vt:variant>
        <vt:lpwstr>\\kidsnet.childrenshc.org\chcdfs\dept\LAB\Micro Procedure Manuals\MC 200    Safety\MC 201   Biohazard Containment R.doc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CE139279</dc:creator>
  <cp:lastModifiedBy>Susan DeMeyere</cp:lastModifiedBy>
  <cp:revision>2</cp:revision>
  <cp:lastPrinted>2014-07-28T19:22:00Z</cp:lastPrinted>
  <dcterms:created xsi:type="dcterms:W3CDTF">2017-08-08T13:28:00Z</dcterms:created>
  <dcterms:modified xsi:type="dcterms:W3CDTF">2017-08-08T13:28:00Z</dcterms:modified>
</cp:coreProperties>
</file>