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Layout w:type="fixed"/>
        <w:tblLook w:val="0000"/>
      </w:tblPr>
      <w:tblGrid>
        <w:gridCol w:w="1800"/>
        <w:gridCol w:w="9360"/>
      </w:tblGrid>
      <w:tr w:rsidR="00B00268">
        <w:trPr>
          <w:cantSplit/>
          <w:tblHeader/>
        </w:trPr>
        <w:tc>
          <w:tcPr>
            <w:tcW w:w="11160" w:type="dxa"/>
            <w:gridSpan w:val="2"/>
          </w:tcPr>
          <w:p w:rsidR="00B00268" w:rsidRDefault="00B00268">
            <w:pPr>
              <w:pStyle w:val="Header"/>
              <w:tabs>
                <w:tab w:val="clear" w:pos="4320"/>
                <w:tab w:val="clear" w:pos="8640"/>
                <w:tab w:val="left" w:pos="11520"/>
              </w:tabs>
              <w:jc w:val="both"/>
              <w:rPr>
                <w:rFonts w:cs="Arial"/>
                <w:b/>
                <w:bCs/>
                <w:color w:val="0000FF"/>
                <w:sz w:val="36"/>
              </w:rPr>
            </w:pPr>
            <w:r>
              <w:rPr>
                <w:rFonts w:cs="Arial"/>
                <w:b/>
                <w:bCs/>
                <w:color w:val="0000FF"/>
                <w:sz w:val="36"/>
              </w:rPr>
              <w:t>Phosphorus in Plasma/Serum or Urine</w:t>
            </w:r>
          </w:p>
          <w:p w:rsidR="00B00268" w:rsidRDefault="00B00268">
            <w:pPr>
              <w:pStyle w:val="Header"/>
              <w:tabs>
                <w:tab w:val="clear" w:pos="4320"/>
                <w:tab w:val="clear" w:pos="8640"/>
                <w:tab w:val="left" w:pos="11520"/>
              </w:tabs>
              <w:jc w:val="both"/>
              <w:rPr>
                <w:rFonts w:cs="Arial"/>
                <w:color w:val="0000FF"/>
              </w:rPr>
            </w:pPr>
          </w:p>
        </w:tc>
      </w:tr>
      <w:tr w:rsidR="00B00268" w:rsidTr="00725C69">
        <w:trPr>
          <w:trHeight w:val="999"/>
          <w:tblHeader/>
        </w:trPr>
        <w:tc>
          <w:tcPr>
            <w:tcW w:w="1800" w:type="dxa"/>
            <w:vAlign w:val="center"/>
          </w:tcPr>
          <w:p w:rsidR="00B00268" w:rsidRDefault="00B00268">
            <w:pPr>
              <w:rPr>
                <w:rFonts w:cs="Arial"/>
                <w:b/>
                <w:bCs/>
                <w:color w:val="0000FF"/>
              </w:rPr>
            </w:pPr>
            <w:r>
              <w:rPr>
                <w:rFonts w:cs="Arial"/>
                <w:b/>
                <w:bCs/>
                <w:color w:val="0000FF"/>
              </w:rPr>
              <w:t>Purpose</w:t>
            </w:r>
          </w:p>
        </w:tc>
        <w:tc>
          <w:tcPr>
            <w:tcW w:w="9360" w:type="dxa"/>
            <w:tcBorders>
              <w:top w:val="single" w:sz="18" w:space="0" w:color="A6A6A6"/>
              <w:bottom w:val="single" w:sz="18" w:space="0" w:color="A6A6A6"/>
            </w:tcBorders>
            <w:vAlign w:val="center"/>
          </w:tcPr>
          <w:p w:rsidR="00B00268" w:rsidRPr="0075539C" w:rsidRDefault="00B00268" w:rsidP="0075539C">
            <w:pPr>
              <w:pStyle w:val="BodyText"/>
              <w:jc w:val="both"/>
            </w:pPr>
            <w:r>
              <w:rPr>
                <w:rFonts w:cs="Arial"/>
              </w:rPr>
              <w:t>This procedure provides instructions for performing PHOSPHORUS IN PLASMA/SERUM OR URINE.</w:t>
            </w:r>
            <w:r w:rsidR="00A36920">
              <w:t xml:space="preserve"> The PHOS method used on the Dimension® clinical chemistry systems is an </w:t>
            </w:r>
            <w:r w:rsidR="00A36920">
              <w:rPr>
                <w:i/>
              </w:rPr>
              <w:t>in vitro</w:t>
            </w:r>
            <w:r w:rsidR="00A36920">
              <w:t xml:space="preserve"> diagnostic test intended for the quantitative determination of phosphorus in </w:t>
            </w:r>
            <w:r w:rsidR="00A36920">
              <w:rPr>
                <w:b/>
              </w:rPr>
              <w:t>serum</w:t>
            </w:r>
            <w:r w:rsidR="00A36920">
              <w:t xml:space="preserve">, </w:t>
            </w:r>
            <w:r w:rsidR="00A36920">
              <w:rPr>
                <w:b/>
              </w:rPr>
              <w:t>plasma</w:t>
            </w:r>
            <w:r w:rsidR="00A36920">
              <w:t xml:space="preserve"> and </w:t>
            </w:r>
            <w:r w:rsidR="00A36920">
              <w:rPr>
                <w:b/>
              </w:rPr>
              <w:t>urine</w:t>
            </w:r>
            <w:r w:rsidR="00A36920">
              <w:t>.</w:t>
            </w:r>
          </w:p>
        </w:tc>
      </w:tr>
      <w:tr w:rsidR="00B00268" w:rsidTr="00725C69">
        <w:trPr>
          <w:trHeight w:val="774"/>
          <w:tblHeader/>
        </w:trPr>
        <w:tc>
          <w:tcPr>
            <w:tcW w:w="1800" w:type="dxa"/>
            <w:vAlign w:val="center"/>
          </w:tcPr>
          <w:p w:rsidR="00B00268" w:rsidRDefault="00B00268">
            <w:pPr>
              <w:rPr>
                <w:rFonts w:cs="Arial"/>
                <w:b/>
                <w:bCs/>
                <w:color w:val="0000FF"/>
              </w:rPr>
            </w:pPr>
            <w:r>
              <w:rPr>
                <w:rFonts w:cs="Arial"/>
                <w:b/>
                <w:bCs/>
                <w:color w:val="0000FF"/>
              </w:rPr>
              <w:t>Policy Statements</w:t>
            </w:r>
          </w:p>
        </w:tc>
        <w:tc>
          <w:tcPr>
            <w:tcW w:w="9360" w:type="dxa"/>
            <w:tcBorders>
              <w:top w:val="single" w:sz="18" w:space="0" w:color="A6A6A6"/>
              <w:bottom w:val="single" w:sz="18" w:space="0" w:color="A6A6A6"/>
            </w:tcBorders>
            <w:vAlign w:val="center"/>
          </w:tcPr>
          <w:p w:rsidR="00B00268" w:rsidRDefault="00B00268" w:rsidP="00417F6E">
            <w:pPr>
              <w:pStyle w:val="BodyText3"/>
              <w:autoSpaceDE w:val="0"/>
              <w:autoSpaceDN w:val="0"/>
              <w:adjustRightInd w:val="0"/>
              <w:rPr>
                <w:sz w:val="20"/>
              </w:rPr>
            </w:pPr>
            <w:r>
              <w:rPr>
                <w:sz w:val="20"/>
              </w:rPr>
              <w:t xml:space="preserve">This procedure applies to all personnel running the </w:t>
            </w:r>
            <w:r w:rsidR="00417F6E">
              <w:rPr>
                <w:sz w:val="20"/>
              </w:rPr>
              <w:t xml:space="preserve">Siemens </w:t>
            </w:r>
            <w:r>
              <w:rPr>
                <w:sz w:val="20"/>
              </w:rPr>
              <w:t xml:space="preserve">Dimension </w:t>
            </w:r>
            <w:r w:rsidR="00417F6E">
              <w:rPr>
                <w:sz w:val="20"/>
              </w:rPr>
              <w:t>Vista</w:t>
            </w:r>
            <w:r w:rsidR="003420F0">
              <w:rPr>
                <w:sz w:val="20"/>
              </w:rPr>
              <w:t xml:space="preserve"> or </w:t>
            </w:r>
            <w:proofErr w:type="spellStart"/>
            <w:r w:rsidR="003420F0">
              <w:rPr>
                <w:sz w:val="20"/>
              </w:rPr>
              <w:t>RxL</w:t>
            </w:r>
            <w:proofErr w:type="spellEnd"/>
            <w:r w:rsidR="003420F0">
              <w:rPr>
                <w:sz w:val="20"/>
              </w:rPr>
              <w:t xml:space="preserve"> MAX</w:t>
            </w:r>
          </w:p>
        </w:tc>
      </w:tr>
      <w:tr w:rsidR="00B00268" w:rsidTr="00725C69">
        <w:trPr>
          <w:trHeight w:val="5184"/>
          <w:tblHeader/>
        </w:trPr>
        <w:tc>
          <w:tcPr>
            <w:tcW w:w="1800" w:type="dxa"/>
          </w:tcPr>
          <w:p w:rsidR="00B00268" w:rsidRDefault="00B00268">
            <w:pPr>
              <w:rPr>
                <w:rFonts w:cs="Arial"/>
                <w:b/>
                <w:bCs/>
                <w:color w:val="0000FF"/>
              </w:rPr>
            </w:pPr>
          </w:p>
          <w:p w:rsidR="00B00268" w:rsidRDefault="00B00268">
            <w:pPr>
              <w:rPr>
                <w:rFonts w:cs="Arial"/>
                <w:b/>
                <w:bCs/>
                <w:color w:val="0000FF"/>
              </w:rPr>
            </w:pPr>
            <w:r>
              <w:rPr>
                <w:rFonts w:cs="Arial"/>
                <w:b/>
                <w:bCs/>
                <w:color w:val="0000FF"/>
              </w:rPr>
              <w:t>Principle</w:t>
            </w:r>
          </w:p>
          <w:p w:rsidR="00B00268" w:rsidRDefault="00B00268">
            <w:pPr>
              <w:pStyle w:val="Header"/>
              <w:tabs>
                <w:tab w:val="clear" w:pos="4320"/>
                <w:tab w:val="clear" w:pos="8640"/>
              </w:tabs>
              <w:rPr>
                <w:rFonts w:cs="Arial"/>
                <w:b/>
                <w:bCs/>
                <w:color w:val="0000FF"/>
              </w:rPr>
            </w:pPr>
          </w:p>
        </w:tc>
        <w:tc>
          <w:tcPr>
            <w:tcW w:w="9360" w:type="dxa"/>
            <w:tcBorders>
              <w:top w:val="single" w:sz="18" w:space="0" w:color="A6A6A6"/>
              <w:bottom w:val="single" w:sz="18" w:space="0" w:color="A6A6A6"/>
            </w:tcBorders>
            <w:vAlign w:val="center"/>
          </w:tcPr>
          <w:p w:rsidR="00A36920" w:rsidRPr="00983A12" w:rsidRDefault="00A36920" w:rsidP="0075539C">
            <w:pPr>
              <w:jc w:val="both"/>
              <w:rPr>
                <w:rFonts w:cs="Arial"/>
                <w:iCs/>
                <w:szCs w:val="20"/>
              </w:rPr>
            </w:pPr>
            <w:r w:rsidRPr="00983A12">
              <w:rPr>
                <w:rFonts w:cs="Arial"/>
                <w:b/>
                <w:color w:val="5F497A"/>
                <w:szCs w:val="20"/>
              </w:rPr>
              <w:t>PRIMARY METHOD:</w:t>
            </w:r>
            <w:r w:rsidRPr="00983A12">
              <w:rPr>
                <w:rFonts w:cs="Arial"/>
                <w:szCs w:val="20"/>
              </w:rPr>
              <w:t xml:space="preserve"> </w:t>
            </w:r>
            <w:r w:rsidRPr="00983A12">
              <w:rPr>
                <w:rFonts w:cs="Arial"/>
                <w:iCs/>
                <w:szCs w:val="20"/>
              </w:rPr>
              <w:t xml:space="preserve">Siemens </w:t>
            </w:r>
            <w:r w:rsidRPr="00983A12">
              <w:rPr>
                <w:rFonts w:cs="Arial"/>
                <w:szCs w:val="20"/>
              </w:rPr>
              <w:t>Dimension Vista® 500 System</w:t>
            </w:r>
          </w:p>
          <w:p w:rsidR="00B00268" w:rsidRPr="00983A12" w:rsidRDefault="00B00268" w:rsidP="0075539C">
            <w:pPr>
              <w:pStyle w:val="BodyText3"/>
              <w:jc w:val="both"/>
              <w:rPr>
                <w:rFonts w:cs="Arial"/>
                <w:sz w:val="20"/>
                <w:szCs w:val="20"/>
              </w:rPr>
            </w:pPr>
          </w:p>
          <w:p w:rsidR="00B00268" w:rsidRPr="00983A12" w:rsidRDefault="00B00268" w:rsidP="0075539C">
            <w:pPr>
              <w:pStyle w:val="BodyText"/>
              <w:spacing w:after="0"/>
              <w:jc w:val="both"/>
              <w:rPr>
                <w:rFonts w:cs="Arial"/>
                <w:szCs w:val="20"/>
              </w:rPr>
            </w:pPr>
            <w:r w:rsidRPr="00983A12">
              <w:rPr>
                <w:rFonts w:cs="Arial"/>
                <w:szCs w:val="20"/>
              </w:rPr>
              <w:t xml:space="preserve">The </w:t>
            </w:r>
            <w:r w:rsidR="003420F0" w:rsidRPr="00983A12">
              <w:rPr>
                <w:rFonts w:cs="Arial"/>
                <w:szCs w:val="20"/>
              </w:rPr>
              <w:t xml:space="preserve">Vista </w:t>
            </w:r>
            <w:r w:rsidRPr="00983A12">
              <w:rPr>
                <w:rFonts w:cs="Arial"/>
                <w:szCs w:val="20"/>
              </w:rPr>
              <w:t xml:space="preserve">phosphorus (PHOS) method is a modification of the classical </w:t>
            </w:r>
            <w:proofErr w:type="spellStart"/>
            <w:r w:rsidRPr="00983A12">
              <w:rPr>
                <w:rFonts w:cs="Arial"/>
                <w:szCs w:val="20"/>
              </w:rPr>
              <w:t>phosphomolybdate</w:t>
            </w:r>
            <w:proofErr w:type="spellEnd"/>
            <w:r w:rsidRPr="00983A12">
              <w:rPr>
                <w:rFonts w:cs="Arial"/>
                <w:szCs w:val="20"/>
              </w:rPr>
              <w:t xml:space="preserve"> method introduced by Fiske and </w:t>
            </w:r>
            <w:proofErr w:type="spellStart"/>
            <w:r w:rsidRPr="00983A12">
              <w:rPr>
                <w:rFonts w:cs="Arial"/>
                <w:szCs w:val="20"/>
              </w:rPr>
              <w:t>Subbarow</w:t>
            </w:r>
            <w:proofErr w:type="spellEnd"/>
            <w:r w:rsidRPr="00983A12">
              <w:rPr>
                <w:rFonts w:cs="Arial"/>
                <w:position w:val="3"/>
                <w:szCs w:val="20"/>
              </w:rPr>
              <w:t xml:space="preserve"> </w:t>
            </w:r>
            <w:r w:rsidRPr="00983A12">
              <w:rPr>
                <w:rFonts w:cs="Arial"/>
                <w:szCs w:val="20"/>
              </w:rPr>
              <w:t>and uses a mixture of p-</w:t>
            </w:r>
            <w:proofErr w:type="spellStart"/>
            <w:r w:rsidRPr="00983A12">
              <w:rPr>
                <w:rFonts w:cs="Arial"/>
                <w:szCs w:val="20"/>
              </w:rPr>
              <w:t>methylaminophenol</w:t>
            </w:r>
            <w:proofErr w:type="spellEnd"/>
            <w:r w:rsidRPr="00983A12">
              <w:rPr>
                <w:rFonts w:cs="Arial"/>
                <w:szCs w:val="20"/>
              </w:rPr>
              <w:t xml:space="preserve"> sulfate and </w:t>
            </w:r>
            <w:proofErr w:type="spellStart"/>
            <w:r w:rsidRPr="00983A12">
              <w:rPr>
                <w:rFonts w:cs="Arial"/>
                <w:szCs w:val="20"/>
              </w:rPr>
              <w:t>bisulfite</w:t>
            </w:r>
            <w:proofErr w:type="spellEnd"/>
            <w:r w:rsidRPr="00983A12">
              <w:rPr>
                <w:rFonts w:cs="Arial"/>
                <w:szCs w:val="20"/>
              </w:rPr>
              <w:t xml:space="preserve"> to reduce the </w:t>
            </w:r>
            <w:proofErr w:type="spellStart"/>
            <w:r w:rsidRPr="00983A12">
              <w:rPr>
                <w:rFonts w:cs="Arial"/>
                <w:szCs w:val="20"/>
              </w:rPr>
              <w:t>phosphomolybdate</w:t>
            </w:r>
            <w:proofErr w:type="spellEnd"/>
            <w:r w:rsidRPr="00983A12">
              <w:rPr>
                <w:rFonts w:cs="Arial"/>
                <w:szCs w:val="20"/>
              </w:rPr>
              <w:t xml:space="preserve"> as reported by </w:t>
            </w:r>
            <w:proofErr w:type="spellStart"/>
            <w:r w:rsidRPr="00983A12">
              <w:rPr>
                <w:rFonts w:cs="Arial"/>
                <w:szCs w:val="20"/>
              </w:rPr>
              <w:t>Gomori</w:t>
            </w:r>
            <w:proofErr w:type="spellEnd"/>
            <w:r w:rsidRPr="00983A12">
              <w:rPr>
                <w:rFonts w:cs="Arial"/>
                <w:szCs w:val="20"/>
              </w:rPr>
              <w:t xml:space="preserve"> and by </w:t>
            </w:r>
            <w:proofErr w:type="spellStart"/>
            <w:r w:rsidRPr="00983A12">
              <w:rPr>
                <w:rFonts w:cs="Arial"/>
                <w:szCs w:val="20"/>
              </w:rPr>
              <w:t>Drewes</w:t>
            </w:r>
            <w:proofErr w:type="spellEnd"/>
            <w:r w:rsidRPr="00983A12">
              <w:rPr>
                <w:rFonts w:cs="Arial"/>
                <w:szCs w:val="20"/>
              </w:rPr>
              <w:t>.</w:t>
            </w:r>
            <w:r w:rsidRPr="00983A12">
              <w:rPr>
                <w:rFonts w:cs="Arial"/>
                <w:position w:val="3"/>
                <w:szCs w:val="20"/>
              </w:rPr>
              <w:t xml:space="preserve"> </w:t>
            </w:r>
            <w:r w:rsidRPr="00983A12">
              <w:rPr>
                <w:rFonts w:cs="Arial"/>
                <w:szCs w:val="20"/>
              </w:rPr>
              <w:t xml:space="preserve">The PHOS method measures the absorption of the reduced </w:t>
            </w:r>
            <w:proofErr w:type="spellStart"/>
            <w:r w:rsidRPr="00983A12">
              <w:rPr>
                <w:rFonts w:cs="Arial"/>
                <w:szCs w:val="20"/>
              </w:rPr>
              <w:t>phosphomolybdate</w:t>
            </w:r>
            <w:proofErr w:type="spellEnd"/>
            <w:r w:rsidRPr="00983A12">
              <w:rPr>
                <w:rFonts w:cs="Arial"/>
                <w:szCs w:val="20"/>
              </w:rPr>
              <w:t xml:space="preserve"> complex at UV wavelengths to improve sensitivity.</w:t>
            </w:r>
            <w:r w:rsidRPr="00983A12">
              <w:rPr>
                <w:rFonts w:cs="Arial"/>
                <w:position w:val="3"/>
                <w:szCs w:val="20"/>
              </w:rPr>
              <w:t xml:space="preserve"> </w:t>
            </w:r>
            <w:r w:rsidRPr="00983A12">
              <w:rPr>
                <w:rFonts w:cs="Arial"/>
                <w:szCs w:val="20"/>
              </w:rPr>
              <w:t xml:space="preserve">Interference caused by protein precipitation is eliminated using the </w:t>
            </w:r>
            <w:proofErr w:type="spellStart"/>
            <w:r w:rsidRPr="00983A12">
              <w:rPr>
                <w:rFonts w:cs="Arial"/>
                <w:szCs w:val="20"/>
              </w:rPr>
              <w:t>solubilizing</w:t>
            </w:r>
            <w:proofErr w:type="spellEnd"/>
            <w:r w:rsidRPr="00983A12">
              <w:rPr>
                <w:rFonts w:cs="Arial"/>
                <w:szCs w:val="20"/>
              </w:rPr>
              <w:t xml:space="preserve"> agent, lithium </w:t>
            </w:r>
            <w:proofErr w:type="spellStart"/>
            <w:r w:rsidRPr="00983A12">
              <w:rPr>
                <w:rFonts w:cs="Arial"/>
                <w:szCs w:val="20"/>
              </w:rPr>
              <w:t>dodecyl</w:t>
            </w:r>
            <w:proofErr w:type="spellEnd"/>
            <w:r w:rsidRPr="00983A12">
              <w:rPr>
                <w:rFonts w:cs="Arial"/>
                <w:szCs w:val="20"/>
              </w:rPr>
              <w:t xml:space="preserve"> sulfate. Because of the pre-blanking of the sample, </w:t>
            </w:r>
            <w:proofErr w:type="spellStart"/>
            <w:r w:rsidRPr="00983A12">
              <w:rPr>
                <w:rFonts w:cs="Arial"/>
                <w:szCs w:val="20"/>
              </w:rPr>
              <w:t>bilirubin</w:t>
            </w:r>
            <w:proofErr w:type="spellEnd"/>
            <w:r w:rsidRPr="00983A12">
              <w:rPr>
                <w:rFonts w:cs="Arial"/>
                <w:szCs w:val="20"/>
              </w:rPr>
              <w:t xml:space="preserve"> interference is considerably minimized.</w:t>
            </w:r>
          </w:p>
          <w:p w:rsidR="00B00268" w:rsidRPr="00983A12" w:rsidRDefault="00B00268" w:rsidP="0075539C">
            <w:pPr>
              <w:pStyle w:val="BodyText"/>
              <w:spacing w:after="0"/>
              <w:jc w:val="both"/>
              <w:rPr>
                <w:rFonts w:cs="Arial"/>
                <w:szCs w:val="20"/>
              </w:rPr>
            </w:pPr>
          </w:p>
          <w:p w:rsidR="00B00268" w:rsidRPr="00983A12" w:rsidRDefault="00B00268" w:rsidP="0075539C">
            <w:pPr>
              <w:pStyle w:val="BodyText"/>
              <w:spacing w:after="0"/>
              <w:jc w:val="both"/>
              <w:rPr>
                <w:rFonts w:cs="Arial"/>
                <w:szCs w:val="20"/>
              </w:rPr>
            </w:pPr>
            <w:r w:rsidRPr="00983A12">
              <w:rPr>
                <w:rFonts w:cs="Arial"/>
                <w:szCs w:val="20"/>
              </w:rPr>
              <w:t xml:space="preserve">Inorganic phosphate combines with </w:t>
            </w:r>
            <w:proofErr w:type="spellStart"/>
            <w:r w:rsidRPr="00983A12">
              <w:rPr>
                <w:rFonts w:cs="Arial"/>
                <w:szCs w:val="20"/>
              </w:rPr>
              <w:t>molybdate</w:t>
            </w:r>
            <w:proofErr w:type="spellEnd"/>
            <w:r w:rsidRPr="00983A12">
              <w:rPr>
                <w:rFonts w:cs="Arial"/>
                <w:szCs w:val="20"/>
              </w:rPr>
              <w:t xml:space="preserve"> (</w:t>
            </w:r>
            <w:proofErr w:type="spellStart"/>
            <w:r w:rsidRPr="00983A12">
              <w:rPr>
                <w:rFonts w:cs="Arial"/>
                <w:szCs w:val="20"/>
              </w:rPr>
              <w:t>MoO</w:t>
            </w:r>
            <w:proofErr w:type="spellEnd"/>
            <w:r w:rsidRPr="00983A12">
              <w:rPr>
                <w:rFonts w:cs="Arial"/>
                <w:position w:val="-5"/>
                <w:szCs w:val="20"/>
                <w:vertAlign w:val="subscript"/>
              </w:rPr>
              <w:t>4</w:t>
            </w:r>
            <w:r w:rsidRPr="00983A12">
              <w:rPr>
                <w:rFonts w:cs="Arial"/>
                <w:szCs w:val="20"/>
              </w:rPr>
              <w:t>) in an acid solution to form a complex that is reduced by p-</w:t>
            </w:r>
            <w:proofErr w:type="spellStart"/>
            <w:r w:rsidRPr="00983A12">
              <w:rPr>
                <w:rFonts w:cs="Arial"/>
                <w:szCs w:val="20"/>
              </w:rPr>
              <w:t>methylaminophenol</w:t>
            </w:r>
            <w:proofErr w:type="spellEnd"/>
            <w:r w:rsidRPr="00983A12">
              <w:rPr>
                <w:rFonts w:cs="Arial"/>
                <w:szCs w:val="20"/>
              </w:rPr>
              <w:t xml:space="preserve"> sulfate (PMAPS) and </w:t>
            </w:r>
            <w:proofErr w:type="spellStart"/>
            <w:r w:rsidRPr="00983A12">
              <w:rPr>
                <w:rFonts w:cs="Arial"/>
                <w:szCs w:val="20"/>
              </w:rPr>
              <w:t>bisulfite</w:t>
            </w:r>
            <w:proofErr w:type="spellEnd"/>
            <w:r w:rsidRPr="00983A12">
              <w:rPr>
                <w:rFonts w:cs="Arial"/>
                <w:szCs w:val="20"/>
              </w:rPr>
              <w:t xml:space="preserve">. The 340 nm absorbance of the reduced </w:t>
            </w:r>
            <w:proofErr w:type="spellStart"/>
            <w:r w:rsidRPr="00983A12">
              <w:rPr>
                <w:rFonts w:cs="Arial"/>
                <w:szCs w:val="20"/>
              </w:rPr>
              <w:t>phosphomolybdate</w:t>
            </w:r>
            <w:proofErr w:type="spellEnd"/>
            <w:r w:rsidRPr="00983A12">
              <w:rPr>
                <w:rFonts w:cs="Arial"/>
                <w:szCs w:val="20"/>
              </w:rPr>
              <w:t xml:space="preserve"> solution is proportional to the inorganic phosphorus concentration and is measured using a </w:t>
            </w:r>
            <w:proofErr w:type="spellStart"/>
            <w:r w:rsidRPr="00983A12">
              <w:rPr>
                <w:rFonts w:cs="Arial"/>
                <w:szCs w:val="20"/>
              </w:rPr>
              <w:t>bichromatic</w:t>
            </w:r>
            <w:proofErr w:type="spellEnd"/>
            <w:r w:rsidRPr="00983A12">
              <w:rPr>
                <w:rFonts w:cs="Arial"/>
                <w:szCs w:val="20"/>
              </w:rPr>
              <w:t xml:space="preserve"> (340, 383 nm) endpoint technique.</w:t>
            </w:r>
          </w:p>
          <w:p w:rsidR="00A36920" w:rsidRPr="00983A12" w:rsidRDefault="00A36920" w:rsidP="0075539C">
            <w:pPr>
              <w:pStyle w:val="BodyText"/>
              <w:spacing w:after="0"/>
              <w:jc w:val="both"/>
              <w:rPr>
                <w:rFonts w:cs="Arial"/>
                <w:szCs w:val="20"/>
              </w:rPr>
            </w:pPr>
          </w:p>
          <w:p w:rsidR="00B00268" w:rsidRPr="00983A12" w:rsidRDefault="00A36920" w:rsidP="0075539C">
            <w:pPr>
              <w:jc w:val="both"/>
              <w:rPr>
                <w:rFonts w:cs="Arial"/>
                <w:b/>
                <w:color w:val="76923C"/>
                <w:szCs w:val="20"/>
              </w:rPr>
            </w:pPr>
            <w:r w:rsidRPr="00983A12">
              <w:rPr>
                <w:rFonts w:cs="Arial"/>
                <w:b/>
                <w:color w:val="76923C"/>
                <w:szCs w:val="20"/>
              </w:rPr>
              <w:t>SECONDARY</w:t>
            </w:r>
            <w:r w:rsidR="00C64C2F">
              <w:rPr>
                <w:rFonts w:cs="Arial"/>
                <w:b/>
                <w:color w:val="76923C"/>
                <w:szCs w:val="20"/>
              </w:rPr>
              <w:t xml:space="preserve"> </w:t>
            </w:r>
            <w:r w:rsidRPr="00983A12">
              <w:rPr>
                <w:rFonts w:cs="Arial"/>
                <w:b/>
                <w:color w:val="76923C"/>
                <w:szCs w:val="20"/>
              </w:rPr>
              <w:t>METHOD:</w:t>
            </w:r>
          </w:p>
          <w:p w:rsidR="00A36920" w:rsidRPr="00983A12" w:rsidRDefault="00A36920" w:rsidP="0075539C">
            <w:pPr>
              <w:jc w:val="both"/>
              <w:rPr>
                <w:rFonts w:cs="Arial"/>
                <w:b/>
                <w:color w:val="76923C"/>
                <w:szCs w:val="20"/>
              </w:rPr>
            </w:pPr>
          </w:p>
          <w:p w:rsidR="00A36920" w:rsidRPr="0075539C" w:rsidRDefault="00A36920" w:rsidP="0075539C">
            <w:pPr>
              <w:autoSpaceDE w:val="0"/>
              <w:autoSpaceDN w:val="0"/>
              <w:adjustRightInd w:val="0"/>
              <w:spacing w:after="20" w:line="151" w:lineRule="atLeast"/>
              <w:jc w:val="both"/>
              <w:rPr>
                <w:rFonts w:cs="Arial"/>
                <w:color w:val="000000"/>
                <w:szCs w:val="20"/>
              </w:rPr>
            </w:pPr>
            <w:r w:rsidRPr="00983A12">
              <w:rPr>
                <w:rFonts w:cs="Arial"/>
                <w:color w:val="000000"/>
                <w:szCs w:val="20"/>
              </w:rPr>
              <w:t xml:space="preserve">The phosphorus (PHOS) method is a modification of the classical </w:t>
            </w:r>
            <w:proofErr w:type="spellStart"/>
            <w:r w:rsidRPr="00983A12">
              <w:rPr>
                <w:rFonts w:cs="Arial"/>
                <w:color w:val="000000"/>
                <w:szCs w:val="20"/>
              </w:rPr>
              <w:t>phosphomolybdate</w:t>
            </w:r>
            <w:proofErr w:type="spellEnd"/>
            <w:r w:rsidRPr="00983A12">
              <w:rPr>
                <w:rFonts w:cs="Arial"/>
                <w:color w:val="000000"/>
                <w:szCs w:val="20"/>
              </w:rPr>
              <w:t xml:space="preserve"> method introduced by Fiske and </w:t>
            </w:r>
            <w:proofErr w:type="spellStart"/>
            <w:r w:rsidRPr="00983A12">
              <w:rPr>
                <w:rFonts w:cs="Arial"/>
                <w:color w:val="000000"/>
                <w:szCs w:val="20"/>
              </w:rPr>
              <w:t>Subbarow</w:t>
            </w:r>
            <w:proofErr w:type="spellEnd"/>
            <w:r w:rsidRPr="00983A12">
              <w:rPr>
                <w:rFonts w:cs="Arial"/>
                <w:color w:val="000000"/>
                <w:szCs w:val="20"/>
              </w:rPr>
              <w:t xml:space="preserve">. The PHOS method measures the absorption of the unreduced </w:t>
            </w:r>
            <w:proofErr w:type="spellStart"/>
            <w:r w:rsidRPr="00983A12">
              <w:rPr>
                <w:rFonts w:cs="Arial"/>
                <w:color w:val="000000"/>
                <w:szCs w:val="20"/>
              </w:rPr>
              <w:t>phosphomolybdate</w:t>
            </w:r>
            <w:proofErr w:type="spellEnd"/>
            <w:r w:rsidRPr="00983A12">
              <w:rPr>
                <w:rFonts w:cs="Arial"/>
                <w:color w:val="000000"/>
                <w:szCs w:val="20"/>
              </w:rPr>
              <w:t xml:space="preserve"> complex as reported by Daly and </w:t>
            </w:r>
            <w:proofErr w:type="spellStart"/>
            <w:r w:rsidRPr="00983A12">
              <w:rPr>
                <w:rFonts w:cs="Arial"/>
                <w:color w:val="000000"/>
                <w:szCs w:val="20"/>
              </w:rPr>
              <w:t>Ertingshausen</w:t>
            </w:r>
            <w:proofErr w:type="spellEnd"/>
            <w:r w:rsidRPr="00983A12">
              <w:rPr>
                <w:rFonts w:cs="Arial"/>
                <w:color w:val="000000"/>
                <w:szCs w:val="20"/>
              </w:rPr>
              <w:t>.</w:t>
            </w:r>
            <w:r w:rsidR="0075539C">
              <w:rPr>
                <w:rFonts w:cs="Arial"/>
                <w:color w:val="000000"/>
                <w:szCs w:val="20"/>
              </w:rPr>
              <w:t xml:space="preserve"> </w:t>
            </w:r>
            <w:r w:rsidRPr="00983A12">
              <w:rPr>
                <w:rFonts w:cs="Arial"/>
                <w:color w:val="000000"/>
                <w:szCs w:val="20"/>
              </w:rPr>
              <w:t xml:space="preserve">Inorganic phosphate reacts with ammonium </w:t>
            </w:r>
            <w:proofErr w:type="spellStart"/>
            <w:r w:rsidRPr="00983A12">
              <w:rPr>
                <w:rFonts w:cs="Arial"/>
                <w:color w:val="000000"/>
                <w:szCs w:val="20"/>
              </w:rPr>
              <w:t>molybdate</w:t>
            </w:r>
            <w:proofErr w:type="spellEnd"/>
            <w:r w:rsidRPr="00983A12">
              <w:rPr>
                <w:rFonts w:cs="Arial"/>
                <w:color w:val="000000"/>
                <w:szCs w:val="20"/>
              </w:rPr>
              <w:t xml:space="preserve"> in the presence of sulfuric acid to form a </w:t>
            </w:r>
            <w:proofErr w:type="spellStart"/>
            <w:r w:rsidRPr="00983A12">
              <w:rPr>
                <w:rFonts w:cs="Arial"/>
                <w:color w:val="000000"/>
                <w:szCs w:val="20"/>
              </w:rPr>
              <w:t>phosphomolybdate</w:t>
            </w:r>
            <w:proofErr w:type="spellEnd"/>
            <w:r w:rsidRPr="00983A12">
              <w:rPr>
                <w:rFonts w:cs="Arial"/>
                <w:color w:val="000000"/>
                <w:szCs w:val="20"/>
              </w:rPr>
              <w:t xml:space="preserve"> complex which is measured at 340 nm and blanked at 700 nm.</w:t>
            </w:r>
          </w:p>
        </w:tc>
      </w:tr>
      <w:tr w:rsidR="0075539C" w:rsidTr="00725C69">
        <w:trPr>
          <w:trHeight w:val="3720"/>
          <w:tblHeader/>
        </w:trPr>
        <w:tc>
          <w:tcPr>
            <w:tcW w:w="1800" w:type="dxa"/>
          </w:tcPr>
          <w:p w:rsidR="0075539C" w:rsidRDefault="0075539C" w:rsidP="0075539C">
            <w:pPr>
              <w:rPr>
                <w:rFonts w:cs="Arial"/>
                <w:b/>
                <w:bCs/>
                <w:color w:val="0000FF"/>
              </w:rPr>
            </w:pPr>
          </w:p>
          <w:p w:rsidR="0075539C" w:rsidRDefault="0075539C" w:rsidP="0075539C">
            <w:pPr>
              <w:rPr>
                <w:rFonts w:cs="Arial"/>
                <w:b/>
                <w:bCs/>
                <w:color w:val="0000FF"/>
              </w:rPr>
            </w:pPr>
            <w:r>
              <w:rPr>
                <w:rFonts w:cs="Arial"/>
                <w:b/>
                <w:bCs/>
                <w:color w:val="0000FF"/>
              </w:rPr>
              <w:t>Clinical Significance</w:t>
            </w:r>
          </w:p>
          <w:p w:rsidR="0075539C" w:rsidRDefault="0075539C">
            <w:pPr>
              <w:rPr>
                <w:rFonts w:cs="Arial"/>
                <w:b/>
                <w:bCs/>
                <w:color w:val="0000FF"/>
              </w:rPr>
            </w:pPr>
          </w:p>
        </w:tc>
        <w:tc>
          <w:tcPr>
            <w:tcW w:w="9360" w:type="dxa"/>
            <w:tcBorders>
              <w:top w:val="single" w:sz="18" w:space="0" w:color="A6A6A6"/>
              <w:bottom w:val="single" w:sz="18" w:space="0" w:color="A6A6A6"/>
            </w:tcBorders>
            <w:vAlign w:val="center"/>
          </w:tcPr>
          <w:p w:rsidR="0075539C" w:rsidRPr="00983A12" w:rsidRDefault="0075539C" w:rsidP="0075539C">
            <w:pPr>
              <w:jc w:val="both"/>
              <w:rPr>
                <w:rFonts w:cs="Arial"/>
                <w:szCs w:val="20"/>
              </w:rPr>
            </w:pPr>
            <w:r w:rsidRPr="00983A12">
              <w:rPr>
                <w:rFonts w:cs="Arial"/>
                <w:color w:val="000000"/>
                <w:szCs w:val="20"/>
              </w:rPr>
              <w:t xml:space="preserve">Measurements of phosphorus (inorganic) are used in the diagnosis and treatment of bone, parathyroid and renal disease. </w:t>
            </w:r>
            <w:r w:rsidRPr="00983A12">
              <w:rPr>
                <w:rFonts w:cs="Arial"/>
                <w:szCs w:val="20"/>
              </w:rPr>
              <w:t xml:space="preserve">Most of the phosphorus found in the human body is found in the calcium phosphate salts that make up the inorganic substance of bone. The remainder is distributed throughout all of the other cells of the body. Practically all body phosphorus is present as the phosphate radical. The calcium phosphate salts of bone give them rigidity but also serve as a large storage depot for phosphate. </w:t>
            </w:r>
          </w:p>
          <w:p w:rsidR="0075539C" w:rsidRPr="00983A12" w:rsidRDefault="0075539C" w:rsidP="0075539C">
            <w:pPr>
              <w:jc w:val="both"/>
              <w:rPr>
                <w:rFonts w:cs="Arial"/>
                <w:szCs w:val="20"/>
              </w:rPr>
            </w:pPr>
          </w:p>
          <w:p w:rsidR="0075539C" w:rsidRPr="0075539C" w:rsidRDefault="0075539C" w:rsidP="0075539C">
            <w:pPr>
              <w:jc w:val="both"/>
              <w:rPr>
                <w:rFonts w:cs="Arial"/>
                <w:szCs w:val="20"/>
              </w:rPr>
            </w:pPr>
            <w:r w:rsidRPr="00983A12">
              <w:rPr>
                <w:rFonts w:cs="Arial"/>
                <w:szCs w:val="20"/>
              </w:rPr>
              <w:t xml:space="preserve">Serum phosphate is increased during periods of growth so the normal range for children is higher than the adult normal range. The highest levels are seen in newborn infants. Spuriously high values may be seen if the blood sample is not handled properly. Red blood cells contain high levels of organic phosphates so the serum should be quickly separated from the cells with care to avoid </w:t>
            </w:r>
            <w:proofErr w:type="spellStart"/>
            <w:r w:rsidRPr="00983A12">
              <w:rPr>
                <w:rFonts w:cs="Arial"/>
                <w:szCs w:val="20"/>
              </w:rPr>
              <w:t>hemolysis</w:t>
            </w:r>
            <w:proofErr w:type="spellEnd"/>
            <w:r w:rsidRPr="00983A12">
              <w:rPr>
                <w:rFonts w:cs="Arial"/>
                <w:szCs w:val="20"/>
              </w:rPr>
              <w:t>. Abnormal serum phosphate levels are most commonly seen in kidney, bone, and parathyroid diseases. Phosphate is usually measured along with serum calcium since each measurement is useful in the interpretation of the other.</w:t>
            </w:r>
          </w:p>
        </w:tc>
      </w:tr>
      <w:tr w:rsidR="00B00268" w:rsidTr="00725C69">
        <w:trPr>
          <w:trHeight w:val="4338"/>
          <w:tblHeader/>
        </w:trPr>
        <w:tc>
          <w:tcPr>
            <w:tcW w:w="1800" w:type="dxa"/>
          </w:tcPr>
          <w:p w:rsidR="00B00268" w:rsidRDefault="00B00268">
            <w:pPr>
              <w:rPr>
                <w:rFonts w:cs="Arial"/>
                <w:b/>
                <w:bCs/>
                <w:color w:val="0000FF"/>
              </w:rPr>
            </w:pPr>
          </w:p>
          <w:p w:rsidR="00B00268" w:rsidRDefault="00B00268">
            <w:pPr>
              <w:rPr>
                <w:rFonts w:cs="Arial"/>
                <w:b/>
                <w:bCs/>
                <w:color w:val="0000FF"/>
              </w:rPr>
            </w:pPr>
            <w:r>
              <w:rPr>
                <w:rFonts w:cs="Arial"/>
                <w:b/>
                <w:bCs/>
                <w:color w:val="0000FF"/>
              </w:rPr>
              <w:t>Clinical Significance</w:t>
            </w:r>
            <w:r w:rsidR="0075539C">
              <w:rPr>
                <w:rFonts w:cs="Arial"/>
                <w:b/>
                <w:bCs/>
                <w:color w:val="0000FF"/>
              </w:rPr>
              <w:t xml:space="preserve"> (cont)</w:t>
            </w:r>
          </w:p>
          <w:p w:rsidR="00B00268" w:rsidRDefault="00B00268">
            <w:pPr>
              <w:rPr>
                <w:rFonts w:cs="Arial"/>
                <w:b/>
                <w:bCs/>
                <w:color w:val="0000FF"/>
              </w:rPr>
            </w:pPr>
          </w:p>
        </w:tc>
        <w:tc>
          <w:tcPr>
            <w:tcW w:w="9360" w:type="dxa"/>
            <w:tcBorders>
              <w:top w:val="single" w:sz="18" w:space="0" w:color="A6A6A6"/>
              <w:bottom w:val="single" w:sz="18" w:space="0" w:color="A6A6A6"/>
            </w:tcBorders>
          </w:tcPr>
          <w:p w:rsidR="003420F0" w:rsidRPr="00983A12" w:rsidRDefault="003420F0" w:rsidP="003420F0">
            <w:pPr>
              <w:autoSpaceDE w:val="0"/>
              <w:autoSpaceDN w:val="0"/>
              <w:adjustRightInd w:val="0"/>
              <w:rPr>
                <w:rFonts w:cs="Arial"/>
                <w:color w:val="000000"/>
                <w:szCs w:val="20"/>
              </w:rPr>
            </w:pPr>
          </w:p>
          <w:p w:rsidR="0075539C" w:rsidRPr="00983A12" w:rsidRDefault="0075539C" w:rsidP="0075539C">
            <w:pPr>
              <w:pStyle w:val="Heading1"/>
              <w:numPr>
                <w:ilvl w:val="0"/>
                <w:numId w:val="0"/>
              </w:numPr>
              <w:rPr>
                <w:rFonts w:ascii="Arial" w:hAnsi="Arial"/>
                <w:sz w:val="20"/>
                <w:szCs w:val="20"/>
              </w:rPr>
            </w:pPr>
            <w:r w:rsidRPr="00983A12">
              <w:rPr>
                <w:rFonts w:ascii="Arial" w:hAnsi="Arial"/>
                <w:sz w:val="20"/>
                <w:szCs w:val="20"/>
              </w:rPr>
              <w:t>Increased Serum Phosphate</w:t>
            </w:r>
          </w:p>
          <w:p w:rsidR="0075539C" w:rsidRPr="00983A12" w:rsidRDefault="0075539C" w:rsidP="0075539C">
            <w:pPr>
              <w:jc w:val="both"/>
              <w:rPr>
                <w:rFonts w:cs="Arial"/>
                <w:szCs w:val="20"/>
              </w:rPr>
            </w:pPr>
            <w:r w:rsidRPr="00983A12">
              <w:rPr>
                <w:rFonts w:cs="Arial"/>
                <w:b/>
                <w:szCs w:val="20"/>
              </w:rPr>
              <w:t xml:space="preserve">Kidney Disease: </w:t>
            </w:r>
            <w:r w:rsidRPr="00983A12">
              <w:rPr>
                <w:rFonts w:cs="Arial"/>
                <w:bCs/>
                <w:szCs w:val="20"/>
              </w:rPr>
              <w:t>The</w:t>
            </w:r>
            <w:r w:rsidRPr="00983A12">
              <w:rPr>
                <w:rFonts w:cs="Arial"/>
                <w:szCs w:val="20"/>
              </w:rPr>
              <w:t xml:space="preserve"> ordinary diet contains far more phosphate than is required to maintain body structure and function. Normally the excess is excreted into the urine. Kidney disease from almost any cause impairs its ability to remove phosphate from plasma, so there is a gradual rise in serum phosphate levels and a secondary fall in serum calcium. </w:t>
            </w:r>
          </w:p>
          <w:p w:rsidR="0075539C" w:rsidRPr="00983A12" w:rsidRDefault="0075539C" w:rsidP="0075539C">
            <w:pPr>
              <w:jc w:val="both"/>
              <w:rPr>
                <w:rFonts w:cs="Arial"/>
                <w:szCs w:val="20"/>
              </w:rPr>
            </w:pPr>
            <w:proofErr w:type="spellStart"/>
            <w:r w:rsidRPr="00983A12">
              <w:rPr>
                <w:rFonts w:cs="Arial"/>
                <w:b/>
                <w:szCs w:val="20"/>
              </w:rPr>
              <w:t>Hypoparathyroidism</w:t>
            </w:r>
            <w:proofErr w:type="spellEnd"/>
            <w:r w:rsidRPr="00983A12">
              <w:rPr>
                <w:rFonts w:cs="Arial"/>
                <w:b/>
                <w:szCs w:val="20"/>
              </w:rPr>
              <w:t xml:space="preserve">: </w:t>
            </w:r>
            <w:r w:rsidRPr="00983A12">
              <w:rPr>
                <w:rFonts w:cs="Arial"/>
                <w:szCs w:val="20"/>
              </w:rPr>
              <w:t>In the absence of sufficient parathyroid hormone the kidney tends to retain phosphate ion, so the serum level is high. The serum calcium is low.</w:t>
            </w:r>
          </w:p>
          <w:p w:rsidR="0075539C" w:rsidRPr="00983A12" w:rsidRDefault="0075539C" w:rsidP="0075539C">
            <w:pPr>
              <w:jc w:val="both"/>
              <w:rPr>
                <w:rFonts w:cs="Arial"/>
                <w:szCs w:val="20"/>
              </w:rPr>
            </w:pPr>
            <w:r w:rsidRPr="00983A12">
              <w:rPr>
                <w:rFonts w:cs="Arial"/>
                <w:b/>
                <w:szCs w:val="20"/>
              </w:rPr>
              <w:t xml:space="preserve">Hyperthyroidism: </w:t>
            </w:r>
            <w:r w:rsidRPr="00983A12">
              <w:rPr>
                <w:rFonts w:cs="Arial"/>
                <w:szCs w:val="20"/>
              </w:rPr>
              <w:t>Serum phosphate will occasionally rise in this disease. The cause is not well understood, but it may be due to excessive mobilization of calcium phosphate from bone.</w:t>
            </w:r>
          </w:p>
          <w:p w:rsidR="00B00268" w:rsidRPr="00983A12" w:rsidRDefault="0075539C" w:rsidP="0075539C">
            <w:pPr>
              <w:pStyle w:val="Header"/>
              <w:tabs>
                <w:tab w:val="clear" w:pos="4320"/>
                <w:tab w:val="clear" w:pos="8640"/>
              </w:tabs>
              <w:jc w:val="both"/>
              <w:rPr>
                <w:rFonts w:cs="Arial"/>
                <w:szCs w:val="20"/>
              </w:rPr>
            </w:pPr>
            <w:r w:rsidRPr="00983A12">
              <w:rPr>
                <w:rFonts w:cs="Arial"/>
                <w:b/>
                <w:szCs w:val="20"/>
              </w:rPr>
              <w:t>Other Causes:</w:t>
            </w:r>
            <w:r w:rsidRPr="00983A12">
              <w:rPr>
                <w:rFonts w:cs="Arial"/>
                <w:szCs w:val="20"/>
              </w:rPr>
              <w:t xml:space="preserve"> Elevated serum phosphate may be seen in diabetic acidosis, </w:t>
            </w:r>
            <w:proofErr w:type="spellStart"/>
            <w:r w:rsidRPr="00983A12">
              <w:rPr>
                <w:rFonts w:cs="Arial"/>
                <w:szCs w:val="20"/>
              </w:rPr>
              <w:t>acromegaly</w:t>
            </w:r>
            <w:proofErr w:type="spellEnd"/>
            <w:r w:rsidRPr="00983A12">
              <w:rPr>
                <w:rFonts w:cs="Arial"/>
                <w:szCs w:val="20"/>
              </w:rPr>
              <w:t>, excess vitamin D intake, and acute osteoporosis.</w:t>
            </w:r>
          </w:p>
          <w:p w:rsidR="00B00268" w:rsidRPr="00983A12" w:rsidRDefault="00B00268" w:rsidP="00417F6E">
            <w:pPr>
              <w:jc w:val="both"/>
              <w:rPr>
                <w:rFonts w:cs="Arial"/>
                <w:szCs w:val="20"/>
              </w:rPr>
            </w:pPr>
          </w:p>
          <w:p w:rsidR="00B00268" w:rsidRPr="00983A12" w:rsidRDefault="00B00268" w:rsidP="00417F6E">
            <w:pPr>
              <w:jc w:val="both"/>
              <w:rPr>
                <w:rFonts w:cs="Arial"/>
                <w:b/>
                <w:szCs w:val="20"/>
              </w:rPr>
            </w:pPr>
            <w:r w:rsidRPr="00983A12">
              <w:rPr>
                <w:rFonts w:cs="Arial"/>
                <w:b/>
                <w:szCs w:val="20"/>
              </w:rPr>
              <w:t>Decreased Serum Phosphate</w:t>
            </w:r>
          </w:p>
          <w:p w:rsidR="00B00268" w:rsidRPr="00983A12" w:rsidRDefault="00B00268" w:rsidP="00417F6E">
            <w:pPr>
              <w:jc w:val="both"/>
              <w:rPr>
                <w:rFonts w:cs="Arial"/>
                <w:szCs w:val="20"/>
              </w:rPr>
            </w:pPr>
            <w:r w:rsidRPr="00983A12">
              <w:rPr>
                <w:rFonts w:cs="Arial"/>
                <w:bCs/>
                <w:szCs w:val="20"/>
              </w:rPr>
              <w:t xml:space="preserve">Hyperparathyroidism, </w:t>
            </w:r>
            <w:proofErr w:type="spellStart"/>
            <w:r w:rsidRPr="00983A12">
              <w:rPr>
                <w:rFonts w:cs="Arial"/>
                <w:bCs/>
                <w:szCs w:val="20"/>
              </w:rPr>
              <w:t>Malabsorption</w:t>
            </w:r>
            <w:proofErr w:type="spellEnd"/>
            <w:r w:rsidRPr="00983A12">
              <w:rPr>
                <w:rFonts w:cs="Arial"/>
                <w:bCs/>
                <w:szCs w:val="20"/>
              </w:rPr>
              <w:t xml:space="preserve"> Syndromes,</w:t>
            </w:r>
            <w:r w:rsidRPr="00983A12">
              <w:rPr>
                <w:rFonts w:cs="Arial"/>
                <w:szCs w:val="20"/>
              </w:rPr>
              <w:t xml:space="preserve"> Recovery from diabetic acidosis where serum phosphate may fall below normal due to the movement of glucose and phosphate from the blood into cells. </w:t>
            </w:r>
            <w:proofErr w:type="spellStart"/>
            <w:r w:rsidRPr="00983A12">
              <w:rPr>
                <w:rFonts w:cs="Arial"/>
                <w:szCs w:val="20"/>
              </w:rPr>
              <w:t>Hypopituitarism</w:t>
            </w:r>
            <w:proofErr w:type="spellEnd"/>
            <w:r w:rsidRPr="00983A12">
              <w:rPr>
                <w:rFonts w:cs="Arial"/>
                <w:szCs w:val="20"/>
              </w:rPr>
              <w:t xml:space="preserve"> (insufficient production of growth hormone) in children results in lower than normal phosphate levels for a child of the same age. </w:t>
            </w:r>
          </w:p>
          <w:p w:rsidR="00B00268" w:rsidRPr="00983A12" w:rsidRDefault="00B00268" w:rsidP="00417F6E">
            <w:pPr>
              <w:jc w:val="both"/>
              <w:rPr>
                <w:rFonts w:cs="Arial"/>
                <w:szCs w:val="20"/>
              </w:rPr>
            </w:pPr>
          </w:p>
        </w:tc>
      </w:tr>
      <w:tr w:rsidR="00B00268" w:rsidTr="00725C69">
        <w:trPr>
          <w:trHeight w:val="837"/>
          <w:tblHeader/>
        </w:trPr>
        <w:tc>
          <w:tcPr>
            <w:tcW w:w="1800" w:type="dxa"/>
          </w:tcPr>
          <w:p w:rsidR="00B00268" w:rsidRDefault="00B00268">
            <w:pPr>
              <w:rPr>
                <w:rFonts w:cs="Arial"/>
                <w:b/>
                <w:bCs/>
                <w:color w:val="0000FF"/>
              </w:rPr>
            </w:pPr>
          </w:p>
          <w:p w:rsidR="00B00268" w:rsidRDefault="00B00268">
            <w:pPr>
              <w:rPr>
                <w:rFonts w:cs="Arial"/>
                <w:b/>
                <w:bCs/>
                <w:color w:val="0000FF"/>
              </w:rPr>
            </w:pPr>
            <w:r>
              <w:rPr>
                <w:rFonts w:cs="Arial"/>
                <w:b/>
                <w:bCs/>
                <w:color w:val="0000FF"/>
              </w:rPr>
              <w:t>Analyzer</w:t>
            </w:r>
          </w:p>
        </w:tc>
        <w:tc>
          <w:tcPr>
            <w:tcW w:w="9360" w:type="dxa"/>
            <w:tcBorders>
              <w:top w:val="single" w:sz="18" w:space="0" w:color="A6A6A6"/>
              <w:bottom w:val="single" w:sz="18" w:space="0" w:color="A6A6A6"/>
            </w:tcBorders>
            <w:vAlign w:val="center"/>
          </w:tcPr>
          <w:p w:rsidR="005C63D7" w:rsidRPr="00983A12" w:rsidRDefault="005C63D7" w:rsidP="005C63D7">
            <w:pPr>
              <w:rPr>
                <w:rFonts w:cs="Arial"/>
                <w:iCs/>
                <w:szCs w:val="20"/>
              </w:rPr>
            </w:pPr>
            <w:r w:rsidRPr="00983A12">
              <w:rPr>
                <w:rFonts w:cs="Arial"/>
                <w:b/>
                <w:color w:val="5F497A"/>
                <w:szCs w:val="20"/>
              </w:rPr>
              <w:t>PRIMARY METHOD:</w:t>
            </w:r>
            <w:r w:rsidRPr="00983A12">
              <w:rPr>
                <w:rFonts w:cs="Arial"/>
                <w:szCs w:val="20"/>
              </w:rPr>
              <w:t xml:space="preserve"> </w:t>
            </w:r>
            <w:r w:rsidRPr="00983A12">
              <w:rPr>
                <w:rFonts w:cs="Arial"/>
                <w:iCs/>
                <w:szCs w:val="20"/>
              </w:rPr>
              <w:t xml:space="preserve">Siemens </w:t>
            </w:r>
            <w:r w:rsidRPr="00983A12">
              <w:rPr>
                <w:rFonts w:cs="Arial"/>
                <w:szCs w:val="20"/>
              </w:rPr>
              <w:t>Dimension Vista® 500 System</w:t>
            </w:r>
          </w:p>
          <w:p w:rsidR="00B00268" w:rsidRPr="00983A12" w:rsidRDefault="005C63D7" w:rsidP="00983A12">
            <w:pPr>
              <w:pStyle w:val="Default"/>
              <w:rPr>
                <w:rFonts w:ascii="Arial" w:hAnsi="Arial" w:cs="Arial"/>
                <w:sz w:val="20"/>
                <w:szCs w:val="20"/>
              </w:rPr>
            </w:pPr>
            <w:r w:rsidRPr="00983A12">
              <w:rPr>
                <w:rFonts w:ascii="Arial" w:hAnsi="Arial" w:cs="Arial"/>
                <w:b/>
                <w:color w:val="76923C"/>
                <w:sz w:val="20"/>
                <w:szCs w:val="20"/>
              </w:rPr>
              <w:t>SECONDARY (BACKUP) METHOD:</w:t>
            </w:r>
            <w:r w:rsidRPr="00983A12">
              <w:rPr>
                <w:rFonts w:ascii="Arial" w:hAnsi="Arial" w:cs="Arial"/>
                <w:sz w:val="20"/>
                <w:szCs w:val="20"/>
              </w:rPr>
              <w:t xml:space="preserve"> Siemens </w:t>
            </w:r>
            <w:r w:rsidR="00A36920" w:rsidRPr="00983A12">
              <w:rPr>
                <w:rFonts w:ascii="Arial" w:hAnsi="Arial" w:cs="Arial"/>
                <w:sz w:val="20"/>
                <w:szCs w:val="20"/>
              </w:rPr>
              <w:t>Dimension® clinical chemistry system</w:t>
            </w:r>
          </w:p>
        </w:tc>
      </w:tr>
      <w:tr w:rsidR="00B00268" w:rsidTr="00725C69">
        <w:trPr>
          <w:trHeight w:val="1313"/>
          <w:tblHeader/>
        </w:trPr>
        <w:tc>
          <w:tcPr>
            <w:tcW w:w="1800" w:type="dxa"/>
          </w:tcPr>
          <w:p w:rsidR="00B00268" w:rsidRDefault="00B00268">
            <w:pPr>
              <w:rPr>
                <w:rFonts w:cs="Arial"/>
                <w:b/>
                <w:bCs/>
                <w:color w:val="0000FF"/>
              </w:rPr>
            </w:pPr>
          </w:p>
          <w:p w:rsidR="00B00268" w:rsidRDefault="00B00268">
            <w:pPr>
              <w:rPr>
                <w:rFonts w:cs="Arial"/>
                <w:b/>
                <w:bCs/>
                <w:color w:val="0000FF"/>
              </w:rPr>
            </w:pPr>
            <w:proofErr w:type="spellStart"/>
            <w:r>
              <w:rPr>
                <w:rFonts w:cs="Arial"/>
                <w:b/>
                <w:bCs/>
                <w:color w:val="0000FF"/>
              </w:rPr>
              <w:t>Sunquest</w:t>
            </w:r>
            <w:proofErr w:type="spellEnd"/>
            <w:r>
              <w:rPr>
                <w:rFonts w:cs="Arial"/>
                <w:b/>
                <w:bCs/>
                <w:color w:val="0000FF"/>
              </w:rPr>
              <w:t xml:space="preserve"> Test Codes</w:t>
            </w:r>
          </w:p>
        </w:tc>
        <w:tc>
          <w:tcPr>
            <w:tcW w:w="9360" w:type="dxa"/>
            <w:tcBorders>
              <w:top w:val="single" w:sz="18" w:space="0" w:color="BFBFBF"/>
              <w:bottom w:val="single" w:sz="4" w:space="0" w:color="auto"/>
            </w:tcBorders>
            <w:vAlign w:val="center"/>
          </w:tcPr>
          <w:tbl>
            <w:tblPr>
              <w:tblpPr w:leftFromText="180" w:rightFromText="180" w:vertAnchor="text" w:horzAnchor="margin" w:tblpY="-139"/>
              <w:tblOverlap w:val="never"/>
              <w:tblW w:w="6907" w:type="dxa"/>
              <w:tblBorders>
                <w:top w:val="single" w:sz="18" w:space="0" w:color="B8CCE4"/>
                <w:left w:val="single" w:sz="18" w:space="0" w:color="B8CCE4"/>
                <w:bottom w:val="single" w:sz="18" w:space="0" w:color="B8CCE4"/>
                <w:right w:val="single" w:sz="18" w:space="0" w:color="B8CCE4"/>
                <w:insideH w:val="single" w:sz="18" w:space="0" w:color="B8CCE4"/>
                <w:insideV w:val="single" w:sz="18" w:space="0" w:color="B8CCE4"/>
              </w:tblBorders>
              <w:tblLayout w:type="fixed"/>
              <w:tblLook w:val="0000"/>
            </w:tblPr>
            <w:tblGrid>
              <w:gridCol w:w="900"/>
              <w:gridCol w:w="6007"/>
            </w:tblGrid>
            <w:tr w:rsidR="005C63D7" w:rsidTr="005C63D7">
              <w:trPr>
                <w:cantSplit/>
              </w:trPr>
              <w:tc>
                <w:tcPr>
                  <w:tcW w:w="900" w:type="dxa"/>
                  <w:vAlign w:val="center"/>
                </w:tcPr>
                <w:p w:rsidR="005C63D7" w:rsidRDefault="005C63D7" w:rsidP="005C63D7">
                  <w:pPr>
                    <w:rPr>
                      <w:rFonts w:cs="Arial"/>
                      <w:sz w:val="18"/>
                    </w:rPr>
                  </w:pPr>
                  <w:r>
                    <w:rPr>
                      <w:rFonts w:cs="Arial"/>
                      <w:b/>
                      <w:bCs/>
                    </w:rPr>
                    <w:t>PO4</w:t>
                  </w:r>
                </w:p>
              </w:tc>
              <w:tc>
                <w:tcPr>
                  <w:tcW w:w="6007" w:type="dxa"/>
                </w:tcPr>
                <w:p w:rsidR="005C63D7" w:rsidRDefault="005C63D7" w:rsidP="005C63D7">
                  <w:pPr>
                    <w:pStyle w:val="Header"/>
                    <w:tabs>
                      <w:tab w:val="clear" w:pos="4320"/>
                      <w:tab w:val="clear" w:pos="8640"/>
                    </w:tabs>
                    <w:rPr>
                      <w:rFonts w:cs="Arial"/>
                    </w:rPr>
                  </w:pPr>
                  <w:r>
                    <w:rPr>
                      <w:rFonts w:cs="Arial"/>
                    </w:rPr>
                    <w:t>Phosphorus in plasma or serum in mg/</w:t>
                  </w:r>
                  <w:proofErr w:type="spellStart"/>
                  <w:r>
                    <w:rPr>
                      <w:rFonts w:cs="Arial"/>
                    </w:rPr>
                    <w:t>dL</w:t>
                  </w:r>
                  <w:proofErr w:type="spellEnd"/>
                </w:p>
              </w:tc>
            </w:tr>
            <w:tr w:rsidR="005C63D7" w:rsidTr="005C63D7">
              <w:trPr>
                <w:cantSplit/>
              </w:trPr>
              <w:tc>
                <w:tcPr>
                  <w:tcW w:w="900" w:type="dxa"/>
                  <w:vAlign w:val="center"/>
                </w:tcPr>
                <w:p w:rsidR="005C63D7" w:rsidRDefault="005C63D7" w:rsidP="005C63D7">
                  <w:pPr>
                    <w:pStyle w:val="Header"/>
                    <w:tabs>
                      <w:tab w:val="clear" w:pos="4320"/>
                      <w:tab w:val="clear" w:pos="8640"/>
                    </w:tabs>
                    <w:rPr>
                      <w:rFonts w:cs="Arial"/>
                    </w:rPr>
                  </w:pPr>
                  <w:r>
                    <w:rPr>
                      <w:rFonts w:cs="Arial"/>
                      <w:b/>
                      <w:bCs/>
                    </w:rPr>
                    <w:t>UPO4</w:t>
                  </w:r>
                </w:p>
              </w:tc>
              <w:tc>
                <w:tcPr>
                  <w:tcW w:w="6007" w:type="dxa"/>
                </w:tcPr>
                <w:p w:rsidR="005C63D7" w:rsidRDefault="005C63D7" w:rsidP="005C63D7">
                  <w:pPr>
                    <w:rPr>
                      <w:rFonts w:cs="Arial"/>
                    </w:rPr>
                  </w:pPr>
                  <w:r>
                    <w:rPr>
                      <w:rFonts w:cs="Arial"/>
                    </w:rPr>
                    <w:t>Urine Phosphorus in mg/</w:t>
                  </w:r>
                  <w:proofErr w:type="spellStart"/>
                  <w:r>
                    <w:rPr>
                      <w:rFonts w:cs="Arial"/>
                    </w:rPr>
                    <w:t>dL</w:t>
                  </w:r>
                  <w:proofErr w:type="spellEnd"/>
                </w:p>
              </w:tc>
            </w:tr>
            <w:tr w:rsidR="005C63D7" w:rsidTr="005C63D7">
              <w:trPr>
                <w:cantSplit/>
              </w:trPr>
              <w:tc>
                <w:tcPr>
                  <w:tcW w:w="900" w:type="dxa"/>
                  <w:vAlign w:val="center"/>
                </w:tcPr>
                <w:p w:rsidR="005C63D7" w:rsidRDefault="005C63D7" w:rsidP="005C63D7">
                  <w:pPr>
                    <w:pStyle w:val="Header"/>
                    <w:tabs>
                      <w:tab w:val="clear" w:pos="4320"/>
                      <w:tab w:val="clear" w:pos="8640"/>
                    </w:tabs>
                    <w:rPr>
                      <w:rFonts w:cs="Arial"/>
                      <w:b/>
                      <w:bCs/>
                    </w:rPr>
                  </w:pPr>
                  <w:r>
                    <w:rPr>
                      <w:rFonts w:cs="Arial"/>
                      <w:b/>
                      <w:bCs/>
                    </w:rPr>
                    <w:t>UPQ</w:t>
                  </w:r>
                </w:p>
              </w:tc>
              <w:tc>
                <w:tcPr>
                  <w:tcW w:w="6007" w:type="dxa"/>
                </w:tcPr>
                <w:p w:rsidR="005C63D7" w:rsidRDefault="005C63D7" w:rsidP="005C63D7">
                  <w:pPr>
                    <w:rPr>
                      <w:rFonts w:cs="Arial"/>
                    </w:rPr>
                  </w:pPr>
                  <w:r>
                    <w:rPr>
                      <w:rFonts w:cs="Arial"/>
                    </w:rPr>
                    <w:t>Quantitative urine phosphorus in mg/ 24 hr, timed collection</w:t>
                  </w:r>
                </w:p>
              </w:tc>
            </w:tr>
          </w:tbl>
          <w:p w:rsidR="00B00268" w:rsidRDefault="00B00268" w:rsidP="005C63D7">
            <w:pPr>
              <w:autoSpaceDE w:val="0"/>
              <w:autoSpaceDN w:val="0"/>
              <w:adjustRightInd w:val="0"/>
              <w:rPr>
                <w:rFonts w:cs="Arial"/>
              </w:rPr>
            </w:pPr>
          </w:p>
          <w:p w:rsidR="005C63D7" w:rsidRDefault="005C63D7" w:rsidP="005C63D7">
            <w:pPr>
              <w:autoSpaceDE w:val="0"/>
              <w:autoSpaceDN w:val="0"/>
              <w:adjustRightInd w:val="0"/>
              <w:rPr>
                <w:rFonts w:cs="Arial"/>
              </w:rPr>
            </w:pPr>
          </w:p>
          <w:p w:rsidR="00B00268" w:rsidRDefault="00B00268" w:rsidP="005C63D7">
            <w:pPr>
              <w:tabs>
                <w:tab w:val="left" w:pos="900"/>
                <w:tab w:val="left" w:pos="3325"/>
              </w:tabs>
              <w:ind w:left="113"/>
              <w:rPr>
                <w:rFonts w:cs="Arial"/>
              </w:rPr>
            </w:pPr>
          </w:p>
          <w:p w:rsidR="00B00268" w:rsidRPr="005C63D7" w:rsidRDefault="00B00268" w:rsidP="005C63D7">
            <w:pPr>
              <w:tabs>
                <w:tab w:val="left" w:pos="900"/>
                <w:tab w:val="left" w:pos="3325"/>
              </w:tabs>
              <w:ind w:left="113"/>
              <w:rPr>
                <w:rFonts w:cs="Arial"/>
              </w:rPr>
            </w:pPr>
          </w:p>
        </w:tc>
      </w:tr>
      <w:tr w:rsidR="0075539C" w:rsidTr="00725C69">
        <w:trPr>
          <w:trHeight w:val="4440"/>
          <w:tblHeader/>
        </w:trPr>
        <w:tc>
          <w:tcPr>
            <w:tcW w:w="1800" w:type="dxa"/>
          </w:tcPr>
          <w:p w:rsidR="0075539C" w:rsidRDefault="0075539C" w:rsidP="0075539C">
            <w:pPr>
              <w:rPr>
                <w:rFonts w:cs="Arial"/>
                <w:b/>
                <w:bCs/>
                <w:color w:val="0000FF"/>
              </w:rPr>
            </w:pPr>
          </w:p>
          <w:p w:rsidR="0075539C" w:rsidRDefault="0075539C" w:rsidP="0075539C">
            <w:pPr>
              <w:rPr>
                <w:rFonts w:cs="Arial"/>
                <w:b/>
                <w:bCs/>
                <w:color w:val="0000FF"/>
              </w:rPr>
            </w:pPr>
            <w:r>
              <w:rPr>
                <w:rFonts w:cs="Arial"/>
                <w:b/>
                <w:bCs/>
                <w:color w:val="0000FF"/>
              </w:rPr>
              <w:t>Specimen</w:t>
            </w:r>
          </w:p>
          <w:p w:rsidR="0075539C" w:rsidRDefault="0075539C">
            <w:pPr>
              <w:rPr>
                <w:rFonts w:cs="Arial"/>
                <w:b/>
                <w:bCs/>
                <w:color w:val="0000FF"/>
              </w:rPr>
            </w:pPr>
          </w:p>
        </w:tc>
        <w:tc>
          <w:tcPr>
            <w:tcW w:w="9360" w:type="dxa"/>
            <w:tcBorders>
              <w:top w:val="single" w:sz="18" w:space="0" w:color="A6A6A6"/>
              <w:bottom w:val="single" w:sz="18" w:space="0" w:color="A6A6A6"/>
            </w:tcBorders>
            <w:vAlign w:val="center"/>
          </w:tcPr>
          <w:p w:rsidR="0075539C" w:rsidRPr="001A0262" w:rsidRDefault="0075539C" w:rsidP="0075539C">
            <w:pPr>
              <w:jc w:val="both"/>
              <w:rPr>
                <w:rFonts w:cs="Arial"/>
                <w:szCs w:val="20"/>
              </w:rPr>
            </w:pPr>
            <w:r w:rsidRPr="001A0262">
              <w:rPr>
                <w:rFonts w:cs="Arial"/>
                <w:b/>
                <w:bCs/>
                <w:szCs w:val="20"/>
              </w:rPr>
              <w:t>Plasma</w:t>
            </w:r>
            <w:r w:rsidRPr="001A0262">
              <w:rPr>
                <w:rFonts w:cs="Arial"/>
                <w:szCs w:val="20"/>
              </w:rPr>
              <w:t xml:space="preserve"> (lithium heparin) preferred, or Serum</w:t>
            </w:r>
          </w:p>
          <w:p w:rsidR="0075539C" w:rsidRPr="001A0262" w:rsidRDefault="0075539C" w:rsidP="0075539C">
            <w:pPr>
              <w:jc w:val="both"/>
              <w:rPr>
                <w:rFonts w:cs="Arial"/>
                <w:szCs w:val="20"/>
              </w:rPr>
            </w:pPr>
            <w:r w:rsidRPr="001A0262">
              <w:rPr>
                <w:rFonts w:cs="Arial"/>
                <w:szCs w:val="20"/>
              </w:rPr>
              <w:t xml:space="preserve">Serum and plasma can be collected using recommended procedures for collection of diagnostic blood specimens by </w:t>
            </w:r>
            <w:proofErr w:type="spellStart"/>
            <w:r w:rsidRPr="001A0262">
              <w:rPr>
                <w:rFonts w:cs="Arial"/>
                <w:szCs w:val="20"/>
              </w:rPr>
              <w:t>venipuncture</w:t>
            </w:r>
            <w:proofErr w:type="spellEnd"/>
            <w:r w:rsidRPr="001A0262">
              <w:rPr>
                <w:rFonts w:cs="Arial"/>
                <w:szCs w:val="20"/>
              </w:rPr>
              <w:t>.</w:t>
            </w:r>
          </w:p>
          <w:p w:rsidR="0075539C" w:rsidRPr="001A0262" w:rsidRDefault="0075539C" w:rsidP="0075539C">
            <w:pPr>
              <w:jc w:val="both"/>
              <w:rPr>
                <w:rFonts w:cs="Arial"/>
                <w:szCs w:val="20"/>
              </w:rPr>
            </w:pPr>
          </w:p>
          <w:p w:rsidR="0075539C" w:rsidRPr="001A0262" w:rsidRDefault="0075539C" w:rsidP="0075539C">
            <w:pPr>
              <w:pStyle w:val="Header"/>
              <w:tabs>
                <w:tab w:val="clear" w:pos="4320"/>
                <w:tab w:val="clear" w:pos="8640"/>
              </w:tabs>
              <w:jc w:val="both"/>
              <w:rPr>
                <w:rFonts w:cs="Arial"/>
                <w:szCs w:val="20"/>
              </w:rPr>
            </w:pPr>
            <w:r w:rsidRPr="001A0262">
              <w:rPr>
                <w:rFonts w:cs="Arial"/>
                <w:szCs w:val="20"/>
              </w:rPr>
              <w:t>Patient should preferably be fasting. Phosphate levels fluctuate following meals.</w:t>
            </w:r>
          </w:p>
          <w:p w:rsidR="0075539C" w:rsidRPr="001A0262" w:rsidRDefault="0075539C" w:rsidP="0075539C">
            <w:pPr>
              <w:pStyle w:val="Default"/>
              <w:jc w:val="both"/>
              <w:rPr>
                <w:rFonts w:ascii="Arial" w:hAnsi="Arial" w:cs="Arial"/>
                <w:b/>
                <w:bCs/>
                <w:sz w:val="20"/>
                <w:szCs w:val="20"/>
              </w:rPr>
            </w:pPr>
          </w:p>
          <w:p w:rsidR="0075539C" w:rsidRPr="001A0262" w:rsidRDefault="0075539C" w:rsidP="0075539C">
            <w:pPr>
              <w:pStyle w:val="Default"/>
              <w:jc w:val="both"/>
              <w:rPr>
                <w:rFonts w:ascii="Arial" w:hAnsi="Arial" w:cs="Arial"/>
                <w:b/>
                <w:bCs/>
                <w:sz w:val="20"/>
                <w:szCs w:val="20"/>
              </w:rPr>
            </w:pPr>
            <w:r w:rsidRPr="001A0262">
              <w:rPr>
                <w:rFonts w:ascii="Arial" w:hAnsi="Arial" w:cs="Arial"/>
                <w:b/>
                <w:bCs/>
                <w:sz w:val="20"/>
                <w:szCs w:val="20"/>
              </w:rPr>
              <w:t xml:space="preserve">Urine: </w:t>
            </w:r>
            <w:r w:rsidRPr="001A0262">
              <w:rPr>
                <w:rFonts w:ascii="Arial" w:hAnsi="Arial" w:cs="Arial"/>
                <w:sz w:val="20"/>
                <w:szCs w:val="20"/>
              </w:rPr>
              <w:t>Timed (24 hour) or random collection, clarified by centrifugation. Refer to 24 hour urine collection procedures.</w:t>
            </w:r>
            <w:r>
              <w:rPr>
                <w:rFonts w:ascii="Arial" w:hAnsi="Arial" w:cs="Arial"/>
                <w:sz w:val="20"/>
                <w:szCs w:val="20"/>
              </w:rPr>
              <w:t xml:space="preserve"> Urine testing is performed by the </w:t>
            </w:r>
            <w:r w:rsidRPr="00983A12">
              <w:rPr>
                <w:rFonts w:cs="Arial"/>
                <w:b/>
                <w:color w:val="5F497A"/>
                <w:szCs w:val="20"/>
              </w:rPr>
              <w:t>PRIMARY METHOD</w:t>
            </w:r>
            <w:r>
              <w:rPr>
                <w:rFonts w:cs="Arial"/>
                <w:b/>
                <w:color w:val="5F497A"/>
                <w:szCs w:val="20"/>
              </w:rPr>
              <w:t xml:space="preserve"> </w:t>
            </w:r>
            <w:r w:rsidRPr="00AC1880">
              <w:rPr>
                <w:rFonts w:ascii="Arial" w:hAnsi="Arial" w:cs="Arial"/>
                <w:color w:val="auto"/>
                <w:sz w:val="20"/>
                <w:szCs w:val="20"/>
              </w:rPr>
              <w:t>only</w:t>
            </w:r>
          </w:p>
          <w:p w:rsidR="0075539C" w:rsidRDefault="0075539C" w:rsidP="0075539C">
            <w:pPr>
              <w:jc w:val="both"/>
              <w:rPr>
                <w:rFonts w:cs="Arial"/>
                <w:szCs w:val="20"/>
              </w:rPr>
            </w:pPr>
          </w:p>
          <w:p w:rsidR="004C4C79" w:rsidRDefault="0075539C" w:rsidP="0075539C">
            <w:pPr>
              <w:pStyle w:val="Default"/>
              <w:jc w:val="both"/>
              <w:rPr>
                <w:sz w:val="20"/>
                <w:szCs w:val="20"/>
              </w:rPr>
            </w:pPr>
            <w:r>
              <w:rPr>
                <w:b/>
                <w:bCs/>
                <w:sz w:val="20"/>
                <w:szCs w:val="20"/>
              </w:rPr>
              <w:t xml:space="preserve">Minimum volume: </w:t>
            </w:r>
            <w:r w:rsidR="00E225EB" w:rsidRPr="00983A12">
              <w:rPr>
                <w:rFonts w:cs="Arial"/>
                <w:b/>
                <w:color w:val="5F497A"/>
                <w:szCs w:val="20"/>
              </w:rPr>
              <w:t>PRIMARY METHOD</w:t>
            </w:r>
            <w:r w:rsidR="00E225EB">
              <w:rPr>
                <w:rFonts w:cs="Arial"/>
                <w:b/>
                <w:color w:val="5F497A"/>
                <w:szCs w:val="20"/>
              </w:rPr>
              <w:t xml:space="preserve"> </w:t>
            </w:r>
            <w:r>
              <w:rPr>
                <w:sz w:val="20"/>
                <w:szCs w:val="20"/>
              </w:rPr>
              <w:t xml:space="preserve">200 </w:t>
            </w:r>
            <w:proofErr w:type="spellStart"/>
            <w:r>
              <w:rPr>
                <w:sz w:val="20"/>
                <w:szCs w:val="20"/>
              </w:rPr>
              <w:t>μL</w:t>
            </w:r>
            <w:proofErr w:type="spellEnd"/>
            <w:r>
              <w:rPr>
                <w:sz w:val="20"/>
                <w:szCs w:val="20"/>
              </w:rPr>
              <w:t xml:space="preserve">, </w:t>
            </w:r>
            <w:r w:rsidR="00E225EB" w:rsidRPr="00983A12">
              <w:rPr>
                <w:rFonts w:ascii="Arial" w:hAnsi="Arial" w:cs="Arial"/>
                <w:b/>
                <w:color w:val="76923C"/>
                <w:sz w:val="20"/>
                <w:szCs w:val="20"/>
              </w:rPr>
              <w:t>SECONDARY (BACKUP) METHOD</w:t>
            </w:r>
            <w:r w:rsidR="00E225EB">
              <w:rPr>
                <w:sz w:val="20"/>
                <w:szCs w:val="20"/>
              </w:rPr>
              <w:t xml:space="preserve"> </w:t>
            </w:r>
            <w:r>
              <w:rPr>
                <w:sz w:val="20"/>
                <w:szCs w:val="20"/>
              </w:rPr>
              <w:t xml:space="preserve">minimum 100 </w:t>
            </w:r>
            <w:proofErr w:type="spellStart"/>
            <w:r>
              <w:rPr>
                <w:sz w:val="20"/>
                <w:szCs w:val="20"/>
              </w:rPr>
              <w:t>μL</w:t>
            </w:r>
            <w:proofErr w:type="spellEnd"/>
            <w:r>
              <w:rPr>
                <w:sz w:val="20"/>
                <w:szCs w:val="20"/>
              </w:rPr>
              <w:t xml:space="preserve">: </w:t>
            </w:r>
          </w:p>
          <w:p w:rsidR="0075539C" w:rsidRDefault="0075539C" w:rsidP="0075539C">
            <w:pPr>
              <w:pStyle w:val="Default"/>
              <w:jc w:val="both"/>
              <w:rPr>
                <w:szCs w:val="20"/>
              </w:rPr>
            </w:pPr>
            <w:r w:rsidRPr="004C4C79">
              <w:rPr>
                <w:b/>
                <w:sz w:val="20"/>
                <w:szCs w:val="20"/>
              </w:rPr>
              <w:t>Actual test volume</w:t>
            </w:r>
            <w:r w:rsidR="004C4C79">
              <w:rPr>
                <w:sz w:val="20"/>
                <w:szCs w:val="20"/>
              </w:rPr>
              <w:t xml:space="preserve"> </w:t>
            </w:r>
            <w:r w:rsidR="004C4C79" w:rsidRPr="00983A12">
              <w:rPr>
                <w:rFonts w:cs="Arial"/>
                <w:b/>
                <w:color w:val="5F497A"/>
                <w:szCs w:val="20"/>
              </w:rPr>
              <w:t>PRIMARY METHOD</w:t>
            </w:r>
            <w:r w:rsidR="004C4C79">
              <w:rPr>
                <w:rFonts w:cs="Arial"/>
                <w:b/>
                <w:color w:val="5F497A"/>
                <w:szCs w:val="20"/>
              </w:rPr>
              <w:t xml:space="preserve"> </w:t>
            </w:r>
            <w:r>
              <w:rPr>
                <w:sz w:val="20"/>
                <w:szCs w:val="20"/>
              </w:rPr>
              <w:t xml:space="preserve">1.3 </w:t>
            </w:r>
            <w:proofErr w:type="spellStart"/>
            <w:r>
              <w:rPr>
                <w:sz w:val="20"/>
                <w:szCs w:val="20"/>
              </w:rPr>
              <w:t>μL</w:t>
            </w:r>
            <w:proofErr w:type="spellEnd"/>
            <w:r>
              <w:rPr>
                <w:sz w:val="20"/>
                <w:szCs w:val="20"/>
              </w:rPr>
              <w:t xml:space="preserve"> (Vista) </w:t>
            </w:r>
            <w:r w:rsidR="004C4C79" w:rsidRPr="00983A12">
              <w:rPr>
                <w:rFonts w:ascii="Arial" w:hAnsi="Arial" w:cs="Arial"/>
                <w:b/>
                <w:color w:val="76923C"/>
                <w:sz w:val="20"/>
                <w:szCs w:val="20"/>
              </w:rPr>
              <w:t>SECONDARY (BACKUP) METHOD:</w:t>
            </w:r>
            <w:r w:rsidR="004C4C79" w:rsidRPr="00983A12">
              <w:rPr>
                <w:rFonts w:ascii="Arial" w:hAnsi="Arial" w:cs="Arial"/>
                <w:sz w:val="20"/>
                <w:szCs w:val="20"/>
              </w:rPr>
              <w:t xml:space="preserve"> </w:t>
            </w:r>
            <w:r>
              <w:rPr>
                <w:sz w:val="20"/>
                <w:szCs w:val="20"/>
              </w:rPr>
              <w:t xml:space="preserve">3 </w:t>
            </w:r>
            <w:proofErr w:type="spellStart"/>
            <w:r>
              <w:rPr>
                <w:sz w:val="20"/>
                <w:szCs w:val="20"/>
              </w:rPr>
              <w:t>μL</w:t>
            </w:r>
            <w:proofErr w:type="spellEnd"/>
            <w:r>
              <w:rPr>
                <w:sz w:val="20"/>
                <w:szCs w:val="20"/>
              </w:rPr>
              <w:t xml:space="preserve"> (MAX)</w:t>
            </w:r>
          </w:p>
          <w:p w:rsidR="0075539C" w:rsidRPr="001A0262" w:rsidRDefault="0075539C" w:rsidP="0075539C">
            <w:pPr>
              <w:jc w:val="both"/>
              <w:rPr>
                <w:rFonts w:cs="Arial"/>
                <w:b/>
                <w:bCs/>
                <w:szCs w:val="20"/>
              </w:rPr>
            </w:pPr>
          </w:p>
          <w:p w:rsidR="0075539C" w:rsidRPr="001A0262" w:rsidRDefault="0075539C" w:rsidP="0075539C">
            <w:pPr>
              <w:pStyle w:val="Header"/>
              <w:tabs>
                <w:tab w:val="clear" w:pos="4320"/>
                <w:tab w:val="clear" w:pos="8640"/>
              </w:tabs>
              <w:jc w:val="both"/>
              <w:rPr>
                <w:rFonts w:cs="Arial"/>
                <w:szCs w:val="20"/>
              </w:rPr>
            </w:pPr>
            <w:r w:rsidRPr="001A0262">
              <w:rPr>
                <w:rFonts w:cs="Arial"/>
                <w:b/>
                <w:bCs/>
                <w:szCs w:val="20"/>
              </w:rPr>
              <w:t>Stability:</w:t>
            </w:r>
            <w:r w:rsidRPr="001A0262">
              <w:rPr>
                <w:rFonts w:cs="Arial"/>
                <w:szCs w:val="20"/>
              </w:rPr>
              <w:t xml:space="preserve"> </w:t>
            </w:r>
          </w:p>
          <w:p w:rsidR="0075539C" w:rsidRDefault="0075539C" w:rsidP="005248A1">
            <w:pPr>
              <w:pStyle w:val="Header"/>
              <w:tabs>
                <w:tab w:val="clear" w:pos="4320"/>
                <w:tab w:val="clear" w:pos="8640"/>
              </w:tabs>
              <w:jc w:val="both"/>
              <w:rPr>
                <w:rFonts w:cs="Arial"/>
                <w:szCs w:val="20"/>
              </w:rPr>
            </w:pPr>
            <w:r w:rsidRPr="001A0262">
              <w:rPr>
                <w:rFonts w:cs="Arial"/>
                <w:b/>
                <w:szCs w:val="20"/>
              </w:rPr>
              <w:t>Plasma/serum</w:t>
            </w:r>
            <w:r w:rsidRPr="001A0262">
              <w:rPr>
                <w:rFonts w:cs="Arial"/>
                <w:szCs w:val="20"/>
              </w:rPr>
              <w:t>:</w:t>
            </w:r>
            <w:r w:rsidRPr="001A0262">
              <w:rPr>
                <w:rFonts w:cs="Arial"/>
                <w:szCs w:val="20"/>
              </w:rPr>
              <w:tab/>
              <w:t xml:space="preserve">RT / 8 hours, 2-8 </w:t>
            </w:r>
            <w:r w:rsidRPr="001A0262">
              <w:rPr>
                <w:rFonts w:cs="Arial"/>
                <w:szCs w:val="20"/>
              </w:rPr>
              <w:sym w:font="Symbol" w:char="F0B0"/>
            </w:r>
            <w:r w:rsidRPr="001A0262">
              <w:rPr>
                <w:rFonts w:cs="Arial"/>
                <w:szCs w:val="20"/>
              </w:rPr>
              <w:t>C / 7 days, &lt; -20</w:t>
            </w:r>
            <w:r w:rsidRPr="001A0262">
              <w:rPr>
                <w:rFonts w:cs="Arial"/>
                <w:szCs w:val="20"/>
              </w:rPr>
              <w:sym w:font="Symbol" w:char="F0B0"/>
            </w:r>
            <w:r w:rsidRPr="001A0262">
              <w:rPr>
                <w:rFonts w:cs="Arial"/>
                <w:szCs w:val="20"/>
              </w:rPr>
              <w:t>C / 3 months, &lt; 3 freeze thaw cycles</w:t>
            </w:r>
          </w:p>
          <w:p w:rsidR="0075539C" w:rsidRPr="001A0262" w:rsidRDefault="0075539C" w:rsidP="005248A1">
            <w:pPr>
              <w:pStyle w:val="Header"/>
              <w:tabs>
                <w:tab w:val="clear" w:pos="4320"/>
                <w:tab w:val="clear" w:pos="8640"/>
              </w:tabs>
              <w:jc w:val="both"/>
              <w:rPr>
                <w:rFonts w:cs="Arial"/>
                <w:szCs w:val="20"/>
              </w:rPr>
            </w:pPr>
          </w:p>
          <w:p w:rsidR="0075539C" w:rsidRPr="001A0262" w:rsidRDefault="0075539C" w:rsidP="005248A1">
            <w:pPr>
              <w:pStyle w:val="Default"/>
              <w:jc w:val="both"/>
              <w:rPr>
                <w:rFonts w:ascii="Arial" w:hAnsi="Arial" w:cs="Arial"/>
                <w:sz w:val="20"/>
                <w:szCs w:val="20"/>
              </w:rPr>
            </w:pPr>
            <w:r w:rsidRPr="00362E3D">
              <w:rPr>
                <w:rFonts w:ascii="Arial" w:hAnsi="Arial" w:cs="Arial"/>
                <w:b/>
                <w:sz w:val="20"/>
                <w:szCs w:val="20"/>
              </w:rPr>
              <w:t>Urine:</w:t>
            </w:r>
            <w:r w:rsidRPr="001A0262">
              <w:rPr>
                <w:rFonts w:ascii="Arial" w:hAnsi="Arial" w:cs="Arial"/>
                <w:sz w:val="20"/>
                <w:szCs w:val="20"/>
              </w:rPr>
              <w:t xml:space="preserve"> </w:t>
            </w:r>
            <w:r>
              <w:rPr>
                <w:rFonts w:ascii="Arial" w:hAnsi="Arial" w:cs="Arial"/>
                <w:sz w:val="20"/>
                <w:szCs w:val="20"/>
              </w:rPr>
              <w:t xml:space="preserve">RT / </w:t>
            </w:r>
            <w:r w:rsidR="00E225EB">
              <w:rPr>
                <w:rFonts w:ascii="Arial" w:hAnsi="Arial" w:cs="Arial"/>
                <w:sz w:val="20"/>
                <w:szCs w:val="20"/>
              </w:rPr>
              <w:t>48,</w:t>
            </w:r>
            <w:r w:rsidRPr="001A0262">
              <w:rPr>
                <w:rFonts w:ascii="Arial" w:hAnsi="Arial" w:cs="Arial"/>
                <w:sz w:val="20"/>
                <w:szCs w:val="20"/>
              </w:rPr>
              <w:t xml:space="preserve"> 2 – 8 °C</w:t>
            </w:r>
            <w:r w:rsidR="00E225EB">
              <w:rPr>
                <w:rFonts w:ascii="Arial" w:hAnsi="Arial" w:cs="Arial"/>
                <w:sz w:val="20"/>
                <w:szCs w:val="20"/>
              </w:rPr>
              <w:t>/ 7 days</w:t>
            </w:r>
          </w:p>
          <w:p w:rsidR="0075539C" w:rsidRPr="001A0262" w:rsidRDefault="0075539C" w:rsidP="0075539C">
            <w:pPr>
              <w:jc w:val="both"/>
              <w:rPr>
                <w:rFonts w:cs="Arial"/>
                <w:b/>
                <w:bCs/>
                <w:szCs w:val="20"/>
              </w:rPr>
            </w:pPr>
          </w:p>
          <w:p w:rsidR="0075539C" w:rsidRPr="0075539C" w:rsidRDefault="0075539C" w:rsidP="0075539C">
            <w:pPr>
              <w:pStyle w:val="Header"/>
              <w:tabs>
                <w:tab w:val="clear" w:pos="4320"/>
                <w:tab w:val="clear" w:pos="8640"/>
              </w:tabs>
              <w:jc w:val="both"/>
              <w:rPr>
                <w:rFonts w:cs="Arial"/>
                <w:szCs w:val="20"/>
              </w:rPr>
            </w:pPr>
            <w:r w:rsidRPr="001A0262">
              <w:rPr>
                <w:rFonts w:cs="Arial"/>
                <w:b/>
                <w:bCs/>
                <w:szCs w:val="20"/>
              </w:rPr>
              <w:t>Rejection criteria</w:t>
            </w:r>
            <w:r w:rsidRPr="001A0262">
              <w:rPr>
                <w:rFonts w:cs="Arial"/>
                <w:szCs w:val="20"/>
              </w:rPr>
              <w:t xml:space="preserve">: Unlabeled tube, other than </w:t>
            </w:r>
            <w:proofErr w:type="spellStart"/>
            <w:r w:rsidRPr="001A0262">
              <w:rPr>
                <w:rFonts w:cs="Arial"/>
                <w:szCs w:val="20"/>
              </w:rPr>
              <w:t>heparinized</w:t>
            </w:r>
            <w:proofErr w:type="spellEnd"/>
            <w:r w:rsidRPr="001A0262">
              <w:rPr>
                <w:rFonts w:cs="Arial"/>
                <w:szCs w:val="20"/>
              </w:rPr>
              <w:t xml:space="preserve"> plasma, serum, or urine.</w:t>
            </w:r>
          </w:p>
        </w:tc>
      </w:tr>
      <w:tr w:rsidR="00B00268" w:rsidTr="00725C69">
        <w:trPr>
          <w:cantSplit/>
          <w:trHeight w:val="4788"/>
          <w:tblHeader/>
        </w:trPr>
        <w:tc>
          <w:tcPr>
            <w:tcW w:w="1800" w:type="dxa"/>
          </w:tcPr>
          <w:p w:rsidR="00B00268" w:rsidRDefault="00B00268">
            <w:pPr>
              <w:rPr>
                <w:rFonts w:cs="Arial"/>
                <w:b/>
                <w:bCs/>
                <w:color w:val="0000FF"/>
              </w:rPr>
            </w:pPr>
          </w:p>
          <w:p w:rsidR="00B00268" w:rsidRDefault="00B00268">
            <w:pPr>
              <w:rPr>
                <w:rFonts w:cs="Arial"/>
                <w:b/>
                <w:bCs/>
                <w:color w:val="0000FF"/>
              </w:rPr>
            </w:pPr>
            <w:r>
              <w:rPr>
                <w:rFonts w:cs="Arial"/>
                <w:b/>
                <w:bCs/>
                <w:color w:val="0000FF"/>
              </w:rPr>
              <w:t>Specimen</w:t>
            </w:r>
            <w:r w:rsidR="00D23634">
              <w:rPr>
                <w:rFonts w:cs="Arial"/>
                <w:b/>
                <w:bCs/>
                <w:color w:val="0000FF"/>
              </w:rPr>
              <w:t xml:space="preserve"> (cont)</w:t>
            </w:r>
          </w:p>
          <w:p w:rsidR="00B00268" w:rsidRDefault="00B00268">
            <w:pPr>
              <w:rPr>
                <w:rFonts w:cs="Arial"/>
                <w:b/>
                <w:bCs/>
                <w:color w:val="0000FF"/>
              </w:rPr>
            </w:pPr>
          </w:p>
        </w:tc>
        <w:tc>
          <w:tcPr>
            <w:tcW w:w="9360" w:type="dxa"/>
            <w:tcBorders>
              <w:top w:val="single" w:sz="18" w:space="0" w:color="A6A6A6"/>
              <w:bottom w:val="single" w:sz="18" w:space="0" w:color="A6A6A6"/>
            </w:tcBorders>
            <w:vAlign w:val="center"/>
          </w:tcPr>
          <w:p w:rsidR="00D136C7" w:rsidRPr="001A0262" w:rsidRDefault="00D136C7" w:rsidP="00D23634">
            <w:pPr>
              <w:autoSpaceDE w:val="0"/>
              <w:autoSpaceDN w:val="0"/>
              <w:adjustRightInd w:val="0"/>
              <w:jc w:val="both"/>
              <w:rPr>
                <w:rFonts w:cs="Arial"/>
                <w:b/>
                <w:bCs/>
                <w:szCs w:val="20"/>
              </w:rPr>
            </w:pPr>
            <w:r w:rsidRPr="001A0262">
              <w:rPr>
                <w:rFonts w:cs="Arial"/>
                <w:b/>
                <w:bCs/>
                <w:szCs w:val="20"/>
              </w:rPr>
              <w:t xml:space="preserve">Preparation: </w:t>
            </w:r>
          </w:p>
          <w:p w:rsidR="00D136C7" w:rsidRPr="001A0262" w:rsidRDefault="00D136C7" w:rsidP="00D23634">
            <w:pPr>
              <w:numPr>
                <w:ilvl w:val="0"/>
                <w:numId w:val="29"/>
              </w:numPr>
              <w:autoSpaceDE w:val="0"/>
              <w:autoSpaceDN w:val="0"/>
              <w:adjustRightInd w:val="0"/>
              <w:jc w:val="both"/>
              <w:rPr>
                <w:rFonts w:cs="Arial"/>
                <w:szCs w:val="20"/>
              </w:rPr>
            </w:pPr>
            <w:r w:rsidRPr="001A0262">
              <w:rPr>
                <w:rFonts w:cs="Arial"/>
                <w:szCs w:val="20"/>
              </w:rPr>
              <w:t xml:space="preserve">Complete clot formation should take place before centrifugation. </w:t>
            </w:r>
          </w:p>
          <w:p w:rsidR="00D136C7" w:rsidRPr="001A0262" w:rsidRDefault="00D136C7" w:rsidP="00D23634">
            <w:pPr>
              <w:numPr>
                <w:ilvl w:val="0"/>
                <w:numId w:val="29"/>
              </w:numPr>
              <w:autoSpaceDE w:val="0"/>
              <w:autoSpaceDN w:val="0"/>
              <w:adjustRightInd w:val="0"/>
              <w:jc w:val="both"/>
              <w:rPr>
                <w:rFonts w:cs="Arial"/>
                <w:szCs w:val="20"/>
              </w:rPr>
            </w:pPr>
            <w:r w:rsidRPr="001A0262">
              <w:rPr>
                <w:rFonts w:cs="Arial"/>
                <w:szCs w:val="20"/>
              </w:rPr>
              <w:t>Whole blood and body fluid specimens should be centrifuged according to Specimen Processing procedures prior to analysis.</w:t>
            </w:r>
          </w:p>
          <w:p w:rsidR="00165172" w:rsidRPr="001A0262" w:rsidRDefault="00165172" w:rsidP="00D23634">
            <w:pPr>
              <w:numPr>
                <w:ilvl w:val="0"/>
                <w:numId w:val="29"/>
              </w:numPr>
              <w:jc w:val="both"/>
              <w:rPr>
                <w:rFonts w:cs="Arial"/>
                <w:szCs w:val="20"/>
              </w:rPr>
            </w:pPr>
            <w:r w:rsidRPr="001A0262">
              <w:rPr>
                <w:rFonts w:cs="Arial"/>
                <w:szCs w:val="20"/>
              </w:rPr>
              <w:t>Serum or plasma should be s</w:t>
            </w:r>
            <w:r w:rsidR="00E225EB">
              <w:rPr>
                <w:rFonts w:cs="Arial"/>
                <w:szCs w:val="20"/>
              </w:rPr>
              <w:t xml:space="preserve">eparated from red cells </w:t>
            </w:r>
            <w:r w:rsidR="00E225EB" w:rsidRPr="001A0262">
              <w:rPr>
                <w:rFonts w:cs="Arial"/>
                <w:szCs w:val="20"/>
              </w:rPr>
              <w:t>with a maximum limit of 2 hours from the time of collection</w:t>
            </w:r>
            <w:r w:rsidRPr="001A0262">
              <w:rPr>
                <w:rFonts w:cs="Arial"/>
                <w:szCs w:val="20"/>
              </w:rPr>
              <w:t xml:space="preserve"> because erythrocytes contain phosphate concentrations several times greater than those found in the serum.</w:t>
            </w:r>
          </w:p>
          <w:p w:rsidR="00D136C7" w:rsidRPr="001A0262" w:rsidRDefault="00D136C7" w:rsidP="00D23634">
            <w:pPr>
              <w:numPr>
                <w:ilvl w:val="0"/>
                <w:numId w:val="29"/>
              </w:numPr>
              <w:autoSpaceDE w:val="0"/>
              <w:autoSpaceDN w:val="0"/>
              <w:adjustRightInd w:val="0"/>
              <w:jc w:val="both"/>
              <w:rPr>
                <w:rFonts w:cs="Arial"/>
                <w:szCs w:val="20"/>
              </w:rPr>
            </w:pPr>
            <w:r w:rsidRPr="001A0262">
              <w:rPr>
                <w:rFonts w:cs="Arial"/>
                <w:szCs w:val="20"/>
              </w:rPr>
              <w:t>Specimens should be free of particulate matter.</w:t>
            </w:r>
          </w:p>
          <w:p w:rsidR="00B00268" w:rsidRPr="001A0262" w:rsidRDefault="00D136C7" w:rsidP="00D23634">
            <w:pPr>
              <w:pStyle w:val="Default"/>
              <w:numPr>
                <w:ilvl w:val="0"/>
                <w:numId w:val="29"/>
              </w:numPr>
              <w:jc w:val="both"/>
              <w:rPr>
                <w:rFonts w:ascii="Arial" w:hAnsi="Arial" w:cs="Arial"/>
                <w:sz w:val="20"/>
                <w:szCs w:val="20"/>
              </w:rPr>
            </w:pPr>
            <w:r w:rsidRPr="001A0262">
              <w:rPr>
                <w:rFonts w:ascii="Arial" w:hAnsi="Arial" w:cs="Arial"/>
                <w:sz w:val="20"/>
                <w:szCs w:val="20"/>
              </w:rPr>
              <w:t>Transfer serum, plasma, or body fluid to a properly labeled Siemens SSC nested on a bar-coded pilot tube. Minimum labeling includes sample accession ID, and/ or patient name, medical record number, collection date and time.</w:t>
            </w:r>
          </w:p>
          <w:p w:rsidR="00165172" w:rsidRPr="001A0262" w:rsidRDefault="00165172" w:rsidP="00D23634">
            <w:pPr>
              <w:numPr>
                <w:ilvl w:val="0"/>
                <w:numId w:val="29"/>
              </w:numPr>
              <w:jc w:val="both"/>
              <w:rPr>
                <w:rFonts w:cs="Arial"/>
                <w:szCs w:val="20"/>
              </w:rPr>
            </w:pPr>
            <w:r w:rsidRPr="001A0262">
              <w:rPr>
                <w:rFonts w:cs="Arial"/>
                <w:szCs w:val="20"/>
              </w:rPr>
              <w:t>Collections of 24-hour urine specimens may be made in c</w:t>
            </w:r>
            <w:r w:rsidR="00E225EB">
              <w:rPr>
                <w:rFonts w:cs="Arial"/>
                <w:szCs w:val="20"/>
              </w:rPr>
              <w:t>ontainers with no additive</w:t>
            </w:r>
            <w:r w:rsidRPr="001A0262">
              <w:rPr>
                <w:rFonts w:cs="Arial"/>
                <w:szCs w:val="20"/>
              </w:rPr>
              <w:t>:</w:t>
            </w:r>
          </w:p>
          <w:p w:rsidR="00165172" w:rsidRPr="001A0262" w:rsidRDefault="00165172" w:rsidP="00D23634">
            <w:pPr>
              <w:numPr>
                <w:ilvl w:val="1"/>
                <w:numId w:val="29"/>
              </w:numPr>
              <w:jc w:val="both"/>
              <w:rPr>
                <w:rFonts w:cs="Arial"/>
                <w:szCs w:val="20"/>
              </w:rPr>
            </w:pPr>
            <w:r w:rsidRPr="001A0262">
              <w:rPr>
                <w:rFonts w:cs="Arial"/>
                <w:szCs w:val="20"/>
              </w:rPr>
              <w:t xml:space="preserve">Measure timed urine collections for total volume. </w:t>
            </w:r>
          </w:p>
          <w:p w:rsidR="00165172" w:rsidRPr="001A0262" w:rsidRDefault="00165172" w:rsidP="00D23634">
            <w:pPr>
              <w:numPr>
                <w:ilvl w:val="1"/>
                <w:numId w:val="29"/>
              </w:numPr>
              <w:jc w:val="both"/>
              <w:rPr>
                <w:rFonts w:cs="Arial"/>
                <w:szCs w:val="20"/>
              </w:rPr>
            </w:pPr>
            <w:r w:rsidRPr="001A0262">
              <w:rPr>
                <w:rFonts w:cs="Arial"/>
                <w:szCs w:val="20"/>
              </w:rPr>
              <w:t xml:space="preserve">Record the collection date and time for the start and end of the collection.  </w:t>
            </w:r>
          </w:p>
          <w:p w:rsidR="00B00268" w:rsidRPr="001A0262" w:rsidRDefault="00165172" w:rsidP="00D23634">
            <w:pPr>
              <w:numPr>
                <w:ilvl w:val="1"/>
                <w:numId w:val="29"/>
              </w:numPr>
              <w:jc w:val="both"/>
              <w:rPr>
                <w:rFonts w:cs="Arial"/>
                <w:szCs w:val="20"/>
              </w:rPr>
            </w:pPr>
            <w:r w:rsidRPr="001A0262">
              <w:rPr>
                <w:rFonts w:cs="Arial"/>
                <w:szCs w:val="20"/>
              </w:rPr>
              <w:t xml:space="preserve">Enter this information into </w:t>
            </w:r>
            <w:proofErr w:type="spellStart"/>
            <w:r w:rsidRPr="001A0262">
              <w:rPr>
                <w:rFonts w:cs="Arial"/>
                <w:szCs w:val="20"/>
              </w:rPr>
              <w:t>Sunquest</w:t>
            </w:r>
            <w:proofErr w:type="spellEnd"/>
            <w:r w:rsidRPr="001A0262">
              <w:rPr>
                <w:rFonts w:cs="Arial"/>
                <w:szCs w:val="20"/>
              </w:rPr>
              <w:t xml:space="preserve"> by ordering the test PV on the same accession number.</w:t>
            </w:r>
          </w:p>
        </w:tc>
      </w:tr>
      <w:tr w:rsidR="004A73E9" w:rsidTr="00725C69">
        <w:trPr>
          <w:cantSplit/>
          <w:trHeight w:val="4887"/>
          <w:tblHeader/>
        </w:trPr>
        <w:tc>
          <w:tcPr>
            <w:tcW w:w="1800" w:type="dxa"/>
          </w:tcPr>
          <w:p w:rsidR="004A73E9" w:rsidRDefault="004A73E9" w:rsidP="004A73E9">
            <w:pPr>
              <w:rPr>
                <w:rFonts w:cs="Arial"/>
                <w:b/>
                <w:bCs/>
                <w:color w:val="0000FF"/>
              </w:rPr>
            </w:pPr>
          </w:p>
          <w:p w:rsidR="004A73E9" w:rsidRDefault="004A73E9" w:rsidP="004A73E9">
            <w:pPr>
              <w:rPr>
                <w:rFonts w:cs="Arial"/>
                <w:b/>
                <w:bCs/>
                <w:color w:val="0000FF"/>
              </w:rPr>
            </w:pPr>
            <w:r>
              <w:rPr>
                <w:rFonts w:cs="Arial"/>
                <w:b/>
                <w:bCs/>
                <w:color w:val="0000FF"/>
              </w:rPr>
              <w:t>Reagents</w:t>
            </w:r>
          </w:p>
        </w:tc>
        <w:tc>
          <w:tcPr>
            <w:tcW w:w="9360" w:type="dxa"/>
            <w:vMerge w:val="restart"/>
            <w:tcBorders>
              <w:top w:val="single" w:sz="18" w:space="0" w:color="A6A6A6"/>
            </w:tcBorders>
            <w:vAlign w:val="center"/>
          </w:tcPr>
          <w:p w:rsidR="004A73E9" w:rsidRPr="004B281A" w:rsidRDefault="004A73E9" w:rsidP="004B281A">
            <w:pPr>
              <w:rPr>
                <w:rFonts w:cs="Arial"/>
                <w:iCs/>
                <w:szCs w:val="20"/>
              </w:rPr>
            </w:pPr>
            <w:r w:rsidRPr="00B52D8C">
              <w:rPr>
                <w:rFonts w:cs="Arial"/>
                <w:b/>
                <w:color w:val="5F497A"/>
                <w:szCs w:val="20"/>
              </w:rPr>
              <w:t>PRIMARY METHOD:</w:t>
            </w:r>
            <w:r w:rsidRPr="00B52D8C">
              <w:rPr>
                <w:rFonts w:cs="Arial"/>
                <w:szCs w:val="20"/>
              </w:rPr>
              <w:t xml:space="preserve"> </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620"/>
              <w:gridCol w:w="4837"/>
            </w:tblGrid>
            <w:tr w:rsidR="004A73E9" w:rsidRPr="00DB1AC3" w:rsidTr="00AD5F53">
              <w:tc>
                <w:tcPr>
                  <w:tcW w:w="2677" w:type="dxa"/>
                </w:tcPr>
                <w:p w:rsidR="004A73E9" w:rsidRPr="00DB1AC3" w:rsidRDefault="004A73E9" w:rsidP="00AD5F53">
                  <w:pPr>
                    <w:jc w:val="center"/>
                    <w:rPr>
                      <w:rFonts w:cs="Arial"/>
                      <w:b/>
                      <w:bCs/>
                      <w:i/>
                      <w:szCs w:val="20"/>
                    </w:rPr>
                  </w:pPr>
                  <w:r w:rsidRPr="00DB1AC3">
                    <w:rPr>
                      <w:rFonts w:cs="Arial"/>
                      <w:b/>
                      <w:bCs/>
                      <w:i/>
                      <w:szCs w:val="20"/>
                    </w:rPr>
                    <w:t>Product Description</w:t>
                  </w:r>
                </w:p>
              </w:tc>
              <w:tc>
                <w:tcPr>
                  <w:tcW w:w="1620" w:type="dxa"/>
                </w:tcPr>
                <w:p w:rsidR="004A73E9" w:rsidRPr="00DB1AC3" w:rsidRDefault="004A73E9" w:rsidP="00AD5F53">
                  <w:pPr>
                    <w:jc w:val="center"/>
                    <w:rPr>
                      <w:rFonts w:cs="Arial"/>
                      <w:b/>
                      <w:bCs/>
                      <w:i/>
                      <w:szCs w:val="20"/>
                    </w:rPr>
                  </w:pPr>
                  <w:r w:rsidRPr="00DB1AC3">
                    <w:rPr>
                      <w:rFonts w:cs="Arial"/>
                      <w:b/>
                      <w:bCs/>
                      <w:i/>
                      <w:szCs w:val="20"/>
                    </w:rPr>
                    <w:t>Product Code</w:t>
                  </w:r>
                </w:p>
              </w:tc>
              <w:tc>
                <w:tcPr>
                  <w:tcW w:w="4837" w:type="dxa"/>
                </w:tcPr>
                <w:p w:rsidR="004A73E9" w:rsidRPr="00DB1AC3" w:rsidRDefault="004A73E9" w:rsidP="00AD5F53">
                  <w:pPr>
                    <w:jc w:val="center"/>
                    <w:rPr>
                      <w:rFonts w:cs="Arial"/>
                      <w:b/>
                      <w:bCs/>
                      <w:i/>
                      <w:szCs w:val="20"/>
                    </w:rPr>
                  </w:pPr>
                  <w:r w:rsidRPr="00DB1AC3">
                    <w:rPr>
                      <w:rFonts w:cs="Arial"/>
                      <w:b/>
                      <w:bCs/>
                      <w:i/>
                      <w:szCs w:val="20"/>
                    </w:rPr>
                    <w:t>Stability</w:t>
                  </w:r>
                </w:p>
              </w:tc>
            </w:tr>
            <w:tr w:rsidR="004A73E9" w:rsidRPr="00DB1AC3" w:rsidTr="00AD5F53">
              <w:trPr>
                <w:trHeight w:val="1808"/>
              </w:trPr>
              <w:tc>
                <w:tcPr>
                  <w:tcW w:w="2677" w:type="dxa"/>
                </w:tcPr>
                <w:p w:rsidR="004A73E9" w:rsidRPr="00C14698" w:rsidRDefault="004A73E9" w:rsidP="00AD5F53">
                  <w:pPr>
                    <w:autoSpaceDE w:val="0"/>
                    <w:autoSpaceDN w:val="0"/>
                    <w:adjustRightInd w:val="0"/>
                    <w:rPr>
                      <w:rFonts w:cs="Arial"/>
                      <w:szCs w:val="20"/>
                    </w:rPr>
                  </w:pPr>
                  <w:r w:rsidRPr="00C14698">
                    <w:rPr>
                      <w:rFonts w:cs="Arial"/>
                      <w:szCs w:val="20"/>
                    </w:rPr>
                    <w:t>Dimension Vista ® PHOS Flex® reagent cartridge</w:t>
                  </w:r>
                </w:p>
                <w:p w:rsidR="004A73E9" w:rsidRPr="00C14698" w:rsidRDefault="004A73E9" w:rsidP="00AD5F53">
                  <w:pPr>
                    <w:autoSpaceDE w:val="0"/>
                    <w:autoSpaceDN w:val="0"/>
                    <w:adjustRightInd w:val="0"/>
                    <w:rPr>
                      <w:rFonts w:cs="Arial"/>
                      <w:szCs w:val="20"/>
                    </w:rPr>
                  </w:pPr>
                </w:p>
                <w:p w:rsidR="004A73E9" w:rsidRPr="00C14698" w:rsidRDefault="004A73E9" w:rsidP="00AD5F53">
                  <w:pPr>
                    <w:autoSpaceDE w:val="0"/>
                    <w:autoSpaceDN w:val="0"/>
                    <w:adjustRightInd w:val="0"/>
                    <w:rPr>
                      <w:rFonts w:cs="Arial"/>
                      <w:szCs w:val="20"/>
                    </w:rPr>
                  </w:pPr>
                  <w:r w:rsidRPr="00C14698">
                    <w:rPr>
                      <w:rFonts w:cs="Arial"/>
                      <w:szCs w:val="20"/>
                    </w:rPr>
                    <w:t>Liquid and ready to use.</w:t>
                  </w:r>
                </w:p>
              </w:tc>
              <w:tc>
                <w:tcPr>
                  <w:tcW w:w="1620" w:type="dxa"/>
                </w:tcPr>
                <w:p w:rsidR="004A73E9" w:rsidRPr="00DB1AC3" w:rsidRDefault="004A73E9" w:rsidP="00AD5F53">
                  <w:pPr>
                    <w:autoSpaceDE w:val="0"/>
                    <w:autoSpaceDN w:val="0"/>
                    <w:adjustRightInd w:val="0"/>
                    <w:rPr>
                      <w:rFonts w:cs="Arial"/>
                      <w:szCs w:val="20"/>
                    </w:rPr>
                  </w:pPr>
                  <w:r>
                    <w:rPr>
                      <w:rFonts w:cs="Arial"/>
                      <w:szCs w:val="20"/>
                    </w:rPr>
                    <w:t>K1060</w:t>
                  </w:r>
                </w:p>
              </w:tc>
              <w:tc>
                <w:tcPr>
                  <w:tcW w:w="4837" w:type="dxa"/>
                </w:tcPr>
                <w:p w:rsidR="004A73E9" w:rsidRPr="00DB1AC3" w:rsidRDefault="004A73E9" w:rsidP="00AD5F53">
                  <w:pPr>
                    <w:autoSpaceDE w:val="0"/>
                    <w:autoSpaceDN w:val="0"/>
                    <w:adjustRightInd w:val="0"/>
                    <w:spacing w:after="120"/>
                    <w:rPr>
                      <w:rFonts w:cs="Arial"/>
                      <w:szCs w:val="20"/>
                    </w:rPr>
                  </w:pPr>
                  <w:r w:rsidRPr="00DB1AC3">
                    <w:rPr>
                      <w:rFonts w:cs="Arial"/>
                      <w:b/>
                      <w:bCs/>
                      <w:szCs w:val="20"/>
                    </w:rPr>
                    <w:t xml:space="preserve">Store at: </w:t>
                  </w:r>
                  <w:r w:rsidRPr="00DB1AC3">
                    <w:rPr>
                      <w:rFonts w:cs="Arial"/>
                      <w:szCs w:val="20"/>
                    </w:rPr>
                    <w:t>2 - 8 °C.</w:t>
                  </w:r>
                </w:p>
                <w:p w:rsidR="004A73E9" w:rsidRPr="00DB1AC3" w:rsidRDefault="004A73E9" w:rsidP="00AD5F53">
                  <w:pPr>
                    <w:autoSpaceDE w:val="0"/>
                    <w:autoSpaceDN w:val="0"/>
                    <w:adjustRightInd w:val="0"/>
                    <w:spacing w:after="120"/>
                    <w:rPr>
                      <w:rFonts w:cs="Arial"/>
                      <w:szCs w:val="20"/>
                    </w:rPr>
                  </w:pPr>
                  <w:r w:rsidRPr="00DB1AC3">
                    <w:rPr>
                      <w:rFonts w:cs="Arial"/>
                      <w:b/>
                      <w:bCs/>
                      <w:szCs w:val="20"/>
                    </w:rPr>
                    <w:t>Unopened:</w:t>
                  </w:r>
                  <w:r>
                    <w:rPr>
                      <w:rFonts w:cs="Arial"/>
                      <w:b/>
                      <w:bCs/>
                      <w:szCs w:val="20"/>
                    </w:rPr>
                    <w:t xml:space="preserve"> </w:t>
                  </w:r>
                  <w:r w:rsidRPr="00DB1AC3">
                    <w:rPr>
                      <w:rFonts w:cs="Arial"/>
                      <w:szCs w:val="20"/>
                    </w:rPr>
                    <w:t xml:space="preserve">Refer to carton for expiration date of individual unopened reagent cartridges. </w:t>
                  </w:r>
                </w:p>
                <w:p w:rsidR="004A73E9" w:rsidRPr="00DB1AC3" w:rsidRDefault="004A73E9" w:rsidP="00AD5F53">
                  <w:pPr>
                    <w:autoSpaceDE w:val="0"/>
                    <w:autoSpaceDN w:val="0"/>
                    <w:adjustRightInd w:val="0"/>
                    <w:spacing w:after="120"/>
                    <w:rPr>
                      <w:rFonts w:cs="Arial"/>
                      <w:szCs w:val="20"/>
                    </w:rPr>
                  </w:pPr>
                  <w:r w:rsidRPr="00DB1AC3">
                    <w:rPr>
                      <w:rFonts w:cs="Arial"/>
                      <w:b/>
                      <w:szCs w:val="20"/>
                    </w:rPr>
                    <w:t>On-board:</w:t>
                  </w:r>
                  <w:r>
                    <w:rPr>
                      <w:rFonts w:cs="Arial"/>
                      <w:szCs w:val="20"/>
                    </w:rPr>
                    <w:t xml:space="preserve"> </w:t>
                  </w:r>
                  <w:r w:rsidRPr="00DB1AC3">
                    <w:rPr>
                      <w:rFonts w:cs="Arial"/>
                      <w:szCs w:val="20"/>
                    </w:rPr>
                    <w:t xml:space="preserve">Sealed wells on the instrument are stable for </w:t>
                  </w:r>
                  <w:r>
                    <w:rPr>
                      <w:rFonts w:cs="Arial"/>
                      <w:szCs w:val="20"/>
                    </w:rPr>
                    <w:t>3</w:t>
                  </w:r>
                  <w:r w:rsidRPr="00DB1AC3">
                    <w:rPr>
                      <w:rFonts w:cs="Arial"/>
                      <w:szCs w:val="20"/>
                    </w:rPr>
                    <w:t>0 days.</w:t>
                  </w:r>
                </w:p>
                <w:p w:rsidR="004A73E9" w:rsidRPr="00C14698" w:rsidRDefault="004A73E9" w:rsidP="00AD5F53">
                  <w:pPr>
                    <w:tabs>
                      <w:tab w:val="left" w:pos="1872"/>
                    </w:tabs>
                    <w:autoSpaceDE w:val="0"/>
                    <w:autoSpaceDN w:val="0"/>
                    <w:adjustRightInd w:val="0"/>
                    <w:rPr>
                      <w:rFonts w:cs="Arial"/>
                      <w:szCs w:val="20"/>
                    </w:rPr>
                  </w:pPr>
                  <w:r w:rsidRPr="00DB1AC3">
                    <w:rPr>
                      <w:rFonts w:cs="Arial"/>
                      <w:b/>
                      <w:bCs/>
                      <w:szCs w:val="20"/>
                    </w:rPr>
                    <w:t>Open well stability:</w:t>
                  </w:r>
                  <w:r>
                    <w:rPr>
                      <w:rFonts w:cs="Arial"/>
                      <w:b/>
                      <w:bCs/>
                      <w:szCs w:val="20"/>
                    </w:rPr>
                    <w:tab/>
                  </w:r>
                  <w:r>
                    <w:rPr>
                      <w:rFonts w:cs="Arial"/>
                      <w:szCs w:val="20"/>
                    </w:rPr>
                    <w:t>7</w:t>
                  </w:r>
                  <w:r w:rsidRPr="002C4F36">
                    <w:rPr>
                      <w:rFonts w:cs="Arial"/>
                      <w:szCs w:val="20"/>
                    </w:rPr>
                    <w:t xml:space="preserve"> days for wells 1 – </w:t>
                  </w:r>
                  <w:r>
                    <w:rPr>
                      <w:rFonts w:cs="Arial"/>
                      <w:szCs w:val="20"/>
                    </w:rPr>
                    <w:t>12</w:t>
                  </w:r>
                </w:p>
              </w:tc>
            </w:tr>
            <w:tr w:rsidR="004A73E9" w:rsidRPr="00DB1AC3" w:rsidTr="00A71915">
              <w:trPr>
                <w:trHeight w:val="2159"/>
              </w:trPr>
              <w:tc>
                <w:tcPr>
                  <w:tcW w:w="2677" w:type="dxa"/>
                </w:tcPr>
                <w:p w:rsidR="004A73E9" w:rsidRPr="00C14698" w:rsidRDefault="004A73E9" w:rsidP="00AD5F53">
                  <w:pPr>
                    <w:autoSpaceDE w:val="0"/>
                    <w:autoSpaceDN w:val="0"/>
                    <w:adjustRightInd w:val="0"/>
                    <w:rPr>
                      <w:rFonts w:cs="Arial"/>
                      <w:szCs w:val="20"/>
                    </w:rPr>
                  </w:pPr>
                  <w:r w:rsidRPr="00C14698">
                    <w:rPr>
                      <w:rFonts w:cs="Arial"/>
                      <w:szCs w:val="20"/>
                    </w:rPr>
                    <w:t xml:space="preserve">CHEM 2 CAL </w:t>
                  </w:r>
                </w:p>
                <w:p w:rsidR="004A73E9" w:rsidRPr="00C14698" w:rsidRDefault="004A73E9" w:rsidP="00AD5F53">
                  <w:pPr>
                    <w:autoSpaceDE w:val="0"/>
                    <w:autoSpaceDN w:val="0"/>
                    <w:adjustRightInd w:val="0"/>
                    <w:rPr>
                      <w:rFonts w:eastAsia="Arial Unicode MS" w:cs="Arial"/>
                      <w:sz w:val="16"/>
                      <w:szCs w:val="16"/>
                    </w:rPr>
                  </w:pPr>
                  <w:r w:rsidRPr="00C14698">
                    <w:rPr>
                      <w:rFonts w:cs="Arial"/>
                      <w:sz w:val="16"/>
                      <w:szCs w:val="16"/>
                    </w:rPr>
                    <w:t>Traceable to NIST SRM 21861</w:t>
                  </w:r>
                </w:p>
              </w:tc>
              <w:tc>
                <w:tcPr>
                  <w:tcW w:w="1620" w:type="dxa"/>
                </w:tcPr>
                <w:p w:rsidR="004A73E9" w:rsidRPr="00C14698" w:rsidRDefault="004A73E9" w:rsidP="00AD5F53">
                  <w:pPr>
                    <w:autoSpaceDE w:val="0"/>
                    <w:autoSpaceDN w:val="0"/>
                    <w:adjustRightInd w:val="0"/>
                    <w:rPr>
                      <w:rFonts w:eastAsia="Arial Unicode MS" w:cs="Arial"/>
                      <w:szCs w:val="20"/>
                    </w:rPr>
                  </w:pPr>
                  <w:r w:rsidRPr="00C14698">
                    <w:rPr>
                      <w:rFonts w:cs="Arial"/>
                      <w:szCs w:val="20"/>
                    </w:rPr>
                    <w:t>KC120</w:t>
                  </w:r>
                </w:p>
              </w:tc>
              <w:tc>
                <w:tcPr>
                  <w:tcW w:w="4837" w:type="dxa"/>
                  <w:vAlign w:val="center"/>
                </w:tcPr>
                <w:p w:rsidR="004A73E9" w:rsidRPr="00B47E93" w:rsidRDefault="004A73E9" w:rsidP="00AD5F53">
                  <w:pPr>
                    <w:autoSpaceDE w:val="0"/>
                    <w:autoSpaceDN w:val="0"/>
                    <w:adjustRightInd w:val="0"/>
                    <w:spacing w:after="120"/>
                    <w:rPr>
                      <w:rFonts w:cs="Arial"/>
                      <w:szCs w:val="20"/>
                    </w:rPr>
                  </w:pPr>
                  <w:r w:rsidRPr="00B47E93">
                    <w:rPr>
                      <w:rFonts w:cs="Arial"/>
                      <w:b/>
                      <w:bCs/>
                      <w:szCs w:val="20"/>
                    </w:rPr>
                    <w:t xml:space="preserve">Store at: </w:t>
                  </w:r>
                  <w:r w:rsidRPr="00B47E93">
                    <w:rPr>
                      <w:rFonts w:cs="Arial"/>
                      <w:szCs w:val="20"/>
                    </w:rPr>
                    <w:t>2 - 8 °C.</w:t>
                  </w:r>
                </w:p>
                <w:p w:rsidR="004A73E9" w:rsidRPr="00B47E93" w:rsidRDefault="004A73E9" w:rsidP="00AD5F53">
                  <w:pPr>
                    <w:autoSpaceDE w:val="0"/>
                    <w:autoSpaceDN w:val="0"/>
                    <w:adjustRightInd w:val="0"/>
                    <w:spacing w:after="120"/>
                    <w:rPr>
                      <w:rFonts w:cs="Arial"/>
                      <w:b/>
                      <w:szCs w:val="20"/>
                    </w:rPr>
                  </w:pPr>
                  <w:r w:rsidRPr="00B47E93">
                    <w:rPr>
                      <w:rFonts w:cs="Arial"/>
                      <w:b/>
                      <w:bCs/>
                      <w:szCs w:val="20"/>
                    </w:rPr>
                    <w:t xml:space="preserve">Unopened: </w:t>
                  </w:r>
                  <w:r w:rsidRPr="00B47E93">
                    <w:rPr>
                      <w:rFonts w:cs="Arial"/>
                      <w:szCs w:val="20"/>
                    </w:rPr>
                    <w:t>Refer to carton for expiration date.</w:t>
                  </w:r>
                  <w:r w:rsidRPr="00B47E93">
                    <w:rPr>
                      <w:rFonts w:cs="Arial"/>
                      <w:b/>
                      <w:szCs w:val="20"/>
                    </w:rPr>
                    <w:t xml:space="preserve"> </w:t>
                  </w:r>
                </w:p>
                <w:p w:rsidR="004A73E9" w:rsidRPr="00B47E93" w:rsidRDefault="004A73E9" w:rsidP="00AD5F53">
                  <w:pPr>
                    <w:autoSpaceDE w:val="0"/>
                    <w:autoSpaceDN w:val="0"/>
                    <w:adjustRightInd w:val="0"/>
                    <w:spacing w:after="120"/>
                    <w:rPr>
                      <w:rFonts w:cs="Arial"/>
                      <w:szCs w:val="20"/>
                    </w:rPr>
                  </w:pPr>
                  <w:r w:rsidRPr="00B47E93">
                    <w:rPr>
                      <w:rFonts w:cs="Arial"/>
                      <w:b/>
                      <w:szCs w:val="20"/>
                    </w:rPr>
                    <w:t>On-board:</w:t>
                  </w:r>
                  <w:r w:rsidRPr="00B47E93">
                    <w:rPr>
                      <w:rFonts w:cs="Arial"/>
                      <w:szCs w:val="20"/>
                    </w:rPr>
                    <w:t xml:space="preserve"> Once the vial stopper is punctured, assigned values are stable for 24 hours when stored on board the Dimension Vista</w:t>
                  </w:r>
                  <w:r w:rsidRPr="00B47E93">
                    <w:rPr>
                      <w:rStyle w:val="A5"/>
                      <w:rFonts w:cs="Arial"/>
                      <w:szCs w:val="20"/>
                    </w:rPr>
                    <w:t xml:space="preserve">® </w:t>
                  </w:r>
                  <w:r w:rsidRPr="00B47E93">
                    <w:rPr>
                      <w:rFonts w:cs="Arial"/>
                      <w:szCs w:val="20"/>
                    </w:rPr>
                    <w:t>System</w:t>
                  </w:r>
                </w:p>
                <w:p w:rsidR="004A73E9" w:rsidRPr="00DB1AC3" w:rsidRDefault="004A73E9" w:rsidP="00AD5F53">
                  <w:pPr>
                    <w:autoSpaceDE w:val="0"/>
                    <w:autoSpaceDN w:val="0"/>
                    <w:adjustRightInd w:val="0"/>
                    <w:spacing w:after="120"/>
                    <w:rPr>
                      <w:rFonts w:cs="Arial"/>
                      <w:szCs w:val="20"/>
                    </w:rPr>
                  </w:pPr>
                  <w:r w:rsidRPr="00B47E93">
                    <w:rPr>
                      <w:rFonts w:cs="Arial"/>
                      <w:b/>
                      <w:szCs w:val="20"/>
                    </w:rPr>
                    <w:t>Opened:</w:t>
                  </w:r>
                  <w:r w:rsidRPr="00B47E93">
                    <w:rPr>
                      <w:rFonts w:cs="Arial"/>
                      <w:szCs w:val="20"/>
                    </w:rPr>
                    <w:t xml:space="preserve"> Once the cap is removed, the assigned values are stable for 30 days when recapped and stored at 2 - 8 °C. Do not use this vial on board.</w:t>
                  </w:r>
                </w:p>
              </w:tc>
            </w:tr>
            <w:tr w:rsidR="004A73E9" w:rsidRPr="00DB1AC3" w:rsidTr="00AD5F53">
              <w:trPr>
                <w:trHeight w:val="837"/>
              </w:trPr>
              <w:tc>
                <w:tcPr>
                  <w:tcW w:w="9134" w:type="dxa"/>
                  <w:gridSpan w:val="3"/>
                </w:tcPr>
                <w:p w:rsidR="004A73E9" w:rsidRPr="004B281A" w:rsidRDefault="004A73E9" w:rsidP="00AD5F53">
                  <w:pPr>
                    <w:rPr>
                      <w:rFonts w:cs="Arial"/>
                      <w:szCs w:val="20"/>
                    </w:rPr>
                  </w:pPr>
                  <w:r w:rsidRPr="004B281A">
                    <w:rPr>
                      <w:rFonts w:cs="Arial"/>
                      <w:b/>
                      <w:szCs w:val="20"/>
                    </w:rPr>
                    <w:t>Precautions</w:t>
                  </w:r>
                  <w:r w:rsidRPr="004B281A">
                    <w:rPr>
                      <w:rFonts w:cs="Arial"/>
                      <w:szCs w:val="20"/>
                    </w:rPr>
                    <w:t xml:space="preserve">: </w:t>
                  </w:r>
                </w:p>
                <w:p w:rsidR="004A73E9" w:rsidRPr="004B281A" w:rsidRDefault="004A73E9" w:rsidP="00AD5F53">
                  <w:pPr>
                    <w:pStyle w:val="Pa18"/>
                    <w:rPr>
                      <w:rFonts w:ascii="Arial" w:hAnsi="Arial" w:cs="Arial"/>
                      <w:color w:val="000000"/>
                      <w:sz w:val="20"/>
                      <w:szCs w:val="20"/>
                    </w:rPr>
                  </w:pPr>
                  <w:r w:rsidRPr="004B281A">
                    <w:rPr>
                      <w:rFonts w:ascii="Arial" w:hAnsi="Arial" w:cs="Arial"/>
                      <w:color w:val="000000"/>
                      <w:sz w:val="20"/>
                      <w:szCs w:val="20"/>
                    </w:rPr>
                    <w:t>Irritant. Contains mixture of 5-chloro-2-methyl-2H-isothiazol-3-one and 2-methyl-2H-isothiazol-3-one (3:1).</w:t>
                  </w:r>
                </w:p>
                <w:p w:rsidR="004A73E9" w:rsidRPr="004B281A" w:rsidRDefault="004A73E9" w:rsidP="00AD5F53">
                  <w:pPr>
                    <w:pStyle w:val="Pa18"/>
                    <w:numPr>
                      <w:ilvl w:val="0"/>
                      <w:numId w:val="24"/>
                    </w:numPr>
                    <w:rPr>
                      <w:rFonts w:ascii="Arial" w:hAnsi="Arial" w:cs="Arial"/>
                      <w:color w:val="000000"/>
                      <w:sz w:val="20"/>
                      <w:szCs w:val="20"/>
                    </w:rPr>
                  </w:pPr>
                  <w:r w:rsidRPr="004B281A">
                    <w:rPr>
                      <w:rFonts w:ascii="Arial" w:hAnsi="Arial" w:cs="Arial"/>
                      <w:color w:val="000000"/>
                      <w:sz w:val="20"/>
                      <w:szCs w:val="20"/>
                    </w:rPr>
                    <w:t>Irritating to eyes and skin.</w:t>
                  </w:r>
                </w:p>
                <w:p w:rsidR="004A73E9" w:rsidRPr="004B281A" w:rsidRDefault="004A73E9" w:rsidP="00AD5F53">
                  <w:pPr>
                    <w:pStyle w:val="Pa18"/>
                    <w:numPr>
                      <w:ilvl w:val="0"/>
                      <w:numId w:val="24"/>
                    </w:numPr>
                    <w:rPr>
                      <w:rFonts w:ascii="Arial" w:hAnsi="Arial" w:cs="Arial"/>
                      <w:color w:val="000000"/>
                      <w:sz w:val="20"/>
                      <w:szCs w:val="20"/>
                    </w:rPr>
                  </w:pPr>
                  <w:r w:rsidRPr="004B281A">
                    <w:rPr>
                      <w:rFonts w:ascii="Arial" w:hAnsi="Arial" w:cs="Arial"/>
                      <w:color w:val="000000"/>
                      <w:sz w:val="20"/>
                      <w:szCs w:val="20"/>
                    </w:rPr>
                    <w:t>Harmful to aquatic organisms, may cause long-term adverse effects in the aquatic environment.</w:t>
                  </w:r>
                </w:p>
                <w:p w:rsidR="004B281A" w:rsidRPr="004B281A" w:rsidRDefault="004A73E9" w:rsidP="004B281A">
                  <w:pPr>
                    <w:pStyle w:val="Pa18"/>
                    <w:numPr>
                      <w:ilvl w:val="0"/>
                      <w:numId w:val="24"/>
                    </w:numPr>
                    <w:rPr>
                      <w:rStyle w:val="A14"/>
                      <w:rFonts w:ascii="Arial" w:hAnsi="Arial" w:cs="Arial"/>
                      <w:b/>
                      <w:bCs/>
                      <w:color w:val="auto"/>
                      <w:sz w:val="20"/>
                      <w:szCs w:val="20"/>
                      <w:u w:val="none"/>
                    </w:rPr>
                  </w:pPr>
                  <w:r w:rsidRPr="004B281A">
                    <w:rPr>
                      <w:rStyle w:val="A14"/>
                      <w:rFonts w:ascii="Arial" w:hAnsi="Arial" w:cs="Arial"/>
                      <w:sz w:val="20"/>
                      <w:szCs w:val="20"/>
                      <w:u w:val="none"/>
                    </w:rPr>
                    <w:t>Wear suitable gloves and eye/face protection.</w:t>
                  </w:r>
                </w:p>
                <w:p w:rsidR="004A73E9" w:rsidRPr="004B281A" w:rsidRDefault="004A73E9" w:rsidP="004B281A">
                  <w:pPr>
                    <w:pStyle w:val="Pa18"/>
                    <w:numPr>
                      <w:ilvl w:val="0"/>
                      <w:numId w:val="24"/>
                    </w:numPr>
                    <w:rPr>
                      <w:rFonts w:ascii="Arial" w:hAnsi="Arial" w:cs="Arial"/>
                      <w:b/>
                      <w:bCs/>
                      <w:sz w:val="20"/>
                      <w:szCs w:val="20"/>
                    </w:rPr>
                  </w:pPr>
                  <w:r w:rsidRPr="004B281A">
                    <w:rPr>
                      <w:rFonts w:ascii="Arial" w:hAnsi="Arial" w:cs="Arial"/>
                      <w:sz w:val="20"/>
                      <w:szCs w:val="20"/>
                    </w:rPr>
                    <w:t>Safety data sheets (MSDS/SDS) available on www.siemens.com/diagnostics</w:t>
                  </w:r>
                </w:p>
              </w:tc>
            </w:tr>
          </w:tbl>
          <w:p w:rsidR="004A73E9" w:rsidRPr="001A0262" w:rsidRDefault="004A73E9" w:rsidP="004A73E9">
            <w:pPr>
              <w:jc w:val="both"/>
              <w:rPr>
                <w:rFonts w:cs="Arial"/>
                <w:b/>
                <w:bCs/>
                <w:szCs w:val="20"/>
              </w:rPr>
            </w:pPr>
          </w:p>
        </w:tc>
      </w:tr>
      <w:tr w:rsidR="00725C69" w:rsidTr="00725C69">
        <w:trPr>
          <w:cantSplit/>
          <w:trHeight w:val="1872"/>
          <w:tblHeader/>
        </w:trPr>
        <w:tc>
          <w:tcPr>
            <w:tcW w:w="1800" w:type="dxa"/>
          </w:tcPr>
          <w:p w:rsidR="00725C69" w:rsidRDefault="00725C69" w:rsidP="004B281A">
            <w:pPr>
              <w:rPr>
                <w:rFonts w:cs="Arial"/>
                <w:b/>
                <w:bCs/>
                <w:color w:val="0000FF"/>
              </w:rPr>
            </w:pPr>
            <w:r>
              <w:rPr>
                <w:rFonts w:cs="Arial"/>
                <w:b/>
                <w:bCs/>
                <w:color w:val="0000FF"/>
              </w:rPr>
              <w:t>Risk and Safety</w:t>
            </w:r>
          </w:p>
          <w:p w:rsidR="00725C69" w:rsidRDefault="00725C69" w:rsidP="004A73E9">
            <w:pPr>
              <w:rPr>
                <w:rFonts w:cs="Arial"/>
                <w:b/>
                <w:bCs/>
                <w:color w:val="0000FF"/>
              </w:rPr>
            </w:pPr>
          </w:p>
        </w:tc>
        <w:tc>
          <w:tcPr>
            <w:tcW w:w="9360" w:type="dxa"/>
            <w:vMerge/>
            <w:tcBorders>
              <w:top w:val="single" w:sz="18" w:space="0" w:color="BFBFBF"/>
              <w:bottom w:val="single" w:sz="18" w:space="0" w:color="A6A6A6"/>
            </w:tcBorders>
            <w:vAlign w:val="center"/>
          </w:tcPr>
          <w:p w:rsidR="00725C69" w:rsidRPr="00B52D8C" w:rsidRDefault="00725C69" w:rsidP="004B281A">
            <w:pPr>
              <w:rPr>
                <w:rFonts w:cs="Arial"/>
                <w:b/>
                <w:color w:val="5F497A"/>
                <w:szCs w:val="20"/>
              </w:rPr>
            </w:pPr>
          </w:p>
        </w:tc>
      </w:tr>
      <w:tr w:rsidR="00AD5F53" w:rsidTr="00725C69">
        <w:trPr>
          <w:trHeight w:val="6948"/>
          <w:tblHeader/>
        </w:trPr>
        <w:tc>
          <w:tcPr>
            <w:tcW w:w="1800" w:type="dxa"/>
            <w:tcBorders>
              <w:bottom w:val="nil"/>
            </w:tcBorders>
          </w:tcPr>
          <w:p w:rsidR="00D23634" w:rsidRDefault="00D23634" w:rsidP="00AD5F53">
            <w:pPr>
              <w:rPr>
                <w:rFonts w:cs="Arial"/>
                <w:b/>
                <w:bCs/>
                <w:color w:val="0000FF"/>
              </w:rPr>
            </w:pPr>
          </w:p>
          <w:p w:rsidR="00AD5F53" w:rsidRDefault="004B281A" w:rsidP="00AD5F53">
            <w:pPr>
              <w:rPr>
                <w:rFonts w:cs="Arial"/>
                <w:b/>
                <w:bCs/>
                <w:color w:val="0000FF"/>
              </w:rPr>
            </w:pPr>
            <w:r>
              <w:rPr>
                <w:rFonts w:cs="Arial"/>
                <w:b/>
                <w:bCs/>
                <w:color w:val="0000FF"/>
              </w:rPr>
              <w:t>Reagents (cont)</w:t>
            </w:r>
          </w:p>
        </w:tc>
        <w:tc>
          <w:tcPr>
            <w:tcW w:w="9360" w:type="dxa"/>
            <w:tcBorders>
              <w:top w:val="single" w:sz="18" w:space="0" w:color="A6A6A6"/>
            </w:tcBorders>
            <w:vAlign w:val="center"/>
          </w:tcPr>
          <w:p w:rsidR="00AD5F53" w:rsidRDefault="00AD5F53" w:rsidP="00684697">
            <w:pPr>
              <w:rPr>
                <w:rFonts w:cs="Arial"/>
                <w:b/>
                <w:color w:val="76923C"/>
                <w:szCs w:val="20"/>
              </w:rPr>
            </w:pPr>
            <w:r w:rsidRPr="00B52D8C">
              <w:rPr>
                <w:rFonts w:cs="Arial"/>
                <w:b/>
                <w:color w:val="76923C"/>
                <w:szCs w:val="20"/>
              </w:rPr>
              <w:t>SECONDARY METHOD:</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620"/>
              <w:gridCol w:w="4837"/>
            </w:tblGrid>
            <w:tr w:rsidR="00AD5F53" w:rsidRPr="00DB1AC3" w:rsidTr="00684697">
              <w:tc>
                <w:tcPr>
                  <w:tcW w:w="2677" w:type="dxa"/>
                </w:tcPr>
                <w:p w:rsidR="00AD5F53" w:rsidRPr="00DB1AC3" w:rsidRDefault="00AD5F53" w:rsidP="00684697">
                  <w:pPr>
                    <w:jc w:val="center"/>
                    <w:rPr>
                      <w:rFonts w:cs="Arial"/>
                      <w:b/>
                      <w:bCs/>
                      <w:i/>
                      <w:szCs w:val="20"/>
                    </w:rPr>
                  </w:pPr>
                  <w:r w:rsidRPr="00DB1AC3">
                    <w:rPr>
                      <w:rFonts w:cs="Arial"/>
                      <w:b/>
                      <w:bCs/>
                      <w:i/>
                      <w:szCs w:val="20"/>
                    </w:rPr>
                    <w:t>Product Description</w:t>
                  </w:r>
                </w:p>
              </w:tc>
              <w:tc>
                <w:tcPr>
                  <w:tcW w:w="1620" w:type="dxa"/>
                </w:tcPr>
                <w:p w:rsidR="00AD5F53" w:rsidRPr="00DB1AC3" w:rsidRDefault="00AD5F53" w:rsidP="00684697">
                  <w:pPr>
                    <w:jc w:val="center"/>
                    <w:rPr>
                      <w:rFonts w:cs="Arial"/>
                      <w:b/>
                      <w:bCs/>
                      <w:i/>
                      <w:szCs w:val="20"/>
                    </w:rPr>
                  </w:pPr>
                  <w:r w:rsidRPr="00DB1AC3">
                    <w:rPr>
                      <w:rFonts w:cs="Arial"/>
                      <w:b/>
                      <w:bCs/>
                      <w:i/>
                      <w:szCs w:val="20"/>
                    </w:rPr>
                    <w:t>Product Code</w:t>
                  </w:r>
                </w:p>
              </w:tc>
              <w:tc>
                <w:tcPr>
                  <w:tcW w:w="4837" w:type="dxa"/>
                </w:tcPr>
                <w:p w:rsidR="00AD5F53" w:rsidRPr="00DB1AC3" w:rsidRDefault="00AD5F53" w:rsidP="00684697">
                  <w:pPr>
                    <w:jc w:val="center"/>
                    <w:rPr>
                      <w:rFonts w:cs="Arial"/>
                      <w:b/>
                      <w:bCs/>
                      <w:i/>
                      <w:szCs w:val="20"/>
                    </w:rPr>
                  </w:pPr>
                  <w:r w:rsidRPr="00DB1AC3">
                    <w:rPr>
                      <w:rFonts w:cs="Arial"/>
                      <w:b/>
                      <w:bCs/>
                      <w:i/>
                      <w:szCs w:val="20"/>
                    </w:rPr>
                    <w:t>Stability</w:t>
                  </w:r>
                </w:p>
              </w:tc>
            </w:tr>
            <w:tr w:rsidR="00AD5F53" w:rsidRPr="00DB1AC3" w:rsidTr="00684697">
              <w:trPr>
                <w:trHeight w:val="1808"/>
              </w:trPr>
              <w:tc>
                <w:tcPr>
                  <w:tcW w:w="2677" w:type="dxa"/>
                </w:tcPr>
                <w:p w:rsidR="00AD5F53" w:rsidRPr="00C14698" w:rsidRDefault="00AD5F53" w:rsidP="00684697">
                  <w:pPr>
                    <w:autoSpaceDE w:val="0"/>
                    <w:autoSpaceDN w:val="0"/>
                    <w:adjustRightInd w:val="0"/>
                    <w:rPr>
                      <w:rFonts w:cs="Arial"/>
                      <w:szCs w:val="20"/>
                    </w:rPr>
                  </w:pPr>
                  <w:r w:rsidRPr="00C14698">
                    <w:rPr>
                      <w:rFonts w:cs="Arial"/>
                      <w:szCs w:val="20"/>
                    </w:rPr>
                    <w:t>Dimension PHOS Flex® reagent cartridge</w:t>
                  </w:r>
                </w:p>
                <w:p w:rsidR="00AD5F53" w:rsidRPr="00C14698" w:rsidRDefault="00AD5F53" w:rsidP="00684697">
                  <w:pPr>
                    <w:autoSpaceDE w:val="0"/>
                    <w:autoSpaceDN w:val="0"/>
                    <w:adjustRightInd w:val="0"/>
                    <w:rPr>
                      <w:rFonts w:cs="Arial"/>
                      <w:szCs w:val="20"/>
                    </w:rPr>
                  </w:pPr>
                </w:p>
                <w:p w:rsidR="00AD5F53" w:rsidRPr="00C14698" w:rsidRDefault="00AD5F53" w:rsidP="00684697">
                  <w:pPr>
                    <w:autoSpaceDE w:val="0"/>
                    <w:autoSpaceDN w:val="0"/>
                    <w:adjustRightInd w:val="0"/>
                    <w:rPr>
                      <w:rFonts w:cs="Arial"/>
                      <w:szCs w:val="20"/>
                    </w:rPr>
                  </w:pPr>
                  <w:r w:rsidRPr="00C14698">
                    <w:rPr>
                      <w:rFonts w:cs="Arial"/>
                      <w:szCs w:val="20"/>
                    </w:rPr>
                    <w:t>Liquid and ready to use.</w:t>
                  </w:r>
                </w:p>
              </w:tc>
              <w:tc>
                <w:tcPr>
                  <w:tcW w:w="1620" w:type="dxa"/>
                </w:tcPr>
                <w:p w:rsidR="00AD5F53" w:rsidRPr="00DB1AC3" w:rsidRDefault="00AD5F53" w:rsidP="00684697">
                  <w:pPr>
                    <w:autoSpaceDE w:val="0"/>
                    <w:autoSpaceDN w:val="0"/>
                    <w:adjustRightInd w:val="0"/>
                    <w:rPr>
                      <w:rFonts w:cs="Arial"/>
                      <w:szCs w:val="20"/>
                    </w:rPr>
                  </w:pPr>
                  <w:r>
                    <w:rPr>
                      <w:rFonts w:cs="Arial"/>
                      <w:szCs w:val="20"/>
                    </w:rPr>
                    <w:t>DF16A</w:t>
                  </w:r>
                </w:p>
              </w:tc>
              <w:tc>
                <w:tcPr>
                  <w:tcW w:w="4837" w:type="dxa"/>
                </w:tcPr>
                <w:p w:rsidR="00AD5F53" w:rsidRPr="00DB1AC3" w:rsidRDefault="00AD5F53" w:rsidP="00684697">
                  <w:pPr>
                    <w:autoSpaceDE w:val="0"/>
                    <w:autoSpaceDN w:val="0"/>
                    <w:adjustRightInd w:val="0"/>
                    <w:spacing w:after="120"/>
                    <w:rPr>
                      <w:rFonts w:cs="Arial"/>
                      <w:szCs w:val="20"/>
                    </w:rPr>
                  </w:pPr>
                  <w:r w:rsidRPr="00DB1AC3">
                    <w:rPr>
                      <w:rFonts w:cs="Arial"/>
                      <w:b/>
                      <w:bCs/>
                      <w:szCs w:val="20"/>
                    </w:rPr>
                    <w:t xml:space="preserve">Store at: </w:t>
                  </w:r>
                  <w:r w:rsidRPr="00DB1AC3">
                    <w:rPr>
                      <w:rFonts w:cs="Arial"/>
                      <w:szCs w:val="20"/>
                    </w:rPr>
                    <w:t>2 - 8 °C.</w:t>
                  </w:r>
                </w:p>
                <w:p w:rsidR="00AD5F53" w:rsidRPr="00DB1AC3" w:rsidRDefault="00AD5F53" w:rsidP="00684697">
                  <w:pPr>
                    <w:autoSpaceDE w:val="0"/>
                    <w:autoSpaceDN w:val="0"/>
                    <w:adjustRightInd w:val="0"/>
                    <w:spacing w:after="120"/>
                    <w:rPr>
                      <w:rFonts w:cs="Arial"/>
                      <w:szCs w:val="20"/>
                    </w:rPr>
                  </w:pPr>
                  <w:r w:rsidRPr="00DB1AC3">
                    <w:rPr>
                      <w:rFonts w:cs="Arial"/>
                      <w:b/>
                      <w:bCs/>
                      <w:szCs w:val="20"/>
                    </w:rPr>
                    <w:t>Unopened:</w:t>
                  </w:r>
                  <w:r>
                    <w:rPr>
                      <w:rFonts w:cs="Arial"/>
                      <w:b/>
                      <w:bCs/>
                      <w:szCs w:val="20"/>
                    </w:rPr>
                    <w:t xml:space="preserve"> </w:t>
                  </w:r>
                  <w:r w:rsidRPr="00DB1AC3">
                    <w:rPr>
                      <w:rFonts w:cs="Arial"/>
                      <w:szCs w:val="20"/>
                    </w:rPr>
                    <w:t xml:space="preserve">Refer to carton for expiration date of individual unopened reagent cartridges. </w:t>
                  </w:r>
                </w:p>
                <w:p w:rsidR="00AD5F53" w:rsidRPr="00DB1AC3" w:rsidRDefault="00AD5F53" w:rsidP="00684697">
                  <w:pPr>
                    <w:autoSpaceDE w:val="0"/>
                    <w:autoSpaceDN w:val="0"/>
                    <w:adjustRightInd w:val="0"/>
                    <w:spacing w:after="120"/>
                    <w:rPr>
                      <w:rFonts w:cs="Arial"/>
                      <w:szCs w:val="20"/>
                    </w:rPr>
                  </w:pPr>
                  <w:r w:rsidRPr="00DB1AC3">
                    <w:rPr>
                      <w:rFonts w:cs="Arial"/>
                      <w:b/>
                      <w:szCs w:val="20"/>
                    </w:rPr>
                    <w:t>On-board:</w:t>
                  </w:r>
                  <w:r>
                    <w:rPr>
                      <w:rFonts w:cs="Arial"/>
                      <w:szCs w:val="20"/>
                    </w:rPr>
                    <w:t xml:space="preserve"> </w:t>
                  </w:r>
                  <w:r w:rsidRPr="00DB1AC3">
                    <w:rPr>
                      <w:rFonts w:cs="Arial"/>
                      <w:szCs w:val="20"/>
                    </w:rPr>
                    <w:t xml:space="preserve">Sealed wells on the instrument are stable for </w:t>
                  </w:r>
                  <w:r>
                    <w:rPr>
                      <w:rFonts w:cs="Arial"/>
                      <w:szCs w:val="20"/>
                    </w:rPr>
                    <w:t>3</w:t>
                  </w:r>
                  <w:r w:rsidRPr="00DB1AC3">
                    <w:rPr>
                      <w:rFonts w:cs="Arial"/>
                      <w:szCs w:val="20"/>
                    </w:rPr>
                    <w:t>0 days.</w:t>
                  </w:r>
                </w:p>
                <w:p w:rsidR="00AD5F53" w:rsidRPr="00C14698" w:rsidRDefault="00AD5F53" w:rsidP="007639EB">
                  <w:pPr>
                    <w:tabs>
                      <w:tab w:val="left" w:pos="1872"/>
                    </w:tabs>
                    <w:autoSpaceDE w:val="0"/>
                    <w:autoSpaceDN w:val="0"/>
                    <w:adjustRightInd w:val="0"/>
                    <w:rPr>
                      <w:rFonts w:cs="Arial"/>
                      <w:szCs w:val="20"/>
                    </w:rPr>
                  </w:pPr>
                  <w:r w:rsidRPr="00DB1AC3">
                    <w:rPr>
                      <w:rFonts w:cs="Arial"/>
                      <w:b/>
                      <w:bCs/>
                      <w:szCs w:val="20"/>
                    </w:rPr>
                    <w:t>Open well stability:</w:t>
                  </w:r>
                  <w:r>
                    <w:rPr>
                      <w:rFonts w:cs="Arial"/>
                      <w:b/>
                      <w:bCs/>
                      <w:szCs w:val="20"/>
                    </w:rPr>
                    <w:tab/>
                  </w:r>
                  <w:r w:rsidR="007639EB">
                    <w:rPr>
                      <w:rFonts w:cs="Arial"/>
                      <w:szCs w:val="20"/>
                    </w:rPr>
                    <w:t>3</w:t>
                  </w:r>
                  <w:r w:rsidRPr="002C4F36">
                    <w:rPr>
                      <w:rFonts w:cs="Arial"/>
                      <w:szCs w:val="20"/>
                    </w:rPr>
                    <w:t xml:space="preserve"> days for wells 1 – </w:t>
                  </w:r>
                  <w:r w:rsidR="007639EB">
                    <w:rPr>
                      <w:rFonts w:cs="Arial"/>
                      <w:szCs w:val="20"/>
                    </w:rPr>
                    <w:t>6, 30 days for wells 7-8</w:t>
                  </w:r>
                </w:p>
              </w:tc>
            </w:tr>
            <w:tr w:rsidR="00AD5F53" w:rsidRPr="00DB1AC3" w:rsidTr="00E22299">
              <w:trPr>
                <w:trHeight w:val="1106"/>
              </w:trPr>
              <w:tc>
                <w:tcPr>
                  <w:tcW w:w="2677" w:type="dxa"/>
                </w:tcPr>
                <w:p w:rsidR="00AD5F53" w:rsidRPr="00C14698" w:rsidRDefault="00AD5F53" w:rsidP="00684697">
                  <w:pPr>
                    <w:autoSpaceDE w:val="0"/>
                    <w:autoSpaceDN w:val="0"/>
                    <w:adjustRightInd w:val="0"/>
                    <w:rPr>
                      <w:rFonts w:cs="Arial"/>
                      <w:szCs w:val="20"/>
                    </w:rPr>
                  </w:pPr>
                  <w:r>
                    <w:rPr>
                      <w:rFonts w:cs="Arial"/>
                      <w:szCs w:val="20"/>
                    </w:rPr>
                    <w:t>CHEM II</w:t>
                  </w:r>
                  <w:r w:rsidRPr="00C14698">
                    <w:rPr>
                      <w:rFonts w:cs="Arial"/>
                      <w:szCs w:val="20"/>
                    </w:rPr>
                    <w:t xml:space="preserve"> C</w:t>
                  </w:r>
                  <w:r>
                    <w:rPr>
                      <w:rFonts w:cs="Arial"/>
                      <w:szCs w:val="20"/>
                    </w:rPr>
                    <w:t>alibrator</w:t>
                  </w:r>
                </w:p>
                <w:p w:rsidR="00AD5F53" w:rsidRPr="00C14698" w:rsidRDefault="00AD5F53" w:rsidP="00684697">
                  <w:pPr>
                    <w:autoSpaceDE w:val="0"/>
                    <w:autoSpaceDN w:val="0"/>
                    <w:adjustRightInd w:val="0"/>
                    <w:rPr>
                      <w:rFonts w:eastAsia="Arial Unicode MS" w:cs="Arial"/>
                      <w:sz w:val="16"/>
                      <w:szCs w:val="16"/>
                    </w:rPr>
                  </w:pPr>
                </w:p>
              </w:tc>
              <w:tc>
                <w:tcPr>
                  <w:tcW w:w="1620" w:type="dxa"/>
                </w:tcPr>
                <w:p w:rsidR="00AD5F53" w:rsidRPr="00C14698" w:rsidRDefault="00AD5F53" w:rsidP="00684697">
                  <w:pPr>
                    <w:autoSpaceDE w:val="0"/>
                    <w:autoSpaceDN w:val="0"/>
                    <w:adjustRightInd w:val="0"/>
                    <w:rPr>
                      <w:rFonts w:eastAsia="Arial Unicode MS" w:cs="Arial"/>
                      <w:szCs w:val="20"/>
                    </w:rPr>
                  </w:pPr>
                  <w:r>
                    <w:rPr>
                      <w:rFonts w:cs="Arial"/>
                      <w:szCs w:val="20"/>
                    </w:rPr>
                    <w:t>DC20</w:t>
                  </w:r>
                </w:p>
              </w:tc>
              <w:tc>
                <w:tcPr>
                  <w:tcW w:w="4837" w:type="dxa"/>
                  <w:vAlign w:val="center"/>
                </w:tcPr>
                <w:p w:rsidR="00AD5F53" w:rsidRPr="00E22299" w:rsidRDefault="00AD5F53" w:rsidP="00684697">
                  <w:pPr>
                    <w:autoSpaceDE w:val="0"/>
                    <w:autoSpaceDN w:val="0"/>
                    <w:adjustRightInd w:val="0"/>
                    <w:spacing w:after="120"/>
                    <w:rPr>
                      <w:rFonts w:cs="Arial"/>
                      <w:szCs w:val="20"/>
                    </w:rPr>
                  </w:pPr>
                  <w:r w:rsidRPr="00E22299">
                    <w:rPr>
                      <w:rFonts w:cs="Arial"/>
                      <w:b/>
                      <w:bCs/>
                      <w:szCs w:val="20"/>
                    </w:rPr>
                    <w:t xml:space="preserve">Store at: </w:t>
                  </w:r>
                  <w:r w:rsidR="00E22299">
                    <w:rPr>
                      <w:rFonts w:cs="Arial"/>
                      <w:szCs w:val="20"/>
                    </w:rPr>
                    <w:t>2 - 8 °C</w:t>
                  </w:r>
                </w:p>
                <w:p w:rsidR="00AD5F53" w:rsidRPr="00E22299" w:rsidRDefault="00AD5F53" w:rsidP="00684697">
                  <w:pPr>
                    <w:autoSpaceDE w:val="0"/>
                    <w:autoSpaceDN w:val="0"/>
                    <w:adjustRightInd w:val="0"/>
                    <w:spacing w:after="120"/>
                    <w:rPr>
                      <w:rFonts w:cs="Arial"/>
                      <w:b/>
                      <w:szCs w:val="20"/>
                    </w:rPr>
                  </w:pPr>
                  <w:r w:rsidRPr="00E22299">
                    <w:rPr>
                      <w:rFonts w:cs="Arial"/>
                      <w:b/>
                      <w:bCs/>
                      <w:szCs w:val="20"/>
                    </w:rPr>
                    <w:t xml:space="preserve">Unopened: </w:t>
                  </w:r>
                  <w:r w:rsidRPr="00E22299">
                    <w:rPr>
                      <w:rFonts w:cs="Arial"/>
                      <w:szCs w:val="20"/>
                    </w:rPr>
                    <w:t>Refer to carton for expiration date.</w:t>
                  </w:r>
                  <w:r w:rsidRPr="00E22299">
                    <w:rPr>
                      <w:rFonts w:cs="Arial"/>
                      <w:b/>
                      <w:szCs w:val="20"/>
                    </w:rPr>
                    <w:t xml:space="preserve"> </w:t>
                  </w:r>
                </w:p>
                <w:p w:rsidR="00AD5F53" w:rsidRPr="00DB1AC3" w:rsidRDefault="00AD5F53" w:rsidP="00E22299">
                  <w:pPr>
                    <w:autoSpaceDE w:val="0"/>
                    <w:autoSpaceDN w:val="0"/>
                    <w:adjustRightInd w:val="0"/>
                    <w:spacing w:after="120"/>
                    <w:rPr>
                      <w:rFonts w:cs="Arial"/>
                      <w:szCs w:val="20"/>
                    </w:rPr>
                  </w:pPr>
                  <w:r w:rsidRPr="00E22299">
                    <w:rPr>
                      <w:rFonts w:cs="Arial"/>
                      <w:b/>
                      <w:szCs w:val="20"/>
                    </w:rPr>
                    <w:t>Opened:</w:t>
                  </w:r>
                  <w:r w:rsidRPr="00E22299">
                    <w:rPr>
                      <w:rFonts w:cs="Arial"/>
                      <w:szCs w:val="20"/>
                    </w:rPr>
                    <w:t xml:space="preserve"> </w:t>
                  </w:r>
                  <w:r w:rsidR="00E22299" w:rsidRPr="00E22299">
                    <w:rPr>
                      <w:rFonts w:cs="Arial"/>
                      <w:szCs w:val="20"/>
                    </w:rPr>
                    <w:t>Use immediately</w:t>
                  </w:r>
                </w:p>
              </w:tc>
            </w:tr>
            <w:tr w:rsidR="00AD5F53" w:rsidRPr="00CD6185" w:rsidTr="001A0262">
              <w:trPr>
                <w:trHeight w:val="837"/>
              </w:trPr>
              <w:tc>
                <w:tcPr>
                  <w:tcW w:w="9134" w:type="dxa"/>
                  <w:gridSpan w:val="3"/>
                </w:tcPr>
                <w:p w:rsidR="00AD5F53" w:rsidRPr="00CD6185" w:rsidRDefault="00CD6185" w:rsidP="001A0262">
                  <w:pPr>
                    <w:autoSpaceDE w:val="0"/>
                    <w:autoSpaceDN w:val="0"/>
                    <w:adjustRightInd w:val="0"/>
                    <w:rPr>
                      <w:rFonts w:cs="Arial"/>
                      <w:color w:val="000000"/>
                      <w:szCs w:val="20"/>
                    </w:rPr>
                  </w:pPr>
                  <w:r w:rsidRPr="00CD6185">
                    <w:rPr>
                      <w:rFonts w:cs="Arial"/>
                      <w:b/>
                      <w:bCs/>
                      <w:color w:val="000000"/>
                      <w:szCs w:val="20"/>
                    </w:rPr>
                    <w:t xml:space="preserve">Contains: </w:t>
                  </w:r>
                  <w:proofErr w:type="spellStart"/>
                  <w:r w:rsidRPr="00CD6185">
                    <w:rPr>
                      <w:rFonts w:cs="Arial"/>
                      <w:color w:val="000000"/>
                      <w:szCs w:val="20"/>
                    </w:rPr>
                    <w:t>Sulphuric</w:t>
                  </w:r>
                  <w:proofErr w:type="spellEnd"/>
                  <w:r w:rsidRPr="00CD6185">
                    <w:rPr>
                      <w:rFonts w:cs="Arial"/>
                      <w:color w:val="000000"/>
                      <w:szCs w:val="20"/>
                    </w:rPr>
                    <w:t xml:space="preserve"> acid</w:t>
                  </w:r>
                </w:p>
                <w:tbl>
                  <w:tblPr>
                    <w:tblW w:w="0" w:type="auto"/>
                    <w:tblBorders>
                      <w:top w:val="nil"/>
                      <w:left w:val="nil"/>
                      <w:bottom w:val="nil"/>
                      <w:right w:val="nil"/>
                    </w:tblBorders>
                    <w:tblLayout w:type="fixed"/>
                    <w:tblLook w:val="0000"/>
                  </w:tblPr>
                  <w:tblGrid>
                    <w:gridCol w:w="8869"/>
                  </w:tblGrid>
                  <w:tr w:rsidR="00CD6185" w:rsidRPr="00CD6185" w:rsidTr="00CD6185">
                    <w:tblPrEx>
                      <w:tblCellMar>
                        <w:top w:w="0" w:type="dxa"/>
                        <w:bottom w:w="0" w:type="dxa"/>
                      </w:tblCellMar>
                    </w:tblPrEx>
                    <w:trPr>
                      <w:trHeight w:val="2745"/>
                    </w:trPr>
                    <w:tc>
                      <w:tcPr>
                        <w:tcW w:w="8869" w:type="dxa"/>
                      </w:tcPr>
                      <w:p w:rsidR="00CD6185" w:rsidRPr="00CD6185" w:rsidRDefault="00CD6185" w:rsidP="00CD6185">
                        <w:pPr>
                          <w:numPr>
                            <w:ilvl w:val="0"/>
                            <w:numId w:val="34"/>
                          </w:numPr>
                          <w:autoSpaceDE w:val="0"/>
                          <w:autoSpaceDN w:val="0"/>
                          <w:adjustRightInd w:val="0"/>
                          <w:spacing w:line="151" w:lineRule="atLeast"/>
                          <w:rPr>
                            <w:rFonts w:cs="Arial"/>
                            <w:color w:val="000000"/>
                            <w:szCs w:val="20"/>
                          </w:rPr>
                        </w:pPr>
                        <w:r w:rsidRPr="00CD6185">
                          <w:rPr>
                            <w:rFonts w:cs="Arial"/>
                            <w:color w:val="000000"/>
                            <w:szCs w:val="20"/>
                          </w:rPr>
                          <w:t xml:space="preserve">May be corrosive to metals. Causes severe skin burns and eye damage. </w:t>
                        </w:r>
                      </w:p>
                      <w:p w:rsidR="00CD6185" w:rsidRDefault="00CD6185" w:rsidP="00CD6185">
                        <w:pPr>
                          <w:numPr>
                            <w:ilvl w:val="0"/>
                            <w:numId w:val="34"/>
                          </w:numPr>
                          <w:autoSpaceDE w:val="0"/>
                          <w:autoSpaceDN w:val="0"/>
                          <w:adjustRightInd w:val="0"/>
                          <w:spacing w:line="151" w:lineRule="atLeast"/>
                          <w:rPr>
                            <w:rFonts w:cs="Arial"/>
                            <w:color w:val="000000"/>
                            <w:szCs w:val="20"/>
                          </w:rPr>
                        </w:pPr>
                        <w:r w:rsidRPr="00CD6185">
                          <w:rPr>
                            <w:rFonts w:cs="Arial"/>
                            <w:color w:val="000000"/>
                            <w:szCs w:val="20"/>
                          </w:rPr>
                          <w:t xml:space="preserve">Wear protective gloves/protective clothing/eye protection/face protection. </w:t>
                        </w:r>
                      </w:p>
                      <w:p w:rsidR="00CD6185" w:rsidRDefault="00CD6185" w:rsidP="00CD6185">
                        <w:pPr>
                          <w:numPr>
                            <w:ilvl w:val="0"/>
                            <w:numId w:val="34"/>
                          </w:numPr>
                          <w:autoSpaceDE w:val="0"/>
                          <w:autoSpaceDN w:val="0"/>
                          <w:adjustRightInd w:val="0"/>
                          <w:spacing w:line="151" w:lineRule="atLeast"/>
                          <w:rPr>
                            <w:rFonts w:cs="Arial"/>
                            <w:color w:val="000000"/>
                            <w:szCs w:val="20"/>
                          </w:rPr>
                        </w:pPr>
                        <w:r>
                          <w:rPr>
                            <w:rFonts w:cs="Arial"/>
                            <w:color w:val="000000"/>
                            <w:szCs w:val="20"/>
                          </w:rPr>
                          <w:t>IF SWALLOWED i</w:t>
                        </w:r>
                        <w:r w:rsidRPr="00CD6185">
                          <w:rPr>
                            <w:rFonts w:cs="Arial"/>
                            <w:color w:val="000000"/>
                            <w:szCs w:val="20"/>
                          </w:rPr>
                          <w:t xml:space="preserve">mmediately call a POISON CENTER or doctor/physician. </w:t>
                        </w:r>
                      </w:p>
                      <w:p w:rsidR="00CD6185" w:rsidRDefault="00CD6185" w:rsidP="00CD6185">
                        <w:pPr>
                          <w:numPr>
                            <w:ilvl w:val="0"/>
                            <w:numId w:val="34"/>
                          </w:numPr>
                          <w:autoSpaceDE w:val="0"/>
                          <w:autoSpaceDN w:val="0"/>
                          <w:adjustRightInd w:val="0"/>
                          <w:spacing w:line="151" w:lineRule="atLeast"/>
                          <w:rPr>
                            <w:rFonts w:cs="Arial"/>
                            <w:color w:val="000000"/>
                            <w:szCs w:val="20"/>
                          </w:rPr>
                        </w:pPr>
                        <w:r w:rsidRPr="00CD6185">
                          <w:rPr>
                            <w:rFonts w:cs="Arial"/>
                            <w:color w:val="000000"/>
                            <w:szCs w:val="20"/>
                          </w:rPr>
                          <w:t xml:space="preserve">Do NOT induce </w:t>
                        </w:r>
                        <w:r>
                          <w:rPr>
                            <w:rFonts w:cs="Arial"/>
                            <w:color w:val="000000"/>
                            <w:szCs w:val="20"/>
                          </w:rPr>
                          <w:t>vomiting. IF ON SKIN (or hair):</w:t>
                        </w:r>
                      </w:p>
                      <w:p w:rsidR="00CD6185" w:rsidRDefault="00CD6185" w:rsidP="00CD6185">
                        <w:pPr>
                          <w:numPr>
                            <w:ilvl w:val="0"/>
                            <w:numId w:val="34"/>
                          </w:numPr>
                          <w:autoSpaceDE w:val="0"/>
                          <w:autoSpaceDN w:val="0"/>
                          <w:adjustRightInd w:val="0"/>
                          <w:spacing w:line="151" w:lineRule="atLeast"/>
                          <w:rPr>
                            <w:rFonts w:cs="Arial"/>
                            <w:color w:val="000000"/>
                            <w:szCs w:val="20"/>
                          </w:rPr>
                        </w:pPr>
                        <w:r w:rsidRPr="00CD6185">
                          <w:rPr>
                            <w:rFonts w:cs="Arial"/>
                            <w:color w:val="000000"/>
                            <w:szCs w:val="20"/>
                          </w:rPr>
                          <w:t xml:space="preserve">Remove/Take off immediately all contaminated clothing. Rinse skin with water/shower. </w:t>
                        </w:r>
                      </w:p>
                      <w:p w:rsidR="00CD6185" w:rsidRDefault="00CD6185" w:rsidP="00CD6185">
                        <w:pPr>
                          <w:numPr>
                            <w:ilvl w:val="0"/>
                            <w:numId w:val="34"/>
                          </w:numPr>
                          <w:autoSpaceDE w:val="0"/>
                          <w:autoSpaceDN w:val="0"/>
                          <w:adjustRightInd w:val="0"/>
                          <w:spacing w:line="151" w:lineRule="atLeast"/>
                          <w:rPr>
                            <w:rFonts w:cs="Arial"/>
                            <w:color w:val="000000"/>
                            <w:szCs w:val="20"/>
                          </w:rPr>
                        </w:pPr>
                        <w:r>
                          <w:rPr>
                            <w:rFonts w:cs="Arial"/>
                            <w:color w:val="000000"/>
                            <w:szCs w:val="20"/>
                          </w:rPr>
                          <w:t xml:space="preserve">IF IN EYES </w:t>
                        </w:r>
                        <w:r w:rsidR="004B281A">
                          <w:rPr>
                            <w:rFonts w:cs="Arial"/>
                            <w:color w:val="000000"/>
                            <w:szCs w:val="20"/>
                          </w:rPr>
                          <w:t>i</w:t>
                        </w:r>
                        <w:r w:rsidRPr="00CD6185">
                          <w:rPr>
                            <w:rFonts w:cs="Arial"/>
                            <w:color w:val="000000"/>
                            <w:szCs w:val="20"/>
                          </w:rPr>
                          <w:t xml:space="preserve">mmediately call a POISON CENTER or doctor/physician. </w:t>
                        </w:r>
                      </w:p>
                      <w:p w:rsidR="00CD6185" w:rsidRDefault="00CD6185" w:rsidP="00CD6185">
                        <w:pPr>
                          <w:numPr>
                            <w:ilvl w:val="0"/>
                            <w:numId w:val="34"/>
                          </w:numPr>
                          <w:autoSpaceDE w:val="0"/>
                          <w:autoSpaceDN w:val="0"/>
                          <w:adjustRightInd w:val="0"/>
                          <w:spacing w:line="151" w:lineRule="atLeast"/>
                          <w:rPr>
                            <w:rFonts w:cs="Arial"/>
                            <w:color w:val="000000"/>
                            <w:szCs w:val="20"/>
                          </w:rPr>
                        </w:pPr>
                        <w:r w:rsidRPr="00CD6185">
                          <w:rPr>
                            <w:rFonts w:cs="Arial"/>
                            <w:color w:val="000000"/>
                            <w:szCs w:val="20"/>
                          </w:rPr>
                          <w:t xml:space="preserve">Rinse cautiously with water for several minutes. </w:t>
                        </w:r>
                      </w:p>
                      <w:p w:rsidR="00CD6185" w:rsidRDefault="00CD6185" w:rsidP="00CD6185">
                        <w:pPr>
                          <w:numPr>
                            <w:ilvl w:val="0"/>
                            <w:numId w:val="34"/>
                          </w:numPr>
                          <w:autoSpaceDE w:val="0"/>
                          <w:autoSpaceDN w:val="0"/>
                          <w:adjustRightInd w:val="0"/>
                          <w:spacing w:line="151" w:lineRule="atLeast"/>
                          <w:rPr>
                            <w:rFonts w:cs="Arial"/>
                            <w:color w:val="000000"/>
                            <w:szCs w:val="20"/>
                          </w:rPr>
                        </w:pPr>
                        <w:r w:rsidRPr="00CD6185">
                          <w:rPr>
                            <w:rFonts w:cs="Arial"/>
                            <w:color w:val="000000"/>
                            <w:szCs w:val="20"/>
                          </w:rPr>
                          <w:t xml:space="preserve">Remove contact lenses, if present </w:t>
                        </w:r>
                      </w:p>
                      <w:p w:rsidR="00CD6185" w:rsidRDefault="00CD6185" w:rsidP="00CD6185">
                        <w:pPr>
                          <w:numPr>
                            <w:ilvl w:val="0"/>
                            <w:numId w:val="34"/>
                          </w:numPr>
                          <w:autoSpaceDE w:val="0"/>
                          <w:autoSpaceDN w:val="0"/>
                          <w:adjustRightInd w:val="0"/>
                          <w:spacing w:line="151" w:lineRule="atLeast"/>
                          <w:rPr>
                            <w:rFonts w:cs="Arial"/>
                            <w:color w:val="000000"/>
                            <w:szCs w:val="20"/>
                          </w:rPr>
                        </w:pPr>
                        <w:r w:rsidRPr="00CD6185">
                          <w:rPr>
                            <w:rFonts w:cs="Arial"/>
                            <w:color w:val="000000"/>
                            <w:szCs w:val="20"/>
                          </w:rPr>
                          <w:t xml:space="preserve">Continue rinsing. Absorb spillage to prevent material damage. </w:t>
                        </w:r>
                      </w:p>
                      <w:p w:rsidR="00CD6185" w:rsidRPr="00CD6185" w:rsidRDefault="00CD6185" w:rsidP="00CD6185">
                        <w:pPr>
                          <w:numPr>
                            <w:ilvl w:val="0"/>
                            <w:numId w:val="34"/>
                          </w:numPr>
                          <w:autoSpaceDE w:val="0"/>
                          <w:autoSpaceDN w:val="0"/>
                          <w:adjustRightInd w:val="0"/>
                          <w:spacing w:line="151" w:lineRule="atLeast"/>
                          <w:rPr>
                            <w:rFonts w:cs="Arial"/>
                            <w:color w:val="000000"/>
                            <w:szCs w:val="20"/>
                          </w:rPr>
                        </w:pPr>
                        <w:r w:rsidRPr="00CD6185">
                          <w:rPr>
                            <w:rFonts w:cs="Arial"/>
                            <w:color w:val="000000"/>
                            <w:szCs w:val="20"/>
                          </w:rPr>
                          <w:t xml:space="preserve">Dispose of contents and container in accordance with all local, regional, and national regulations. </w:t>
                        </w:r>
                      </w:p>
                    </w:tc>
                  </w:tr>
                </w:tbl>
                <w:p w:rsidR="00AD5F53" w:rsidRPr="00CD6185" w:rsidRDefault="00AD5F53" w:rsidP="00684697">
                  <w:pPr>
                    <w:autoSpaceDE w:val="0"/>
                    <w:autoSpaceDN w:val="0"/>
                    <w:adjustRightInd w:val="0"/>
                    <w:spacing w:after="120"/>
                    <w:rPr>
                      <w:rFonts w:cs="Arial"/>
                      <w:b/>
                      <w:bCs/>
                      <w:szCs w:val="20"/>
                    </w:rPr>
                  </w:pPr>
                </w:p>
              </w:tc>
            </w:tr>
          </w:tbl>
          <w:p w:rsidR="00AD5F53" w:rsidRDefault="00AD5F53" w:rsidP="00684697">
            <w:pPr>
              <w:rPr>
                <w:rFonts w:cs="Arial"/>
              </w:rPr>
            </w:pPr>
          </w:p>
        </w:tc>
      </w:tr>
      <w:tr w:rsidR="00D23634" w:rsidTr="00725C69">
        <w:trPr>
          <w:trHeight w:val="81"/>
          <w:tblHeader/>
        </w:trPr>
        <w:tc>
          <w:tcPr>
            <w:tcW w:w="1800" w:type="dxa"/>
          </w:tcPr>
          <w:p w:rsidR="00D23634" w:rsidRDefault="00D23634" w:rsidP="00D23634">
            <w:pPr>
              <w:ind w:right="-108"/>
              <w:rPr>
                <w:rFonts w:cs="Arial"/>
                <w:b/>
                <w:bCs/>
                <w:color w:val="0000FF"/>
              </w:rPr>
            </w:pPr>
          </w:p>
        </w:tc>
        <w:tc>
          <w:tcPr>
            <w:tcW w:w="9360" w:type="dxa"/>
            <w:tcBorders>
              <w:bottom w:val="single" w:sz="18" w:space="0" w:color="A6A6A6"/>
            </w:tcBorders>
            <w:vAlign w:val="center"/>
          </w:tcPr>
          <w:p w:rsidR="00D23634" w:rsidRPr="00B52D8C" w:rsidRDefault="00D23634" w:rsidP="008C17C4">
            <w:pPr>
              <w:rPr>
                <w:rFonts w:cs="Arial"/>
                <w:b/>
                <w:color w:val="5F497A"/>
                <w:szCs w:val="20"/>
              </w:rPr>
            </w:pPr>
          </w:p>
        </w:tc>
      </w:tr>
      <w:tr w:rsidR="00725C69" w:rsidTr="00725C69">
        <w:trPr>
          <w:trHeight w:val="5033"/>
          <w:tblHeader/>
        </w:trPr>
        <w:tc>
          <w:tcPr>
            <w:tcW w:w="1800" w:type="dxa"/>
          </w:tcPr>
          <w:p w:rsidR="00725C69" w:rsidRDefault="00725C69" w:rsidP="00D23634">
            <w:pPr>
              <w:ind w:right="-108"/>
              <w:rPr>
                <w:rFonts w:cs="Arial"/>
                <w:b/>
                <w:bCs/>
                <w:color w:val="0000FF"/>
              </w:rPr>
            </w:pPr>
          </w:p>
          <w:p w:rsidR="00725C69" w:rsidRDefault="00725C69" w:rsidP="00D23634">
            <w:pPr>
              <w:ind w:right="-108"/>
              <w:rPr>
                <w:rFonts w:cs="Arial"/>
                <w:b/>
                <w:bCs/>
                <w:color w:val="0000FF"/>
              </w:rPr>
            </w:pPr>
            <w:r>
              <w:rPr>
                <w:rFonts w:cs="Arial"/>
                <w:b/>
                <w:bCs/>
                <w:color w:val="0000FF"/>
              </w:rPr>
              <w:t>Calibration</w:t>
            </w:r>
          </w:p>
          <w:p w:rsidR="00725C69" w:rsidRDefault="00725C69" w:rsidP="00D23634">
            <w:pPr>
              <w:ind w:right="-108"/>
              <w:rPr>
                <w:rFonts w:cs="Arial"/>
                <w:b/>
                <w:bCs/>
                <w:color w:val="0000FF"/>
              </w:rPr>
            </w:pPr>
          </w:p>
        </w:tc>
        <w:tc>
          <w:tcPr>
            <w:tcW w:w="9360" w:type="dxa"/>
            <w:tcBorders>
              <w:top w:val="single" w:sz="18" w:space="0" w:color="A6A6A6"/>
            </w:tcBorders>
            <w:vAlign w:val="center"/>
          </w:tcPr>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4"/>
              <w:gridCol w:w="5848"/>
              <w:gridCol w:w="535"/>
            </w:tblGrid>
            <w:tr w:rsidR="00725C69" w:rsidTr="00D23634">
              <w:trPr>
                <w:cantSplit/>
                <w:trHeight w:val="80"/>
              </w:trPr>
              <w:tc>
                <w:tcPr>
                  <w:tcW w:w="9787" w:type="dxa"/>
                  <w:gridSpan w:val="3"/>
                  <w:tcBorders>
                    <w:top w:val="nil"/>
                    <w:left w:val="nil"/>
                    <w:right w:val="nil"/>
                  </w:tcBorders>
                </w:tcPr>
                <w:p w:rsidR="00725C69" w:rsidRPr="00D23634" w:rsidRDefault="00725C69" w:rsidP="008C17C4">
                  <w:pPr>
                    <w:rPr>
                      <w:rFonts w:cs="Arial"/>
                      <w:szCs w:val="20"/>
                    </w:rPr>
                  </w:pPr>
                  <w:r w:rsidRPr="00B52D8C">
                    <w:rPr>
                      <w:rFonts w:cs="Arial"/>
                      <w:b/>
                      <w:color w:val="5F497A"/>
                      <w:szCs w:val="20"/>
                    </w:rPr>
                    <w:t>PRIMARY METHOD:</w:t>
                  </w:r>
                </w:p>
              </w:tc>
            </w:tr>
            <w:tr w:rsidR="00725C69" w:rsidTr="007E1014">
              <w:trPr>
                <w:gridAfter w:val="1"/>
                <w:wAfter w:w="535" w:type="dxa"/>
                <w:trHeight w:val="350"/>
              </w:trPr>
              <w:tc>
                <w:tcPr>
                  <w:tcW w:w="3404" w:type="dxa"/>
                </w:tcPr>
                <w:p w:rsidR="00725C69" w:rsidRPr="00DC52B1" w:rsidRDefault="00725C69" w:rsidP="008C17C4">
                  <w:pPr>
                    <w:pStyle w:val="CalVerTable"/>
                    <w:ind w:left="0" w:firstLine="0"/>
                    <w:rPr>
                      <w:rFonts w:ascii="Arial" w:hAnsi="Arial" w:cs="Arial"/>
                    </w:rPr>
                  </w:pPr>
                  <w:r w:rsidRPr="00DC52B1">
                    <w:rPr>
                      <w:rFonts w:ascii="Arial" w:hAnsi="Arial" w:cs="Arial"/>
                    </w:rPr>
                    <w:t>Assay Range:</w:t>
                  </w:r>
                </w:p>
              </w:tc>
              <w:tc>
                <w:tcPr>
                  <w:tcW w:w="5848" w:type="dxa"/>
                </w:tcPr>
                <w:p w:rsidR="00725C69" w:rsidRPr="00DC52B1" w:rsidRDefault="00725C69" w:rsidP="008C17C4">
                  <w:pPr>
                    <w:pStyle w:val="CalVerTable"/>
                    <w:ind w:left="0" w:firstLine="0"/>
                    <w:rPr>
                      <w:rFonts w:ascii="Arial" w:hAnsi="Arial" w:cs="Arial"/>
                    </w:rPr>
                  </w:pPr>
                  <w:r w:rsidRPr="00DC52B1">
                    <w:rPr>
                      <w:rFonts w:ascii="Arial" w:hAnsi="Arial" w:cs="Arial"/>
                    </w:rPr>
                    <w:t>0.1 – 9.0 mg/</w:t>
                  </w:r>
                  <w:proofErr w:type="spellStart"/>
                  <w:r w:rsidRPr="00DC52B1">
                    <w:rPr>
                      <w:rFonts w:ascii="Arial" w:hAnsi="Arial" w:cs="Arial"/>
                    </w:rPr>
                    <w:t>dL</w:t>
                  </w:r>
                  <w:proofErr w:type="spellEnd"/>
                </w:p>
              </w:tc>
            </w:tr>
            <w:tr w:rsidR="00725C69" w:rsidTr="007E1014">
              <w:trPr>
                <w:gridAfter w:val="1"/>
                <w:wAfter w:w="535" w:type="dxa"/>
                <w:trHeight w:val="431"/>
              </w:trPr>
              <w:tc>
                <w:tcPr>
                  <w:tcW w:w="3404" w:type="dxa"/>
                </w:tcPr>
                <w:p w:rsidR="00725C69" w:rsidRPr="00DC52B1" w:rsidRDefault="00725C69" w:rsidP="008C17C4">
                  <w:pPr>
                    <w:pStyle w:val="CalVerTable"/>
                    <w:ind w:left="0" w:firstLine="0"/>
                    <w:rPr>
                      <w:rFonts w:ascii="Arial" w:hAnsi="Arial" w:cs="Arial"/>
                    </w:rPr>
                  </w:pPr>
                  <w:r>
                    <w:rPr>
                      <w:rFonts w:ascii="Arial" w:hAnsi="Arial" w:cs="Arial"/>
                    </w:rPr>
                    <w:t>Calibration</w:t>
                  </w:r>
                  <w:r w:rsidRPr="00DC52B1">
                    <w:rPr>
                      <w:rFonts w:ascii="Arial" w:hAnsi="Arial" w:cs="Arial"/>
                    </w:rPr>
                    <w:t xml:space="preserve"> Material:</w:t>
                  </w:r>
                </w:p>
              </w:tc>
              <w:tc>
                <w:tcPr>
                  <w:tcW w:w="5848" w:type="dxa"/>
                </w:tcPr>
                <w:p w:rsidR="00725C69" w:rsidRPr="00DC52B1" w:rsidRDefault="00725C69" w:rsidP="008C17C4">
                  <w:pPr>
                    <w:pStyle w:val="Header"/>
                    <w:tabs>
                      <w:tab w:val="clear" w:pos="4320"/>
                      <w:tab w:val="clear" w:pos="8640"/>
                    </w:tabs>
                    <w:autoSpaceDE w:val="0"/>
                    <w:autoSpaceDN w:val="0"/>
                    <w:adjustRightInd w:val="0"/>
                    <w:rPr>
                      <w:rFonts w:cs="Arial"/>
                      <w:szCs w:val="20"/>
                    </w:rPr>
                  </w:pPr>
                  <w:r w:rsidRPr="00DC52B1">
                    <w:rPr>
                      <w:rFonts w:cs="Arial"/>
                      <w:szCs w:val="20"/>
                    </w:rPr>
                    <w:t>CHEM 2 Calibrator (KC120)</w:t>
                  </w:r>
                </w:p>
              </w:tc>
            </w:tr>
            <w:tr w:rsidR="00725C69" w:rsidTr="007E1014">
              <w:trPr>
                <w:gridAfter w:val="1"/>
                <w:wAfter w:w="535" w:type="dxa"/>
                <w:trHeight w:val="458"/>
              </w:trPr>
              <w:tc>
                <w:tcPr>
                  <w:tcW w:w="3404" w:type="dxa"/>
                </w:tcPr>
                <w:p w:rsidR="00725C69" w:rsidRPr="008C17C4" w:rsidRDefault="00725C69" w:rsidP="008C17C4">
                  <w:pPr>
                    <w:pStyle w:val="CalVerTable"/>
                    <w:ind w:left="0" w:firstLine="0"/>
                    <w:rPr>
                      <w:rFonts w:ascii="Arial" w:hAnsi="Arial" w:cs="Arial"/>
                    </w:rPr>
                  </w:pPr>
                  <w:r w:rsidRPr="008C17C4">
                    <w:rPr>
                      <w:rFonts w:ascii="Arial" w:hAnsi="Arial" w:cs="Arial"/>
                    </w:rPr>
                    <w:t>Calibration Scheme:</w:t>
                  </w:r>
                </w:p>
              </w:tc>
              <w:tc>
                <w:tcPr>
                  <w:tcW w:w="5848" w:type="dxa"/>
                </w:tcPr>
                <w:p w:rsidR="00725C69" w:rsidRPr="008C17C4" w:rsidRDefault="00725C69" w:rsidP="008C17C4">
                  <w:pPr>
                    <w:pStyle w:val="CalVerTable"/>
                    <w:ind w:left="0" w:firstLine="0"/>
                    <w:rPr>
                      <w:rFonts w:ascii="Arial" w:hAnsi="Arial" w:cs="Arial"/>
                    </w:rPr>
                  </w:pPr>
                  <w:r w:rsidRPr="008C17C4">
                    <w:rPr>
                      <w:rFonts w:ascii="Arial" w:hAnsi="Arial" w:cs="Arial"/>
                    </w:rPr>
                    <w:t>2 levels, n=5</w:t>
                  </w:r>
                </w:p>
                <w:p w:rsidR="00725C69" w:rsidRDefault="00725C69" w:rsidP="008C17C4">
                  <w:pPr>
                    <w:pStyle w:val="CalVerTable"/>
                    <w:ind w:left="0" w:firstLine="0"/>
                    <w:rPr>
                      <w:rFonts w:ascii="Arial" w:hAnsi="Arial" w:cs="Arial"/>
                    </w:rPr>
                  </w:pPr>
                  <w:r w:rsidRPr="008C17C4">
                    <w:rPr>
                      <w:rFonts w:ascii="Arial" w:hAnsi="Arial" w:cs="Arial"/>
                    </w:rPr>
                    <w:t>Level 1 (Calibrator A): 0 mg/</w:t>
                  </w:r>
                  <w:proofErr w:type="spellStart"/>
                  <w:r w:rsidRPr="008C17C4">
                    <w:rPr>
                      <w:rFonts w:ascii="Arial" w:hAnsi="Arial" w:cs="Arial"/>
                    </w:rPr>
                    <w:t>dL</w:t>
                  </w:r>
                  <w:proofErr w:type="spellEnd"/>
                  <w:r w:rsidRPr="008C17C4">
                    <w:rPr>
                      <w:rFonts w:ascii="Arial" w:hAnsi="Arial" w:cs="Arial"/>
                    </w:rPr>
                    <w:t xml:space="preserve"> </w:t>
                  </w:r>
                </w:p>
                <w:p w:rsidR="00725C69" w:rsidRPr="008C17C4" w:rsidRDefault="00725C69" w:rsidP="008C17C4">
                  <w:pPr>
                    <w:pStyle w:val="CalVerTable"/>
                    <w:ind w:left="0" w:firstLine="0"/>
                    <w:rPr>
                      <w:rFonts w:ascii="Arial" w:hAnsi="Arial" w:cs="Arial"/>
                    </w:rPr>
                  </w:pPr>
                  <w:r w:rsidRPr="008C17C4">
                    <w:rPr>
                      <w:rFonts w:ascii="Arial" w:hAnsi="Arial" w:cs="Arial"/>
                    </w:rPr>
                    <w:t>Level 2 (Calibrator B): 10.0 mg/</w:t>
                  </w:r>
                  <w:proofErr w:type="spellStart"/>
                  <w:r w:rsidRPr="008C17C4">
                    <w:rPr>
                      <w:rFonts w:ascii="Arial" w:hAnsi="Arial" w:cs="Arial"/>
                    </w:rPr>
                    <w:t>dL</w:t>
                  </w:r>
                  <w:proofErr w:type="spellEnd"/>
                </w:p>
              </w:tc>
            </w:tr>
            <w:tr w:rsidR="00725C69" w:rsidTr="001D0C86">
              <w:trPr>
                <w:gridAfter w:val="1"/>
                <w:wAfter w:w="535" w:type="dxa"/>
              </w:trPr>
              <w:tc>
                <w:tcPr>
                  <w:tcW w:w="3404" w:type="dxa"/>
                </w:tcPr>
                <w:p w:rsidR="00725C69" w:rsidRPr="00DC52B1" w:rsidRDefault="00725C69" w:rsidP="008C17C4">
                  <w:pPr>
                    <w:pStyle w:val="CalVerTable"/>
                    <w:ind w:left="0" w:firstLine="0"/>
                    <w:rPr>
                      <w:rFonts w:ascii="Arial" w:hAnsi="Arial" w:cs="Arial"/>
                    </w:rPr>
                  </w:pPr>
                  <w:r w:rsidRPr="00DC52B1">
                    <w:rPr>
                      <w:rFonts w:ascii="Arial" w:hAnsi="Arial" w:cs="Arial"/>
                    </w:rPr>
                    <w:t>Calibration Frequency:</w:t>
                  </w:r>
                </w:p>
              </w:tc>
              <w:tc>
                <w:tcPr>
                  <w:tcW w:w="5848" w:type="dxa"/>
                </w:tcPr>
                <w:p w:rsidR="00725C69" w:rsidRPr="00DC52B1" w:rsidRDefault="00725C69" w:rsidP="008C17C4">
                  <w:pPr>
                    <w:pStyle w:val="Pa5"/>
                    <w:numPr>
                      <w:ilvl w:val="0"/>
                      <w:numId w:val="26"/>
                    </w:numPr>
                    <w:spacing w:after="60"/>
                    <w:rPr>
                      <w:rFonts w:ascii="Arial" w:hAnsi="Arial" w:cs="Arial"/>
                      <w:color w:val="000000"/>
                      <w:sz w:val="20"/>
                      <w:szCs w:val="20"/>
                    </w:rPr>
                  </w:pPr>
                  <w:r w:rsidRPr="00DC52B1">
                    <w:rPr>
                      <w:rFonts w:ascii="Arial" w:hAnsi="Arial" w:cs="Arial"/>
                      <w:color w:val="000000"/>
                      <w:sz w:val="20"/>
                      <w:szCs w:val="20"/>
                    </w:rPr>
                    <w:t>Every 90 days for any one lot.</w:t>
                  </w:r>
                </w:p>
                <w:p w:rsidR="00725C69" w:rsidRPr="00DC52B1" w:rsidRDefault="00725C69" w:rsidP="008C17C4">
                  <w:pPr>
                    <w:pStyle w:val="Pa4"/>
                    <w:numPr>
                      <w:ilvl w:val="0"/>
                      <w:numId w:val="26"/>
                    </w:numPr>
                    <w:rPr>
                      <w:rFonts w:ascii="Arial" w:hAnsi="Arial" w:cs="Arial"/>
                      <w:color w:val="000000"/>
                      <w:sz w:val="20"/>
                      <w:szCs w:val="20"/>
                    </w:rPr>
                  </w:pPr>
                  <w:r w:rsidRPr="00DC52B1">
                    <w:rPr>
                      <w:rFonts w:ascii="Arial" w:hAnsi="Arial" w:cs="Arial"/>
                      <w:color w:val="000000"/>
                      <w:sz w:val="20"/>
                      <w:szCs w:val="20"/>
                    </w:rPr>
                    <w:t>For each lot of Flex® reagent cartridges</w:t>
                  </w:r>
                </w:p>
                <w:p w:rsidR="00725C69" w:rsidRPr="00DC52B1" w:rsidRDefault="00725C69" w:rsidP="008C17C4">
                  <w:pPr>
                    <w:pStyle w:val="Pa4"/>
                    <w:numPr>
                      <w:ilvl w:val="0"/>
                      <w:numId w:val="26"/>
                    </w:numPr>
                    <w:rPr>
                      <w:rFonts w:ascii="Arial" w:hAnsi="Arial" w:cs="Arial"/>
                      <w:color w:val="000000"/>
                      <w:sz w:val="20"/>
                      <w:szCs w:val="20"/>
                    </w:rPr>
                  </w:pPr>
                  <w:r w:rsidRPr="00DC52B1">
                    <w:rPr>
                      <w:rFonts w:ascii="Arial" w:hAnsi="Arial" w:cs="Arial"/>
                      <w:color w:val="000000"/>
                      <w:sz w:val="20"/>
                      <w:szCs w:val="20"/>
                    </w:rPr>
                    <w:t>After major maintenance or service, if indicated by quality control results</w:t>
                  </w:r>
                </w:p>
                <w:p w:rsidR="00725C69" w:rsidRPr="00DC52B1" w:rsidRDefault="00725C69" w:rsidP="008C17C4">
                  <w:pPr>
                    <w:pStyle w:val="Pa4"/>
                    <w:numPr>
                      <w:ilvl w:val="0"/>
                      <w:numId w:val="26"/>
                    </w:numPr>
                    <w:rPr>
                      <w:rFonts w:ascii="Arial" w:hAnsi="Arial" w:cs="Arial"/>
                      <w:color w:val="000000"/>
                      <w:sz w:val="20"/>
                      <w:szCs w:val="20"/>
                    </w:rPr>
                  </w:pPr>
                  <w:r w:rsidRPr="00DC52B1">
                    <w:rPr>
                      <w:rFonts w:ascii="Arial" w:hAnsi="Arial" w:cs="Arial"/>
                      <w:color w:val="000000"/>
                      <w:sz w:val="20"/>
                      <w:szCs w:val="20"/>
                    </w:rPr>
                    <w:t>As indicated in laboratory quality control procedures</w:t>
                  </w:r>
                </w:p>
                <w:p w:rsidR="00725C69" w:rsidRPr="00DC52B1" w:rsidRDefault="00725C69" w:rsidP="008C17C4">
                  <w:pPr>
                    <w:numPr>
                      <w:ilvl w:val="0"/>
                      <w:numId w:val="26"/>
                    </w:numPr>
                    <w:autoSpaceDE w:val="0"/>
                    <w:autoSpaceDN w:val="0"/>
                    <w:adjustRightInd w:val="0"/>
                    <w:rPr>
                      <w:rFonts w:cs="Arial"/>
                      <w:szCs w:val="20"/>
                    </w:rPr>
                  </w:pPr>
                  <w:r w:rsidRPr="00DC52B1">
                    <w:rPr>
                      <w:rFonts w:cs="Arial"/>
                      <w:szCs w:val="20"/>
                    </w:rPr>
                    <w:t xml:space="preserve">When required by government regulations </w:t>
                  </w:r>
                </w:p>
              </w:tc>
            </w:tr>
            <w:tr w:rsidR="00725C69" w:rsidTr="001D0C86">
              <w:trPr>
                <w:gridAfter w:val="1"/>
                <w:wAfter w:w="535" w:type="dxa"/>
              </w:trPr>
              <w:tc>
                <w:tcPr>
                  <w:tcW w:w="3404" w:type="dxa"/>
                </w:tcPr>
                <w:p w:rsidR="00725C69" w:rsidRPr="007E1014" w:rsidRDefault="00725C69" w:rsidP="008C17C4">
                  <w:pPr>
                    <w:pStyle w:val="CalVerTable"/>
                    <w:ind w:left="0" w:firstLine="0"/>
                    <w:rPr>
                      <w:rFonts w:ascii="Arial" w:hAnsi="Arial" w:cs="Arial"/>
                    </w:rPr>
                  </w:pPr>
                  <w:r w:rsidRPr="007E1014">
                    <w:rPr>
                      <w:rFonts w:ascii="Arial" w:hAnsi="Arial" w:cs="Arial"/>
                      <w:bCs/>
                    </w:rPr>
                    <w:t>Analytical Measuring Range (AMR)</w:t>
                  </w:r>
                </w:p>
              </w:tc>
              <w:tc>
                <w:tcPr>
                  <w:tcW w:w="5848" w:type="dxa"/>
                </w:tcPr>
                <w:p w:rsidR="00725C69" w:rsidRPr="007E1014" w:rsidRDefault="00725C69" w:rsidP="008C17C4">
                  <w:pPr>
                    <w:numPr>
                      <w:ilvl w:val="0"/>
                      <w:numId w:val="30"/>
                    </w:numPr>
                    <w:rPr>
                      <w:rFonts w:cs="Arial"/>
                      <w:szCs w:val="20"/>
                    </w:rPr>
                  </w:pPr>
                  <w:r w:rsidRPr="007E1014">
                    <w:rPr>
                      <w:rFonts w:cs="Arial"/>
                      <w:szCs w:val="20"/>
                    </w:rPr>
                    <w:t>Cal Verification and AMR verification are performed at least once every six (6) months.</w:t>
                  </w:r>
                </w:p>
                <w:p w:rsidR="00725C69" w:rsidRPr="007E1014" w:rsidRDefault="00725C69" w:rsidP="008C17C4">
                  <w:pPr>
                    <w:numPr>
                      <w:ilvl w:val="0"/>
                      <w:numId w:val="30"/>
                    </w:numPr>
                    <w:rPr>
                      <w:rFonts w:cs="Arial"/>
                      <w:szCs w:val="20"/>
                    </w:rPr>
                  </w:pPr>
                  <w:r w:rsidRPr="007E1014">
                    <w:rPr>
                      <w:rFonts w:cs="Arial"/>
                      <w:szCs w:val="20"/>
                    </w:rPr>
                    <w:t xml:space="preserve">Touch  Advanced </w:t>
                  </w:r>
                  <w:r w:rsidRPr="007E1014">
                    <w:rPr>
                      <w:rFonts w:cs="Arial"/>
                      <w:szCs w:val="20"/>
                    </w:rPr>
                    <w:sym w:font="Wingdings" w:char="F0E0"/>
                  </w:r>
                  <w:r w:rsidRPr="007E1014">
                    <w:rPr>
                      <w:rFonts w:cs="Arial"/>
                      <w:szCs w:val="20"/>
                    </w:rPr>
                    <w:t xml:space="preserve"> Calibrations </w:t>
                  </w:r>
                  <w:r w:rsidRPr="007E1014">
                    <w:rPr>
                      <w:rFonts w:cs="Arial"/>
                      <w:szCs w:val="20"/>
                    </w:rPr>
                    <w:sym w:font="Wingdings" w:char="F0E0"/>
                  </w:r>
                  <w:r w:rsidRPr="007E1014">
                    <w:rPr>
                      <w:rFonts w:cs="Arial"/>
                      <w:szCs w:val="20"/>
                    </w:rPr>
                    <w:t xml:space="preserve"> Calibrations by Lot, select method PHOS and “Order a Linearity Study”</w:t>
                  </w:r>
                </w:p>
                <w:p w:rsidR="00725C69" w:rsidRPr="007E1014" w:rsidRDefault="00725C69" w:rsidP="008C17C4">
                  <w:pPr>
                    <w:pStyle w:val="Pa5"/>
                    <w:numPr>
                      <w:ilvl w:val="0"/>
                      <w:numId w:val="26"/>
                    </w:numPr>
                    <w:spacing w:after="60"/>
                    <w:rPr>
                      <w:rFonts w:ascii="Arial" w:hAnsi="Arial" w:cs="Arial"/>
                      <w:sz w:val="20"/>
                      <w:szCs w:val="20"/>
                    </w:rPr>
                  </w:pPr>
                  <w:r w:rsidRPr="007E1014">
                    <w:rPr>
                      <w:rFonts w:ascii="Arial" w:hAnsi="Arial" w:cs="Arial"/>
                      <w:sz w:val="20"/>
                      <w:szCs w:val="20"/>
                    </w:rPr>
                    <w:t xml:space="preserve">See </w:t>
                  </w:r>
                  <w:proofErr w:type="spellStart"/>
                  <w:r w:rsidRPr="007E1014">
                    <w:rPr>
                      <w:rFonts w:ascii="Arial" w:hAnsi="Arial" w:cs="Arial"/>
                      <w:sz w:val="20"/>
                      <w:szCs w:val="20"/>
                    </w:rPr>
                    <w:t>iGuide</w:t>
                  </w:r>
                  <w:proofErr w:type="spellEnd"/>
                  <w:r w:rsidRPr="007E1014">
                    <w:rPr>
                      <w:rFonts w:ascii="Arial" w:hAnsi="Arial" w:cs="Arial"/>
                      <w:sz w:val="20"/>
                      <w:szCs w:val="20"/>
                    </w:rPr>
                    <w:t xml:space="preserve"> “Calibration by Lot” for more information.</w:t>
                  </w:r>
                </w:p>
              </w:tc>
            </w:tr>
          </w:tbl>
          <w:p w:rsidR="00725C69" w:rsidRDefault="00725C69" w:rsidP="008C17C4">
            <w:pPr>
              <w:rPr>
                <w:rFonts w:cs="Arial"/>
              </w:rPr>
            </w:pPr>
          </w:p>
        </w:tc>
      </w:tr>
      <w:tr w:rsidR="00725C69" w:rsidTr="00725C69">
        <w:trPr>
          <w:trHeight w:val="45"/>
          <w:tblHeader/>
        </w:trPr>
        <w:tc>
          <w:tcPr>
            <w:tcW w:w="1800" w:type="dxa"/>
          </w:tcPr>
          <w:p w:rsidR="00725C69" w:rsidRDefault="00725C69" w:rsidP="00D23634">
            <w:pPr>
              <w:ind w:right="-108"/>
              <w:rPr>
                <w:rFonts w:cs="Arial"/>
                <w:b/>
                <w:bCs/>
                <w:color w:val="0000FF"/>
              </w:rPr>
            </w:pPr>
          </w:p>
        </w:tc>
        <w:tc>
          <w:tcPr>
            <w:tcW w:w="9360" w:type="dxa"/>
            <w:tcBorders>
              <w:bottom w:val="single" w:sz="18" w:space="0" w:color="A6A6A6"/>
            </w:tcBorders>
            <w:vAlign w:val="center"/>
          </w:tcPr>
          <w:p w:rsidR="00725C69" w:rsidRPr="00B52D8C" w:rsidRDefault="00725C69" w:rsidP="008C17C4">
            <w:pPr>
              <w:rPr>
                <w:rFonts w:cs="Arial"/>
                <w:b/>
                <w:color w:val="5F497A"/>
                <w:szCs w:val="20"/>
              </w:rPr>
            </w:pPr>
          </w:p>
        </w:tc>
      </w:tr>
      <w:tr w:rsidR="00B00268" w:rsidTr="00725C69">
        <w:trPr>
          <w:cantSplit/>
          <w:trHeight w:val="5409"/>
          <w:tblHeader/>
        </w:trPr>
        <w:tc>
          <w:tcPr>
            <w:tcW w:w="1800" w:type="dxa"/>
          </w:tcPr>
          <w:p w:rsidR="00D23634" w:rsidRDefault="00D23634" w:rsidP="00D23634">
            <w:pPr>
              <w:ind w:right="-108"/>
              <w:rPr>
                <w:rFonts w:cs="Arial"/>
                <w:b/>
                <w:bCs/>
                <w:color w:val="0000FF"/>
              </w:rPr>
            </w:pPr>
          </w:p>
          <w:p w:rsidR="00D23634" w:rsidRDefault="00D23634" w:rsidP="00D23634">
            <w:pPr>
              <w:ind w:right="-108"/>
              <w:rPr>
                <w:rFonts w:cs="Arial"/>
                <w:b/>
                <w:bCs/>
                <w:color w:val="0000FF"/>
              </w:rPr>
            </w:pPr>
            <w:r>
              <w:rPr>
                <w:rFonts w:cs="Arial"/>
                <w:b/>
                <w:bCs/>
                <w:color w:val="0000FF"/>
              </w:rPr>
              <w:t>Calibration (cont)</w:t>
            </w:r>
          </w:p>
          <w:p w:rsidR="00B00268" w:rsidRDefault="00B00268" w:rsidP="00D23634">
            <w:pPr>
              <w:rPr>
                <w:rFonts w:cs="Arial"/>
                <w:b/>
                <w:bCs/>
                <w:color w:val="0000FF"/>
              </w:rPr>
            </w:pPr>
          </w:p>
        </w:tc>
        <w:tc>
          <w:tcPr>
            <w:tcW w:w="9360" w:type="dxa"/>
            <w:tcBorders>
              <w:top w:val="single" w:sz="18" w:space="0" w:color="A6A6A6"/>
              <w:bottom w:val="single" w:sz="18" w:space="0" w:color="A6A6A6"/>
            </w:tcBorders>
            <w:vAlign w:val="center"/>
          </w:tcPr>
          <w:p w:rsidR="007E1014" w:rsidRDefault="007E1014" w:rsidP="007E1014">
            <w:pPr>
              <w:rPr>
                <w:rFonts w:cs="Arial"/>
                <w:b/>
                <w:color w:val="76923C"/>
                <w:szCs w:val="20"/>
              </w:rPr>
            </w:pPr>
            <w:r w:rsidRPr="00B52D8C">
              <w:rPr>
                <w:rFonts w:cs="Arial"/>
                <w:b/>
                <w:color w:val="76923C"/>
                <w:szCs w:val="20"/>
              </w:rPr>
              <w:t>SECONDARY METHOD:</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1"/>
              <w:gridCol w:w="5556"/>
            </w:tblGrid>
            <w:tr w:rsidR="007E1014" w:rsidTr="007D603C">
              <w:trPr>
                <w:trHeight w:val="350"/>
              </w:trPr>
              <w:tc>
                <w:tcPr>
                  <w:tcW w:w="3601" w:type="dxa"/>
                  <w:vAlign w:val="center"/>
                </w:tcPr>
                <w:p w:rsidR="007E1014" w:rsidRPr="007D603C" w:rsidRDefault="007E1014" w:rsidP="007D603C">
                  <w:pPr>
                    <w:pStyle w:val="CalVerTable"/>
                    <w:ind w:left="0" w:firstLine="0"/>
                    <w:jc w:val="both"/>
                    <w:rPr>
                      <w:rFonts w:ascii="Arial" w:hAnsi="Arial" w:cs="Arial"/>
                    </w:rPr>
                  </w:pPr>
                  <w:r w:rsidRPr="007D603C">
                    <w:rPr>
                      <w:rFonts w:ascii="Arial" w:hAnsi="Arial" w:cs="Arial"/>
                    </w:rPr>
                    <w:t>Assay Range:</w:t>
                  </w:r>
                </w:p>
              </w:tc>
              <w:tc>
                <w:tcPr>
                  <w:tcW w:w="5556" w:type="dxa"/>
                  <w:vAlign w:val="center"/>
                </w:tcPr>
                <w:p w:rsidR="007E1014" w:rsidRPr="007D603C" w:rsidRDefault="007E1014" w:rsidP="007D603C">
                  <w:pPr>
                    <w:pStyle w:val="CalVerTable"/>
                    <w:ind w:left="0" w:firstLine="0"/>
                    <w:jc w:val="both"/>
                    <w:rPr>
                      <w:rFonts w:ascii="Arial" w:hAnsi="Arial" w:cs="Arial"/>
                    </w:rPr>
                  </w:pPr>
                  <w:r w:rsidRPr="007D603C">
                    <w:rPr>
                      <w:rFonts w:ascii="Arial" w:hAnsi="Arial" w:cs="Arial"/>
                    </w:rPr>
                    <w:t>0.</w:t>
                  </w:r>
                  <w:r w:rsidR="007D603C" w:rsidRPr="007D603C">
                    <w:rPr>
                      <w:rFonts w:ascii="Arial" w:hAnsi="Arial" w:cs="Arial"/>
                    </w:rPr>
                    <w:t>5</w:t>
                  </w:r>
                  <w:r w:rsidRPr="007D603C">
                    <w:rPr>
                      <w:rFonts w:ascii="Arial" w:hAnsi="Arial" w:cs="Arial"/>
                    </w:rPr>
                    <w:t xml:space="preserve"> – 9.0 mg/</w:t>
                  </w:r>
                  <w:proofErr w:type="spellStart"/>
                  <w:r w:rsidRPr="007D603C">
                    <w:rPr>
                      <w:rFonts w:ascii="Arial" w:hAnsi="Arial" w:cs="Arial"/>
                    </w:rPr>
                    <w:t>dL</w:t>
                  </w:r>
                  <w:proofErr w:type="spellEnd"/>
                </w:p>
              </w:tc>
            </w:tr>
            <w:tr w:rsidR="007E1014" w:rsidTr="007D603C">
              <w:trPr>
                <w:trHeight w:val="431"/>
              </w:trPr>
              <w:tc>
                <w:tcPr>
                  <w:tcW w:w="3601" w:type="dxa"/>
                  <w:vAlign w:val="center"/>
                </w:tcPr>
                <w:p w:rsidR="007E1014" w:rsidRPr="007D603C" w:rsidRDefault="007E1014" w:rsidP="007D603C">
                  <w:pPr>
                    <w:pStyle w:val="CalVerTable"/>
                    <w:ind w:left="0" w:firstLine="0"/>
                    <w:jc w:val="both"/>
                    <w:rPr>
                      <w:rFonts w:ascii="Arial" w:hAnsi="Arial" w:cs="Arial"/>
                    </w:rPr>
                  </w:pPr>
                  <w:r w:rsidRPr="007D603C">
                    <w:rPr>
                      <w:rFonts w:ascii="Arial" w:hAnsi="Arial" w:cs="Arial"/>
                    </w:rPr>
                    <w:t>Reference Material:</w:t>
                  </w:r>
                </w:p>
              </w:tc>
              <w:tc>
                <w:tcPr>
                  <w:tcW w:w="5556" w:type="dxa"/>
                  <w:vAlign w:val="center"/>
                </w:tcPr>
                <w:tbl>
                  <w:tblPr>
                    <w:tblW w:w="0" w:type="auto"/>
                    <w:tblBorders>
                      <w:top w:val="nil"/>
                      <w:left w:val="nil"/>
                      <w:bottom w:val="nil"/>
                      <w:right w:val="nil"/>
                    </w:tblBorders>
                    <w:tblLayout w:type="fixed"/>
                    <w:tblLook w:val="0000"/>
                  </w:tblPr>
                  <w:tblGrid>
                    <w:gridCol w:w="5250"/>
                  </w:tblGrid>
                  <w:tr w:rsidR="007D603C" w:rsidRPr="007D603C">
                    <w:tblPrEx>
                      <w:tblCellMar>
                        <w:top w:w="0" w:type="dxa"/>
                        <w:bottom w:w="0" w:type="dxa"/>
                      </w:tblCellMar>
                    </w:tblPrEx>
                    <w:trPr>
                      <w:trHeight w:val="78"/>
                    </w:trPr>
                    <w:tc>
                      <w:tcPr>
                        <w:tcW w:w="5250" w:type="dxa"/>
                      </w:tcPr>
                      <w:p w:rsidR="007D603C" w:rsidRPr="007D603C" w:rsidRDefault="007D603C" w:rsidP="007D603C">
                        <w:pPr>
                          <w:autoSpaceDE w:val="0"/>
                          <w:autoSpaceDN w:val="0"/>
                          <w:adjustRightInd w:val="0"/>
                          <w:spacing w:line="151" w:lineRule="atLeast"/>
                          <w:ind w:hanging="180"/>
                          <w:jc w:val="both"/>
                          <w:rPr>
                            <w:rFonts w:cs="Arial"/>
                            <w:color w:val="000000"/>
                            <w:szCs w:val="20"/>
                          </w:rPr>
                        </w:pPr>
                        <w:r w:rsidRPr="007D603C">
                          <w:rPr>
                            <w:rFonts w:cs="Arial"/>
                            <w:szCs w:val="20"/>
                          </w:rPr>
                          <w:t xml:space="preserve"> </w:t>
                        </w:r>
                        <w:r w:rsidRPr="007D603C">
                          <w:rPr>
                            <w:rFonts w:cs="Arial"/>
                            <w:color w:val="000000"/>
                            <w:szCs w:val="20"/>
                          </w:rPr>
                          <w:t xml:space="preserve">Dimension® CHEM II Calibrator, Cat. No. DC20 </w:t>
                        </w:r>
                      </w:p>
                    </w:tc>
                  </w:tr>
                </w:tbl>
                <w:p w:rsidR="007E1014" w:rsidRPr="007D603C" w:rsidRDefault="007E1014" w:rsidP="007D603C">
                  <w:pPr>
                    <w:pStyle w:val="Header"/>
                    <w:tabs>
                      <w:tab w:val="clear" w:pos="4320"/>
                      <w:tab w:val="clear" w:pos="8640"/>
                    </w:tabs>
                    <w:autoSpaceDE w:val="0"/>
                    <w:autoSpaceDN w:val="0"/>
                    <w:adjustRightInd w:val="0"/>
                    <w:jc w:val="both"/>
                    <w:rPr>
                      <w:rFonts w:cs="Arial"/>
                      <w:szCs w:val="20"/>
                    </w:rPr>
                  </w:pPr>
                </w:p>
              </w:tc>
            </w:tr>
            <w:tr w:rsidR="007E1014" w:rsidTr="006E268B">
              <w:trPr>
                <w:trHeight w:val="584"/>
              </w:trPr>
              <w:tc>
                <w:tcPr>
                  <w:tcW w:w="3601" w:type="dxa"/>
                  <w:vAlign w:val="center"/>
                </w:tcPr>
                <w:p w:rsidR="007E1014" w:rsidRPr="000C19A6" w:rsidRDefault="007E1014" w:rsidP="007D603C">
                  <w:pPr>
                    <w:pStyle w:val="CalVerTable"/>
                    <w:ind w:left="0" w:firstLine="0"/>
                    <w:jc w:val="both"/>
                    <w:rPr>
                      <w:rFonts w:ascii="Arial" w:hAnsi="Arial" w:cs="Arial"/>
                    </w:rPr>
                  </w:pPr>
                  <w:r w:rsidRPr="000C19A6">
                    <w:rPr>
                      <w:rFonts w:ascii="Arial" w:hAnsi="Arial" w:cs="Arial"/>
                    </w:rPr>
                    <w:t>Calibration Scheme:</w:t>
                  </w:r>
                </w:p>
              </w:tc>
              <w:tc>
                <w:tcPr>
                  <w:tcW w:w="5556" w:type="dxa"/>
                  <w:vAlign w:val="center"/>
                </w:tcPr>
                <w:p w:rsidR="007E1014" w:rsidRDefault="005248A1" w:rsidP="007D603C">
                  <w:pPr>
                    <w:pStyle w:val="CalVerTable"/>
                    <w:ind w:left="0" w:firstLine="0"/>
                    <w:jc w:val="both"/>
                    <w:rPr>
                      <w:rFonts w:ascii="Arial" w:hAnsi="Arial" w:cs="Arial"/>
                    </w:rPr>
                  </w:pPr>
                  <w:r>
                    <w:rPr>
                      <w:rFonts w:ascii="Arial" w:hAnsi="Arial" w:cs="Arial"/>
                    </w:rPr>
                    <w:t>3 levels, N = 3</w:t>
                  </w:r>
                </w:p>
                <w:p w:rsidR="005248A1" w:rsidRPr="000C19A6" w:rsidRDefault="005248A1" w:rsidP="007D603C">
                  <w:pPr>
                    <w:pStyle w:val="CalVerTable"/>
                    <w:ind w:left="0" w:firstLine="0"/>
                    <w:jc w:val="both"/>
                    <w:rPr>
                      <w:rFonts w:ascii="Arial" w:hAnsi="Arial" w:cs="Arial"/>
                    </w:rPr>
                  </w:pPr>
                  <w:r>
                    <w:rPr>
                      <w:rFonts w:ascii="Arial" w:hAnsi="Arial" w:cs="Arial"/>
                    </w:rPr>
                    <w:t>2.0, 5.0, 8.0 mg/</w:t>
                  </w:r>
                  <w:proofErr w:type="spellStart"/>
                  <w:r>
                    <w:rPr>
                      <w:rFonts w:ascii="Arial" w:hAnsi="Arial" w:cs="Arial"/>
                    </w:rPr>
                    <w:t>dL</w:t>
                  </w:r>
                  <w:proofErr w:type="spellEnd"/>
                </w:p>
              </w:tc>
            </w:tr>
            <w:tr w:rsidR="007E1014" w:rsidTr="007D603C">
              <w:tc>
                <w:tcPr>
                  <w:tcW w:w="3601" w:type="dxa"/>
                  <w:vAlign w:val="center"/>
                </w:tcPr>
                <w:p w:rsidR="007E1014" w:rsidRPr="007D603C" w:rsidRDefault="007E1014" w:rsidP="007D603C">
                  <w:pPr>
                    <w:pStyle w:val="CalVerTable"/>
                    <w:ind w:left="0" w:firstLine="0"/>
                    <w:jc w:val="both"/>
                    <w:rPr>
                      <w:rFonts w:ascii="Arial" w:hAnsi="Arial" w:cs="Arial"/>
                    </w:rPr>
                  </w:pPr>
                  <w:r w:rsidRPr="007D603C">
                    <w:rPr>
                      <w:rFonts w:ascii="Arial" w:hAnsi="Arial" w:cs="Arial"/>
                    </w:rPr>
                    <w:t>Calibration Frequency:</w:t>
                  </w:r>
                </w:p>
              </w:tc>
              <w:tc>
                <w:tcPr>
                  <w:tcW w:w="5556" w:type="dxa"/>
                  <w:vAlign w:val="center"/>
                </w:tcPr>
                <w:p w:rsidR="007E1014" w:rsidRPr="007D603C" w:rsidRDefault="007D603C" w:rsidP="007D603C">
                  <w:pPr>
                    <w:pStyle w:val="Pa5"/>
                    <w:numPr>
                      <w:ilvl w:val="0"/>
                      <w:numId w:val="26"/>
                    </w:numPr>
                    <w:spacing w:after="60"/>
                    <w:jc w:val="both"/>
                    <w:rPr>
                      <w:rFonts w:ascii="Arial" w:hAnsi="Arial" w:cs="Arial"/>
                      <w:color w:val="000000"/>
                      <w:sz w:val="20"/>
                      <w:szCs w:val="20"/>
                    </w:rPr>
                  </w:pPr>
                  <w:r w:rsidRPr="007D603C">
                    <w:rPr>
                      <w:rFonts w:ascii="Arial" w:hAnsi="Arial" w:cs="Arial"/>
                      <w:color w:val="000000"/>
                      <w:sz w:val="20"/>
                      <w:szCs w:val="20"/>
                    </w:rPr>
                    <w:t>3 months</w:t>
                  </w:r>
                  <w:r w:rsidR="007E1014" w:rsidRPr="007D603C">
                    <w:rPr>
                      <w:rFonts w:ascii="Arial" w:hAnsi="Arial" w:cs="Arial"/>
                      <w:color w:val="000000"/>
                      <w:sz w:val="20"/>
                      <w:szCs w:val="20"/>
                    </w:rPr>
                    <w:t xml:space="preserve"> for any one lot.</w:t>
                  </w:r>
                </w:p>
                <w:p w:rsidR="007E1014" w:rsidRPr="007D603C" w:rsidRDefault="007E1014" w:rsidP="007D603C">
                  <w:pPr>
                    <w:pStyle w:val="Pa4"/>
                    <w:numPr>
                      <w:ilvl w:val="0"/>
                      <w:numId w:val="26"/>
                    </w:numPr>
                    <w:jc w:val="both"/>
                    <w:rPr>
                      <w:rFonts w:ascii="Arial" w:hAnsi="Arial" w:cs="Arial"/>
                      <w:color w:val="000000"/>
                      <w:sz w:val="20"/>
                      <w:szCs w:val="20"/>
                    </w:rPr>
                  </w:pPr>
                  <w:r w:rsidRPr="007D603C">
                    <w:rPr>
                      <w:rFonts w:ascii="Arial" w:hAnsi="Arial" w:cs="Arial"/>
                      <w:color w:val="000000"/>
                      <w:sz w:val="20"/>
                      <w:szCs w:val="20"/>
                    </w:rPr>
                    <w:t>For each lot of Flex® reagent cartridges</w:t>
                  </w:r>
                </w:p>
                <w:p w:rsidR="007E1014" w:rsidRPr="007D603C" w:rsidRDefault="007E1014" w:rsidP="007D603C">
                  <w:pPr>
                    <w:pStyle w:val="Pa4"/>
                    <w:numPr>
                      <w:ilvl w:val="0"/>
                      <w:numId w:val="26"/>
                    </w:numPr>
                    <w:jc w:val="both"/>
                    <w:rPr>
                      <w:rFonts w:ascii="Arial" w:hAnsi="Arial" w:cs="Arial"/>
                      <w:color w:val="000000"/>
                      <w:sz w:val="20"/>
                      <w:szCs w:val="20"/>
                    </w:rPr>
                  </w:pPr>
                  <w:r w:rsidRPr="007D603C">
                    <w:rPr>
                      <w:rFonts w:ascii="Arial" w:hAnsi="Arial" w:cs="Arial"/>
                      <w:color w:val="000000"/>
                      <w:sz w:val="20"/>
                      <w:szCs w:val="20"/>
                    </w:rPr>
                    <w:t>After major maintenance or service, if indicated by quality control results</w:t>
                  </w:r>
                </w:p>
                <w:p w:rsidR="007E1014" w:rsidRPr="007D603C" w:rsidRDefault="007E1014" w:rsidP="007D603C">
                  <w:pPr>
                    <w:pStyle w:val="Pa4"/>
                    <w:numPr>
                      <w:ilvl w:val="0"/>
                      <w:numId w:val="26"/>
                    </w:numPr>
                    <w:jc w:val="both"/>
                    <w:rPr>
                      <w:rFonts w:ascii="Arial" w:hAnsi="Arial" w:cs="Arial"/>
                      <w:color w:val="000000"/>
                      <w:sz w:val="20"/>
                      <w:szCs w:val="20"/>
                    </w:rPr>
                  </w:pPr>
                  <w:r w:rsidRPr="007D603C">
                    <w:rPr>
                      <w:rFonts w:ascii="Arial" w:hAnsi="Arial" w:cs="Arial"/>
                      <w:color w:val="000000"/>
                      <w:sz w:val="20"/>
                      <w:szCs w:val="20"/>
                    </w:rPr>
                    <w:t>As indicated in laboratory quality control procedures</w:t>
                  </w:r>
                </w:p>
                <w:p w:rsidR="007E1014" w:rsidRPr="007D603C" w:rsidRDefault="007E1014" w:rsidP="007D603C">
                  <w:pPr>
                    <w:numPr>
                      <w:ilvl w:val="0"/>
                      <w:numId w:val="26"/>
                    </w:numPr>
                    <w:autoSpaceDE w:val="0"/>
                    <w:autoSpaceDN w:val="0"/>
                    <w:adjustRightInd w:val="0"/>
                    <w:jc w:val="both"/>
                    <w:rPr>
                      <w:rFonts w:cs="Arial"/>
                      <w:szCs w:val="20"/>
                    </w:rPr>
                  </w:pPr>
                  <w:r w:rsidRPr="007D603C">
                    <w:rPr>
                      <w:rFonts w:cs="Arial"/>
                      <w:szCs w:val="20"/>
                    </w:rPr>
                    <w:t xml:space="preserve">When required by government regulations </w:t>
                  </w:r>
                </w:p>
              </w:tc>
            </w:tr>
            <w:tr w:rsidR="007E1014" w:rsidTr="007D603C">
              <w:tc>
                <w:tcPr>
                  <w:tcW w:w="3601" w:type="dxa"/>
                  <w:vAlign w:val="center"/>
                </w:tcPr>
                <w:p w:rsidR="007E1014" w:rsidRPr="007D603C" w:rsidRDefault="007E1014" w:rsidP="007D603C">
                  <w:pPr>
                    <w:pStyle w:val="CalVerTable"/>
                    <w:ind w:left="0" w:firstLine="0"/>
                    <w:jc w:val="both"/>
                    <w:rPr>
                      <w:rFonts w:ascii="Arial" w:hAnsi="Arial" w:cs="Arial"/>
                    </w:rPr>
                  </w:pPr>
                  <w:r w:rsidRPr="007D603C">
                    <w:rPr>
                      <w:rFonts w:ascii="Arial" w:hAnsi="Arial" w:cs="Arial"/>
                      <w:bCs/>
                    </w:rPr>
                    <w:t>Analytical Measuring Range (AMR)</w:t>
                  </w:r>
                </w:p>
              </w:tc>
              <w:tc>
                <w:tcPr>
                  <w:tcW w:w="5556" w:type="dxa"/>
                  <w:vAlign w:val="center"/>
                </w:tcPr>
                <w:p w:rsidR="000C19A6" w:rsidRPr="000C19A6" w:rsidRDefault="000C19A6" w:rsidP="000C19A6">
                  <w:pPr>
                    <w:numPr>
                      <w:ilvl w:val="0"/>
                      <w:numId w:val="36"/>
                    </w:numPr>
                    <w:rPr>
                      <w:rFonts w:cs="Arial"/>
                      <w:szCs w:val="20"/>
                    </w:rPr>
                  </w:pPr>
                  <w:r w:rsidRPr="000C19A6">
                    <w:rPr>
                      <w:rFonts w:cs="Arial"/>
                      <w:szCs w:val="20"/>
                    </w:rPr>
                    <w:t>Once every 6 months confirm the reportable range by analyz</w:t>
                  </w:r>
                  <w:r w:rsidR="00B16236">
                    <w:rPr>
                      <w:rFonts w:cs="Arial"/>
                      <w:szCs w:val="20"/>
                    </w:rPr>
                    <w:t>ing Maine Standards Validate GC1</w:t>
                  </w:r>
                  <w:r w:rsidRPr="000C19A6">
                    <w:rPr>
                      <w:rFonts w:cs="Arial"/>
                      <w:szCs w:val="20"/>
                    </w:rPr>
                    <w:t xml:space="preserve"> according to the manufacturer’s instructions.</w:t>
                  </w:r>
                </w:p>
                <w:p w:rsidR="000C19A6" w:rsidRPr="000C19A6" w:rsidRDefault="00B16236" w:rsidP="000C19A6">
                  <w:pPr>
                    <w:numPr>
                      <w:ilvl w:val="0"/>
                      <w:numId w:val="36"/>
                    </w:numPr>
                    <w:rPr>
                      <w:rFonts w:cs="Arial"/>
                      <w:szCs w:val="20"/>
                    </w:rPr>
                  </w:pPr>
                  <w:r>
                    <w:rPr>
                      <w:rFonts w:cs="Arial"/>
                      <w:szCs w:val="20"/>
                    </w:rPr>
                    <w:t xml:space="preserve">Enter data using Maine Standards </w:t>
                  </w:r>
                  <w:proofErr w:type="spellStart"/>
                  <w:r>
                    <w:rPr>
                      <w:rFonts w:cs="Arial"/>
                      <w:szCs w:val="20"/>
                    </w:rPr>
                    <w:t>MSDRx</w:t>
                  </w:r>
                  <w:proofErr w:type="spellEnd"/>
                  <w:r>
                    <w:rPr>
                      <w:rFonts w:cs="Arial"/>
                      <w:szCs w:val="20"/>
                    </w:rPr>
                    <w:t xml:space="preserve"> free software, and send reports to technical specialist for review</w:t>
                  </w:r>
                  <w:r w:rsidR="000C19A6" w:rsidRPr="000C19A6">
                    <w:rPr>
                      <w:rFonts w:cs="Arial"/>
                      <w:szCs w:val="20"/>
                    </w:rPr>
                    <w:t>.</w:t>
                  </w:r>
                </w:p>
                <w:p w:rsidR="007E1014" w:rsidRPr="007D603C" w:rsidRDefault="000C19A6" w:rsidP="000C19A6">
                  <w:pPr>
                    <w:pStyle w:val="Pa5"/>
                    <w:numPr>
                      <w:ilvl w:val="0"/>
                      <w:numId w:val="36"/>
                    </w:numPr>
                    <w:spacing w:after="60"/>
                    <w:jc w:val="both"/>
                    <w:rPr>
                      <w:rFonts w:ascii="Arial" w:hAnsi="Arial" w:cs="Arial"/>
                      <w:sz w:val="20"/>
                      <w:szCs w:val="20"/>
                    </w:rPr>
                  </w:pPr>
                  <w:r w:rsidRPr="000C19A6">
                    <w:rPr>
                      <w:rFonts w:ascii="Arial" w:hAnsi="Arial" w:cs="Arial"/>
                      <w:sz w:val="20"/>
                      <w:szCs w:val="20"/>
                    </w:rPr>
                    <w:t>Investigate unacceptable results</w:t>
                  </w:r>
                  <w:r w:rsidR="007E1014" w:rsidRPr="000C19A6">
                    <w:rPr>
                      <w:rFonts w:ascii="Arial" w:hAnsi="Arial" w:cs="Arial"/>
                      <w:sz w:val="20"/>
                      <w:szCs w:val="20"/>
                    </w:rPr>
                    <w:t>.</w:t>
                  </w:r>
                </w:p>
              </w:tc>
            </w:tr>
          </w:tbl>
          <w:p w:rsidR="00B00268" w:rsidRPr="00395FA0" w:rsidRDefault="00B00268" w:rsidP="007E1014">
            <w:pPr>
              <w:jc w:val="both"/>
            </w:pPr>
          </w:p>
        </w:tc>
      </w:tr>
      <w:tr w:rsidR="00B00268" w:rsidTr="00725C69">
        <w:trPr>
          <w:cantSplit/>
          <w:trHeight w:val="1880"/>
          <w:tblHeader/>
        </w:trPr>
        <w:tc>
          <w:tcPr>
            <w:tcW w:w="1800" w:type="dxa"/>
          </w:tcPr>
          <w:p w:rsidR="00B00268" w:rsidRDefault="00B00268">
            <w:pPr>
              <w:ind w:right="-108"/>
              <w:rPr>
                <w:rFonts w:cs="Arial"/>
                <w:b/>
                <w:bCs/>
                <w:color w:val="0000FF"/>
              </w:rPr>
            </w:pPr>
          </w:p>
          <w:p w:rsidR="00B00268" w:rsidRDefault="00B00268">
            <w:pPr>
              <w:ind w:right="-108"/>
              <w:rPr>
                <w:rFonts w:cs="Arial"/>
                <w:b/>
                <w:bCs/>
                <w:color w:val="0000FF"/>
              </w:rPr>
            </w:pPr>
            <w:r>
              <w:rPr>
                <w:rFonts w:cs="Arial"/>
                <w:b/>
                <w:bCs/>
                <w:color w:val="0000FF"/>
              </w:rPr>
              <w:t>Quality Control (Plasma/Serum)</w:t>
            </w:r>
          </w:p>
          <w:p w:rsidR="00B00268" w:rsidRDefault="00B00268">
            <w:pPr>
              <w:ind w:right="-108"/>
              <w:rPr>
                <w:rFonts w:cs="Arial"/>
                <w:b/>
                <w:bCs/>
                <w:color w:val="0000FF"/>
              </w:rPr>
            </w:pPr>
          </w:p>
          <w:p w:rsidR="00B00268" w:rsidRDefault="00B00268">
            <w:pPr>
              <w:ind w:right="-108"/>
              <w:rPr>
                <w:rFonts w:cs="Arial"/>
                <w:b/>
                <w:bCs/>
                <w:color w:val="0000FF"/>
              </w:rPr>
            </w:pPr>
          </w:p>
        </w:tc>
        <w:tc>
          <w:tcPr>
            <w:tcW w:w="9360" w:type="dxa"/>
            <w:tcBorders>
              <w:top w:val="single" w:sz="18" w:space="0" w:color="A6A6A6"/>
              <w:bottom w:val="single" w:sz="18" w:space="0" w:color="A6A6A6"/>
            </w:tcBorders>
          </w:tcPr>
          <w:p w:rsidR="00B00268" w:rsidRDefault="00B00268" w:rsidP="00417F6E">
            <w:pPr>
              <w:pStyle w:val="Header"/>
              <w:tabs>
                <w:tab w:val="left" w:pos="720"/>
              </w:tabs>
              <w:jc w:val="both"/>
              <w:rPr>
                <w:rFonts w:cs="Arial"/>
              </w:rPr>
            </w:pPr>
          </w:p>
          <w:p w:rsidR="008B0F46" w:rsidRPr="00422F71" w:rsidRDefault="00422F71" w:rsidP="00422F71">
            <w:pPr>
              <w:rPr>
                <w:rFonts w:cs="Arial"/>
                <w:iCs/>
                <w:szCs w:val="20"/>
              </w:rPr>
            </w:pPr>
            <w:r w:rsidRPr="00B52D8C">
              <w:rPr>
                <w:rFonts w:cs="Arial"/>
                <w:b/>
                <w:color w:val="5F497A"/>
                <w:szCs w:val="20"/>
              </w:rPr>
              <w:t>PRIMARY METHOD:</w:t>
            </w:r>
            <w:r w:rsidRPr="00B52D8C">
              <w:rPr>
                <w:rFonts w:cs="Arial"/>
                <w:szCs w:val="20"/>
              </w:rPr>
              <w:t xml:space="preserve"> </w:t>
            </w:r>
            <w:proofErr w:type="spellStart"/>
            <w:r w:rsidR="008B0F46">
              <w:rPr>
                <w:rFonts w:cs="Arial"/>
              </w:rPr>
              <w:t>Biorad</w:t>
            </w:r>
            <w:proofErr w:type="spellEnd"/>
            <w:r w:rsidR="008B0F46">
              <w:rPr>
                <w:rFonts w:cs="Arial"/>
              </w:rPr>
              <w:t xml:space="preserve"> </w:t>
            </w:r>
            <w:proofErr w:type="spellStart"/>
            <w:r w:rsidR="008B0F46">
              <w:rPr>
                <w:rFonts w:cs="Arial"/>
              </w:rPr>
              <w:t>Multiqual</w:t>
            </w:r>
            <w:proofErr w:type="spellEnd"/>
            <w:r w:rsidR="008B0F46">
              <w:rPr>
                <w:rFonts w:cs="Arial"/>
              </w:rPr>
              <w:t xml:space="preserve"> (Human) Levels 1 &amp; 3</w:t>
            </w:r>
          </w:p>
          <w:p w:rsidR="008B0F46" w:rsidRDefault="008B0F46" w:rsidP="00417F6E">
            <w:pPr>
              <w:jc w:val="both"/>
              <w:rPr>
                <w:rFonts w:cs="Arial"/>
                <w:b/>
                <w:bCs/>
              </w:rPr>
            </w:pPr>
          </w:p>
          <w:p w:rsidR="008B0F46" w:rsidRDefault="008B0F46" w:rsidP="00417F6E">
            <w:pPr>
              <w:jc w:val="both"/>
              <w:rPr>
                <w:rFonts w:cs="Arial"/>
              </w:rPr>
            </w:pPr>
            <w:r>
              <w:rPr>
                <w:rFonts w:cs="Arial"/>
                <w:b/>
                <w:bCs/>
              </w:rPr>
              <w:t>Frequency:</w:t>
            </w:r>
            <w:r>
              <w:rPr>
                <w:rFonts w:cs="Arial"/>
              </w:rPr>
              <w:t xml:space="preserve"> Two levels each day of use</w:t>
            </w:r>
          </w:p>
          <w:p w:rsidR="008B0F46" w:rsidRDefault="008B0F46" w:rsidP="00417F6E">
            <w:pPr>
              <w:jc w:val="both"/>
              <w:rPr>
                <w:rFonts w:cs="Arial"/>
                <w:b/>
                <w:bCs/>
              </w:rPr>
            </w:pPr>
          </w:p>
          <w:p w:rsidR="008B0F46" w:rsidRDefault="008B0F46" w:rsidP="00417F6E">
            <w:pPr>
              <w:jc w:val="both"/>
              <w:rPr>
                <w:rFonts w:cs="Arial"/>
                <w:szCs w:val="20"/>
              </w:rPr>
            </w:pPr>
            <w:r w:rsidRPr="000E0E15">
              <w:rPr>
                <w:rFonts w:cs="Arial"/>
                <w:b/>
                <w:bCs/>
                <w:szCs w:val="20"/>
              </w:rPr>
              <w:t>Stability:</w:t>
            </w:r>
            <w:r w:rsidRPr="000E0E15">
              <w:rPr>
                <w:rFonts w:cs="Arial"/>
                <w:szCs w:val="20"/>
              </w:rPr>
              <w:t xml:space="preserve"> </w:t>
            </w:r>
            <w:r>
              <w:rPr>
                <w:rFonts w:cs="Arial"/>
                <w:szCs w:val="20"/>
              </w:rPr>
              <w:t xml:space="preserve">Stable until the date on vial when stored at -20 to -50 </w:t>
            </w:r>
            <w:r>
              <w:rPr>
                <w:rFonts w:cs="Arial"/>
                <w:szCs w:val="20"/>
              </w:rPr>
              <w:sym w:font="Symbol" w:char="F0B0"/>
            </w:r>
            <w:r>
              <w:rPr>
                <w:rFonts w:cs="Arial"/>
                <w:szCs w:val="20"/>
              </w:rPr>
              <w:t xml:space="preserve">C protect from light. Thawed and unopened, 7 days at 2 -8 </w:t>
            </w:r>
            <w:r>
              <w:rPr>
                <w:rFonts w:cs="Arial"/>
                <w:szCs w:val="20"/>
              </w:rPr>
              <w:sym w:font="Symbol" w:char="F0B0"/>
            </w:r>
            <w:r>
              <w:rPr>
                <w:rFonts w:cs="Arial"/>
                <w:szCs w:val="20"/>
              </w:rPr>
              <w:t xml:space="preserve">C. 7 days on board the Vista, and 5 days opened and stored at 2 – 8 </w:t>
            </w:r>
            <w:r>
              <w:rPr>
                <w:rFonts w:cs="Arial"/>
                <w:szCs w:val="20"/>
              </w:rPr>
              <w:sym w:font="Symbol" w:char="F0B0"/>
            </w:r>
            <w:r>
              <w:rPr>
                <w:rFonts w:cs="Arial"/>
                <w:szCs w:val="20"/>
              </w:rPr>
              <w:t>C</w:t>
            </w:r>
          </w:p>
          <w:p w:rsidR="008B0F46" w:rsidRDefault="008B0F46" w:rsidP="00417F6E">
            <w:pPr>
              <w:jc w:val="both"/>
              <w:rPr>
                <w:rFonts w:cs="Arial"/>
                <w:szCs w:val="20"/>
              </w:rPr>
            </w:pPr>
          </w:p>
          <w:p w:rsidR="008B0F46" w:rsidRPr="000E0E15" w:rsidRDefault="008B0F46" w:rsidP="00417F6E">
            <w:pPr>
              <w:jc w:val="both"/>
              <w:rPr>
                <w:rFonts w:cs="Arial"/>
                <w:szCs w:val="20"/>
              </w:rPr>
            </w:pPr>
            <w:r w:rsidRPr="00E673B7">
              <w:rPr>
                <w:rFonts w:cs="Arial"/>
                <w:b/>
                <w:szCs w:val="20"/>
              </w:rPr>
              <w:t>Preparation</w:t>
            </w:r>
            <w:r>
              <w:rPr>
                <w:rFonts w:cs="Arial"/>
                <w:szCs w:val="20"/>
              </w:rPr>
              <w:t xml:space="preserve">: Allow the control to stand at 18 – 25 </w:t>
            </w:r>
            <w:r>
              <w:rPr>
                <w:rFonts w:cs="Arial"/>
                <w:szCs w:val="20"/>
              </w:rPr>
              <w:sym w:font="Symbol" w:char="F0B0"/>
            </w:r>
            <w:r>
              <w:rPr>
                <w:rFonts w:cs="Arial"/>
                <w:szCs w:val="20"/>
              </w:rPr>
              <w:t>C for 30 minutes until completely thawed. Gently mix the vials until homogeneous to dissolve any precipitate.</w:t>
            </w:r>
          </w:p>
          <w:p w:rsidR="008B0F46" w:rsidRDefault="008B0F46" w:rsidP="00417F6E">
            <w:pPr>
              <w:ind w:right="-108"/>
              <w:jc w:val="both"/>
              <w:rPr>
                <w:rFonts w:cs="Arial"/>
                <w:b/>
                <w:bCs/>
              </w:rPr>
            </w:pPr>
          </w:p>
          <w:p w:rsidR="008B0F46" w:rsidRDefault="008B0F46" w:rsidP="00417F6E">
            <w:pPr>
              <w:ind w:right="-108"/>
              <w:jc w:val="both"/>
              <w:rPr>
                <w:rFonts w:cs="Arial"/>
              </w:rPr>
            </w:pPr>
            <w:proofErr w:type="spellStart"/>
            <w:r>
              <w:rPr>
                <w:rFonts w:cs="Arial"/>
                <w:b/>
                <w:bCs/>
              </w:rPr>
              <w:t>Sunquest</w:t>
            </w:r>
            <w:proofErr w:type="spellEnd"/>
            <w:r>
              <w:rPr>
                <w:rFonts w:cs="Arial"/>
                <w:b/>
                <w:bCs/>
              </w:rPr>
              <w:t xml:space="preserve"> Control names: </w:t>
            </w:r>
            <w:r>
              <w:rPr>
                <w:rFonts w:cs="Arial"/>
              </w:rPr>
              <w:t>Level 1 = C-MQ1, Level 2 = C-MQ3</w:t>
            </w:r>
          </w:p>
          <w:p w:rsidR="00A71915" w:rsidRDefault="00A71915" w:rsidP="00417F6E">
            <w:pPr>
              <w:ind w:right="-108"/>
              <w:jc w:val="both"/>
              <w:rPr>
                <w:rFonts w:cs="Arial"/>
              </w:rPr>
            </w:pPr>
          </w:p>
          <w:p w:rsidR="00422F71" w:rsidRPr="001C631A" w:rsidRDefault="00422F71" w:rsidP="00422F71">
            <w:pPr>
              <w:pStyle w:val="Header"/>
              <w:tabs>
                <w:tab w:val="left" w:pos="720"/>
              </w:tabs>
              <w:spacing w:after="120"/>
              <w:jc w:val="both"/>
              <w:rPr>
                <w:rFonts w:cs="Arial"/>
                <w:szCs w:val="20"/>
              </w:rPr>
            </w:pPr>
            <w:r>
              <w:rPr>
                <w:rFonts w:cs="Arial"/>
                <w:b/>
                <w:bCs/>
                <w:color w:val="76933C"/>
                <w:szCs w:val="20"/>
              </w:rPr>
              <w:t>SECONDARY METHOD</w:t>
            </w:r>
            <w:r>
              <w:rPr>
                <w:rFonts w:cs="Arial"/>
                <w:color w:val="76933C"/>
                <w:szCs w:val="20"/>
              </w:rPr>
              <w:t>:</w:t>
            </w:r>
            <w:r w:rsidRPr="0073119F">
              <w:rPr>
                <w:rFonts w:cs="Arial"/>
              </w:rPr>
              <w:t xml:space="preserve"> </w:t>
            </w:r>
            <w:proofErr w:type="spellStart"/>
            <w:r w:rsidRPr="001C631A">
              <w:rPr>
                <w:rFonts w:cs="Arial"/>
                <w:szCs w:val="20"/>
              </w:rPr>
              <w:t>Biorad</w:t>
            </w:r>
            <w:proofErr w:type="spellEnd"/>
            <w:r w:rsidRPr="001C631A">
              <w:rPr>
                <w:rFonts w:cs="Arial"/>
                <w:szCs w:val="20"/>
              </w:rPr>
              <w:t xml:space="preserve"> </w:t>
            </w:r>
            <w:proofErr w:type="spellStart"/>
            <w:r w:rsidRPr="001C631A">
              <w:rPr>
                <w:rFonts w:cs="Arial"/>
                <w:szCs w:val="20"/>
              </w:rPr>
              <w:t>Liquichek</w:t>
            </w:r>
            <w:proofErr w:type="spellEnd"/>
            <w:r w:rsidRPr="001C631A">
              <w:rPr>
                <w:rFonts w:cs="Arial"/>
                <w:szCs w:val="20"/>
              </w:rPr>
              <w:sym w:font="Symbol" w:char="00D4"/>
            </w:r>
            <w:r w:rsidRPr="001C631A">
              <w:rPr>
                <w:rFonts w:cs="Arial"/>
                <w:szCs w:val="20"/>
              </w:rPr>
              <w:t xml:space="preserve"> </w:t>
            </w:r>
            <w:proofErr w:type="spellStart"/>
            <w:r w:rsidRPr="001C631A">
              <w:rPr>
                <w:rFonts w:cs="Arial"/>
                <w:szCs w:val="20"/>
              </w:rPr>
              <w:t>Unassayed</w:t>
            </w:r>
            <w:proofErr w:type="spellEnd"/>
            <w:r w:rsidRPr="001C631A">
              <w:rPr>
                <w:rFonts w:cs="Arial"/>
                <w:szCs w:val="20"/>
              </w:rPr>
              <w:t xml:space="preserve"> Chemistry Control (Human) Levels 1 &amp; 2</w:t>
            </w:r>
          </w:p>
          <w:p w:rsidR="00422F71" w:rsidRPr="00336913" w:rsidRDefault="00422F71" w:rsidP="00422F71">
            <w:pPr>
              <w:autoSpaceDE w:val="0"/>
              <w:autoSpaceDN w:val="0"/>
              <w:adjustRightInd w:val="0"/>
              <w:spacing w:after="120"/>
              <w:rPr>
                <w:rFonts w:cs="Arial"/>
                <w:b/>
                <w:bCs/>
                <w:szCs w:val="20"/>
              </w:rPr>
            </w:pPr>
            <w:r>
              <w:rPr>
                <w:rFonts w:cs="Arial"/>
                <w:b/>
                <w:bCs/>
                <w:szCs w:val="20"/>
              </w:rPr>
              <w:t xml:space="preserve">Frequency: </w:t>
            </w:r>
            <w:r>
              <w:rPr>
                <w:rFonts w:cs="Arial"/>
                <w:szCs w:val="20"/>
              </w:rPr>
              <w:t>Two levels each day of use</w:t>
            </w:r>
          </w:p>
          <w:p w:rsidR="00422F71" w:rsidRDefault="00422F71" w:rsidP="00422F71">
            <w:pPr>
              <w:autoSpaceDE w:val="0"/>
              <w:autoSpaceDN w:val="0"/>
              <w:adjustRightInd w:val="0"/>
              <w:spacing w:after="120"/>
              <w:rPr>
                <w:rFonts w:cs="Arial"/>
                <w:szCs w:val="20"/>
              </w:rPr>
            </w:pPr>
            <w:r>
              <w:rPr>
                <w:rFonts w:cs="Arial"/>
                <w:b/>
                <w:bCs/>
                <w:szCs w:val="20"/>
              </w:rPr>
              <w:t xml:space="preserve">Stability: </w:t>
            </w:r>
            <w:r>
              <w:rPr>
                <w:rFonts w:cs="Arial"/>
                <w:szCs w:val="20"/>
              </w:rPr>
              <w:t>Refer to the current lot product insert</w:t>
            </w:r>
          </w:p>
          <w:p w:rsidR="00A71915" w:rsidRDefault="00422F71" w:rsidP="00422F71">
            <w:pPr>
              <w:ind w:right="-108"/>
              <w:jc w:val="both"/>
              <w:rPr>
                <w:rFonts w:cs="Arial"/>
              </w:rPr>
            </w:pPr>
            <w:proofErr w:type="spellStart"/>
            <w:r>
              <w:rPr>
                <w:rFonts w:cs="Arial"/>
                <w:b/>
                <w:bCs/>
                <w:szCs w:val="20"/>
              </w:rPr>
              <w:t>Sunquest</w:t>
            </w:r>
            <w:proofErr w:type="spellEnd"/>
            <w:r>
              <w:rPr>
                <w:rFonts w:cs="Arial"/>
                <w:b/>
                <w:bCs/>
                <w:szCs w:val="20"/>
              </w:rPr>
              <w:t xml:space="preserve"> Control names: </w:t>
            </w:r>
            <w:r>
              <w:rPr>
                <w:rFonts w:cs="Arial"/>
                <w:szCs w:val="20"/>
              </w:rPr>
              <w:t>C-X1, C-X2</w:t>
            </w:r>
          </w:p>
          <w:p w:rsidR="00B00268" w:rsidRDefault="00B00268" w:rsidP="00417F6E">
            <w:pPr>
              <w:jc w:val="both"/>
              <w:rPr>
                <w:rFonts w:cs="Arial"/>
              </w:rPr>
            </w:pPr>
          </w:p>
        </w:tc>
      </w:tr>
      <w:tr w:rsidR="00B00268" w:rsidTr="00725C69">
        <w:trPr>
          <w:cantSplit/>
          <w:trHeight w:val="2580"/>
          <w:tblHeader/>
        </w:trPr>
        <w:tc>
          <w:tcPr>
            <w:tcW w:w="1800" w:type="dxa"/>
          </w:tcPr>
          <w:p w:rsidR="00B00268" w:rsidRDefault="00B00268">
            <w:pPr>
              <w:ind w:right="-108"/>
              <w:rPr>
                <w:rFonts w:cs="Arial"/>
                <w:b/>
                <w:bCs/>
                <w:color w:val="0000FF"/>
              </w:rPr>
            </w:pPr>
          </w:p>
          <w:p w:rsidR="00B00268" w:rsidRDefault="00B00268">
            <w:pPr>
              <w:ind w:right="-108"/>
              <w:rPr>
                <w:rFonts w:cs="Arial"/>
                <w:b/>
                <w:bCs/>
                <w:color w:val="0000FF"/>
              </w:rPr>
            </w:pPr>
            <w:r>
              <w:rPr>
                <w:rFonts w:cs="Arial"/>
                <w:b/>
                <w:bCs/>
                <w:color w:val="0000FF"/>
              </w:rPr>
              <w:t>Quality Control (Urine)</w:t>
            </w:r>
          </w:p>
          <w:p w:rsidR="00B00268" w:rsidRDefault="00B00268">
            <w:pPr>
              <w:ind w:right="-108"/>
              <w:rPr>
                <w:rFonts w:cs="Arial"/>
                <w:b/>
                <w:bCs/>
                <w:color w:val="0000FF"/>
              </w:rPr>
            </w:pPr>
          </w:p>
          <w:p w:rsidR="00B00268" w:rsidRDefault="00B00268">
            <w:pPr>
              <w:ind w:right="-108"/>
              <w:rPr>
                <w:rFonts w:cs="Arial"/>
                <w:b/>
                <w:bCs/>
                <w:color w:val="0000FF"/>
              </w:rPr>
            </w:pPr>
          </w:p>
        </w:tc>
        <w:tc>
          <w:tcPr>
            <w:tcW w:w="9360" w:type="dxa"/>
            <w:tcBorders>
              <w:top w:val="single" w:sz="18" w:space="0" w:color="A6A6A6"/>
              <w:bottom w:val="single" w:sz="18" w:space="0" w:color="A6A6A6"/>
            </w:tcBorders>
          </w:tcPr>
          <w:p w:rsidR="00B00268" w:rsidRDefault="00B00268" w:rsidP="00417F6E">
            <w:pPr>
              <w:pStyle w:val="Header"/>
              <w:tabs>
                <w:tab w:val="left" w:pos="720"/>
              </w:tabs>
              <w:jc w:val="both"/>
              <w:rPr>
                <w:rFonts w:cs="Arial"/>
              </w:rPr>
            </w:pPr>
          </w:p>
          <w:p w:rsidR="00B00268" w:rsidRDefault="00422F71" w:rsidP="00417F6E">
            <w:pPr>
              <w:pStyle w:val="Header"/>
              <w:tabs>
                <w:tab w:val="left" w:pos="720"/>
              </w:tabs>
              <w:jc w:val="both"/>
              <w:rPr>
                <w:rFonts w:cs="Arial"/>
              </w:rPr>
            </w:pPr>
            <w:r w:rsidRPr="00B52D8C">
              <w:rPr>
                <w:rFonts w:cs="Arial"/>
                <w:b/>
                <w:color w:val="5F497A"/>
                <w:szCs w:val="20"/>
              </w:rPr>
              <w:t>PRIMARY METHOD:</w:t>
            </w:r>
            <w:r>
              <w:rPr>
                <w:rFonts w:cs="Arial"/>
                <w:b/>
                <w:color w:val="5F497A"/>
                <w:szCs w:val="20"/>
              </w:rPr>
              <w:t xml:space="preserve"> </w:t>
            </w:r>
            <w:proofErr w:type="spellStart"/>
            <w:r w:rsidR="00B00268">
              <w:rPr>
                <w:rFonts w:cs="Arial"/>
              </w:rPr>
              <w:t>Biorad</w:t>
            </w:r>
            <w:proofErr w:type="spellEnd"/>
            <w:r w:rsidR="00B00268">
              <w:rPr>
                <w:rFonts w:cs="Arial"/>
              </w:rPr>
              <w:t xml:space="preserve"> </w:t>
            </w:r>
            <w:proofErr w:type="spellStart"/>
            <w:r w:rsidR="00B00268">
              <w:rPr>
                <w:rFonts w:cs="Arial"/>
              </w:rPr>
              <w:t>Liquichek</w:t>
            </w:r>
            <w:proofErr w:type="spellEnd"/>
            <w:r w:rsidR="00B00268">
              <w:rPr>
                <w:rFonts w:cs="Arial"/>
              </w:rPr>
              <w:sym w:font="Symbol" w:char="00D2"/>
            </w:r>
            <w:r w:rsidR="00B00268">
              <w:rPr>
                <w:rFonts w:cs="Arial"/>
              </w:rPr>
              <w:t xml:space="preserve"> </w:t>
            </w:r>
            <w:r w:rsidR="00B00268">
              <w:rPr>
                <w:rFonts w:cs="Arial"/>
                <w:b/>
                <w:bCs/>
              </w:rPr>
              <w:t>Urine Chemistry</w:t>
            </w:r>
            <w:r w:rsidR="00B00268">
              <w:rPr>
                <w:rFonts w:cs="Arial"/>
              </w:rPr>
              <w:t xml:space="preserve"> Control Levels 1 &amp; 2 </w:t>
            </w:r>
            <w:r w:rsidR="008B0F46">
              <w:rPr>
                <w:rFonts w:cs="Arial"/>
              </w:rPr>
              <w:t>in Vista ® vials</w:t>
            </w:r>
          </w:p>
          <w:p w:rsidR="00B00268" w:rsidRDefault="00B00268" w:rsidP="00417F6E">
            <w:pPr>
              <w:jc w:val="both"/>
              <w:rPr>
                <w:rFonts w:cs="Arial"/>
                <w:b/>
                <w:bCs/>
              </w:rPr>
            </w:pPr>
          </w:p>
          <w:p w:rsidR="00B00268" w:rsidRDefault="00B00268" w:rsidP="00417F6E">
            <w:pPr>
              <w:jc w:val="both"/>
              <w:rPr>
                <w:rFonts w:cs="Arial"/>
              </w:rPr>
            </w:pPr>
            <w:r>
              <w:rPr>
                <w:rFonts w:cs="Arial"/>
                <w:b/>
                <w:bCs/>
              </w:rPr>
              <w:t>Frequency:</w:t>
            </w:r>
            <w:r>
              <w:rPr>
                <w:rFonts w:cs="Arial"/>
              </w:rPr>
              <w:t xml:space="preserve"> Day of use or daily</w:t>
            </w:r>
          </w:p>
          <w:p w:rsidR="00B00268" w:rsidRDefault="00B00268" w:rsidP="00417F6E">
            <w:pPr>
              <w:pStyle w:val="Header"/>
              <w:tabs>
                <w:tab w:val="left" w:pos="720"/>
              </w:tabs>
              <w:jc w:val="both"/>
              <w:rPr>
                <w:rFonts w:cs="Arial"/>
                <w:b/>
                <w:bCs/>
              </w:rPr>
            </w:pPr>
          </w:p>
          <w:p w:rsidR="00B00268" w:rsidRDefault="00B00268" w:rsidP="00417F6E">
            <w:pPr>
              <w:pStyle w:val="Header"/>
              <w:tabs>
                <w:tab w:val="left" w:pos="720"/>
              </w:tabs>
              <w:jc w:val="both"/>
              <w:rPr>
                <w:rFonts w:cs="Arial"/>
              </w:rPr>
            </w:pPr>
            <w:r>
              <w:rPr>
                <w:rFonts w:cs="Arial"/>
                <w:b/>
                <w:bCs/>
              </w:rPr>
              <w:t>Stability:</w:t>
            </w:r>
            <w:r>
              <w:rPr>
                <w:rFonts w:cs="Arial"/>
              </w:rPr>
              <w:t xml:space="preserve"> </w:t>
            </w:r>
            <w:r w:rsidR="008B0F46">
              <w:rPr>
                <w:rFonts w:cs="Arial"/>
              </w:rPr>
              <w:t>Unopened at 2-8 C/ date on vial, opened on board Vista/ 30 days</w:t>
            </w:r>
            <w:r>
              <w:rPr>
                <w:rFonts w:cs="Arial"/>
              </w:rPr>
              <w:t>.</w:t>
            </w:r>
          </w:p>
          <w:p w:rsidR="00DC252D" w:rsidRDefault="00DC252D" w:rsidP="00417F6E">
            <w:pPr>
              <w:pStyle w:val="Header"/>
              <w:tabs>
                <w:tab w:val="left" w:pos="720"/>
              </w:tabs>
              <w:jc w:val="both"/>
              <w:rPr>
                <w:rFonts w:cs="Arial"/>
              </w:rPr>
            </w:pPr>
          </w:p>
          <w:p w:rsidR="00DC252D" w:rsidRDefault="00DC252D" w:rsidP="00417F6E">
            <w:pPr>
              <w:pStyle w:val="Header"/>
              <w:tabs>
                <w:tab w:val="left" w:pos="720"/>
              </w:tabs>
              <w:jc w:val="both"/>
              <w:rPr>
                <w:rFonts w:cs="Arial"/>
              </w:rPr>
            </w:pPr>
            <w:r w:rsidRPr="00DC252D">
              <w:rPr>
                <w:rFonts w:cs="Arial"/>
                <w:b/>
              </w:rPr>
              <w:t>Preparation</w:t>
            </w:r>
            <w:r>
              <w:rPr>
                <w:rFonts w:cs="Arial"/>
              </w:rPr>
              <w:t>: Gently swirl contents prior to loading on Vista</w:t>
            </w:r>
          </w:p>
          <w:p w:rsidR="00B00268" w:rsidRDefault="00B00268" w:rsidP="00417F6E">
            <w:pPr>
              <w:jc w:val="both"/>
              <w:rPr>
                <w:rFonts w:cs="Arial"/>
                <w:b/>
                <w:bCs/>
              </w:rPr>
            </w:pPr>
          </w:p>
          <w:p w:rsidR="00B00268" w:rsidRDefault="00B00268" w:rsidP="00417F6E">
            <w:pPr>
              <w:jc w:val="both"/>
              <w:rPr>
                <w:rFonts w:cs="Arial"/>
              </w:rPr>
            </w:pPr>
            <w:proofErr w:type="spellStart"/>
            <w:r>
              <w:rPr>
                <w:rFonts w:cs="Arial"/>
                <w:b/>
                <w:bCs/>
              </w:rPr>
              <w:t>Sunquest</w:t>
            </w:r>
            <w:proofErr w:type="spellEnd"/>
            <w:r>
              <w:rPr>
                <w:rFonts w:cs="Arial"/>
                <w:b/>
                <w:bCs/>
              </w:rPr>
              <w:t xml:space="preserve"> Control names:</w:t>
            </w:r>
            <w:r>
              <w:rPr>
                <w:rFonts w:cs="Arial"/>
              </w:rPr>
              <w:t xml:space="preserve"> Urine Level 1 = C-UR1, Level 2 = C-UR2</w:t>
            </w:r>
          </w:p>
        </w:tc>
      </w:tr>
      <w:tr w:rsidR="008B0F46" w:rsidTr="00725C69">
        <w:trPr>
          <w:trHeight w:val="2294"/>
          <w:tblHeader/>
        </w:trPr>
        <w:tc>
          <w:tcPr>
            <w:tcW w:w="1800" w:type="dxa"/>
          </w:tcPr>
          <w:p w:rsidR="008B0F46" w:rsidRDefault="008B0F46" w:rsidP="008B0F46">
            <w:pPr>
              <w:ind w:right="-108"/>
              <w:rPr>
                <w:rFonts w:cs="Arial"/>
                <w:b/>
                <w:bCs/>
                <w:color w:val="0000FF"/>
              </w:rPr>
            </w:pPr>
          </w:p>
          <w:p w:rsidR="008B0F46" w:rsidRDefault="008B0F46" w:rsidP="008B0F46">
            <w:pPr>
              <w:ind w:right="-108"/>
              <w:rPr>
                <w:rFonts w:cs="Arial"/>
                <w:b/>
                <w:bCs/>
                <w:color w:val="0000FF"/>
              </w:rPr>
            </w:pPr>
            <w:r>
              <w:rPr>
                <w:rFonts w:cs="Arial"/>
                <w:b/>
                <w:bCs/>
                <w:color w:val="0000FF"/>
              </w:rPr>
              <w:t>Quality Control Acceptable ranges</w:t>
            </w:r>
          </w:p>
          <w:p w:rsidR="008B0F46" w:rsidRDefault="008B0F46">
            <w:pPr>
              <w:rPr>
                <w:rFonts w:cs="Arial"/>
                <w:b/>
                <w:bCs/>
                <w:color w:val="0000FF"/>
              </w:rPr>
            </w:pPr>
          </w:p>
        </w:tc>
        <w:tc>
          <w:tcPr>
            <w:tcW w:w="9360" w:type="dxa"/>
            <w:tcBorders>
              <w:top w:val="single" w:sz="18" w:space="0" w:color="A6A6A6"/>
              <w:bottom w:val="single" w:sz="18" w:space="0" w:color="A6A6A6"/>
            </w:tcBorders>
            <w:vAlign w:val="center"/>
          </w:tcPr>
          <w:p w:rsidR="008B0F46" w:rsidRDefault="008B0F46" w:rsidP="00417F6E">
            <w:pPr>
              <w:numPr>
                <w:ilvl w:val="0"/>
                <w:numId w:val="31"/>
              </w:numPr>
              <w:jc w:val="both"/>
              <w:rPr>
                <w:rFonts w:cs="Arial"/>
              </w:rPr>
            </w:pPr>
            <w:r>
              <w:rPr>
                <w:rFonts w:cs="Arial"/>
              </w:rPr>
              <w:t xml:space="preserve">Ranges are current in </w:t>
            </w:r>
            <w:proofErr w:type="spellStart"/>
            <w:r>
              <w:rPr>
                <w:rFonts w:cs="Arial"/>
              </w:rPr>
              <w:t>Sunquest</w:t>
            </w:r>
            <w:proofErr w:type="spellEnd"/>
            <w:r>
              <w:rPr>
                <w:rFonts w:cs="Arial"/>
              </w:rPr>
              <w:t xml:space="preserve"> and the instrument. Refer to the Quality Control Procedure for QC exception codes.</w:t>
            </w:r>
          </w:p>
          <w:p w:rsidR="008B0F46" w:rsidRDefault="008B0F46" w:rsidP="00417F6E">
            <w:pPr>
              <w:numPr>
                <w:ilvl w:val="0"/>
                <w:numId w:val="31"/>
              </w:numPr>
              <w:autoSpaceDE w:val="0"/>
              <w:autoSpaceDN w:val="0"/>
              <w:adjustRightInd w:val="0"/>
              <w:jc w:val="both"/>
              <w:rPr>
                <w:rFonts w:eastAsia="Arial Unicode MS" w:cs="Arial"/>
                <w:szCs w:val="22"/>
              </w:rPr>
            </w:pPr>
            <w:r>
              <w:rPr>
                <w:rFonts w:eastAsia="Arial Unicode MS" w:cs="Arial"/>
                <w:szCs w:val="22"/>
              </w:rPr>
              <w:t xml:space="preserve">If a control value is outside the confidence interval, the determination must be repeated. If the repeated determination confirms the deviation, a new reference curve should be established. </w:t>
            </w:r>
          </w:p>
          <w:p w:rsidR="008B0F46" w:rsidRDefault="008B0F46" w:rsidP="00417F6E">
            <w:pPr>
              <w:numPr>
                <w:ilvl w:val="0"/>
                <w:numId w:val="31"/>
              </w:numPr>
              <w:jc w:val="both"/>
              <w:rPr>
                <w:rFonts w:eastAsia="Arial Unicode MS" w:cs="Arial"/>
                <w:szCs w:val="22"/>
              </w:rPr>
            </w:pPr>
            <w:r>
              <w:rPr>
                <w:rFonts w:eastAsia="Arial Unicode MS" w:cs="Arial"/>
                <w:szCs w:val="22"/>
              </w:rPr>
              <w:t>Do not release patient results until the cause of deviation has been identified and corrected</w:t>
            </w:r>
          </w:p>
          <w:p w:rsidR="008B0F46" w:rsidRPr="008B0F46" w:rsidRDefault="008B0F46" w:rsidP="00417F6E">
            <w:pPr>
              <w:numPr>
                <w:ilvl w:val="0"/>
                <w:numId w:val="31"/>
              </w:numPr>
              <w:jc w:val="both"/>
              <w:rPr>
                <w:rFonts w:cs="Arial"/>
                <w:iCs/>
              </w:rPr>
            </w:pPr>
            <w:r>
              <w:rPr>
                <w:rFonts w:eastAsia="Arial Unicode MS" w:cs="Arial"/>
                <w:szCs w:val="13"/>
              </w:rPr>
              <w:t>When a new lot of control is received, validate the manufacturer’s insert range by running the new lot in parallel with the current lot, and confirming that the results obtained are within the stated range</w:t>
            </w:r>
          </w:p>
        </w:tc>
      </w:tr>
      <w:tr w:rsidR="00B00268" w:rsidTr="00C56BDD">
        <w:trPr>
          <w:tblHeader/>
        </w:trPr>
        <w:tc>
          <w:tcPr>
            <w:tcW w:w="1800" w:type="dxa"/>
          </w:tcPr>
          <w:p w:rsidR="00B00268" w:rsidRDefault="00B00268">
            <w:pPr>
              <w:rPr>
                <w:rFonts w:cs="Arial"/>
                <w:b/>
                <w:bCs/>
                <w:color w:val="0000FF"/>
              </w:rPr>
            </w:pPr>
          </w:p>
          <w:p w:rsidR="00B00268" w:rsidRDefault="00B00268">
            <w:pPr>
              <w:rPr>
                <w:rFonts w:cs="Arial"/>
                <w:b/>
                <w:bCs/>
                <w:color w:val="0000FF"/>
              </w:rPr>
            </w:pPr>
            <w:r>
              <w:rPr>
                <w:rFonts w:cs="Arial"/>
                <w:b/>
                <w:bCs/>
                <w:color w:val="0000FF"/>
              </w:rPr>
              <w:t>Calculations</w:t>
            </w:r>
          </w:p>
          <w:p w:rsidR="00B00268" w:rsidRDefault="00B00268">
            <w:pPr>
              <w:rPr>
                <w:rFonts w:cs="Arial"/>
                <w:b/>
                <w:bCs/>
                <w:color w:val="0000FF"/>
              </w:rPr>
            </w:pPr>
          </w:p>
        </w:tc>
        <w:tc>
          <w:tcPr>
            <w:tcW w:w="9360" w:type="dxa"/>
            <w:tcBorders>
              <w:top w:val="single" w:sz="18" w:space="0" w:color="A6A6A6"/>
              <w:bottom w:val="single" w:sz="18" w:space="0" w:color="A6A6A6"/>
            </w:tcBorders>
          </w:tcPr>
          <w:p w:rsidR="00B00268" w:rsidRDefault="00B00268">
            <w:pPr>
              <w:ind w:left="360"/>
              <w:rPr>
                <w:rFonts w:cs="Arial"/>
                <w:b/>
                <w:bCs/>
              </w:rPr>
            </w:pPr>
          </w:p>
          <w:p w:rsidR="00B00268" w:rsidRDefault="00B00268">
            <w:pPr>
              <w:ind w:left="360"/>
              <w:rPr>
                <w:rFonts w:cs="Arial"/>
              </w:rPr>
            </w:pPr>
            <w:r>
              <w:rPr>
                <w:rFonts w:cs="Arial"/>
                <w:b/>
                <w:bCs/>
              </w:rPr>
              <w:t>UPQ</w:t>
            </w:r>
            <w:r>
              <w:rPr>
                <w:rFonts w:cs="Arial"/>
              </w:rPr>
              <w:t xml:space="preserve"> = PO4 in mg /24 Hrs =   </w:t>
            </w:r>
            <w:r>
              <w:rPr>
                <w:rFonts w:cs="Arial"/>
                <w:u w:val="single"/>
              </w:rPr>
              <w:t>PO4 in mg/</w:t>
            </w:r>
            <w:proofErr w:type="spellStart"/>
            <w:r>
              <w:rPr>
                <w:rFonts w:cs="Arial"/>
                <w:u w:val="single"/>
              </w:rPr>
              <w:t>dL</w:t>
            </w:r>
            <w:proofErr w:type="spellEnd"/>
            <w:r>
              <w:rPr>
                <w:rFonts w:cs="Arial"/>
                <w:u w:val="single"/>
              </w:rPr>
              <w:t xml:space="preserve">   x  Total Volume in </w:t>
            </w:r>
            <w:proofErr w:type="spellStart"/>
            <w:r>
              <w:rPr>
                <w:rFonts w:cs="Arial"/>
                <w:u w:val="single"/>
              </w:rPr>
              <w:t>mL</w:t>
            </w:r>
            <w:proofErr w:type="spellEnd"/>
          </w:p>
          <w:p w:rsidR="00B00268" w:rsidRDefault="00B00268">
            <w:pPr>
              <w:pStyle w:val="Header"/>
              <w:tabs>
                <w:tab w:val="clear" w:pos="4320"/>
                <w:tab w:val="clear" w:pos="8640"/>
              </w:tabs>
              <w:ind w:left="360"/>
              <w:rPr>
                <w:rFonts w:cs="Arial"/>
              </w:rPr>
            </w:pPr>
            <w:r>
              <w:rPr>
                <w:rFonts w:cs="Arial"/>
              </w:rPr>
              <w:tab/>
            </w:r>
            <w:r>
              <w:rPr>
                <w:rFonts w:cs="Arial"/>
              </w:rPr>
              <w:tab/>
            </w:r>
            <w:r>
              <w:rPr>
                <w:rFonts w:cs="Arial"/>
              </w:rPr>
              <w:tab/>
            </w:r>
            <w:r>
              <w:rPr>
                <w:rFonts w:cs="Arial"/>
              </w:rPr>
              <w:tab/>
            </w:r>
            <w:r>
              <w:rPr>
                <w:rFonts w:cs="Arial"/>
              </w:rPr>
              <w:tab/>
            </w:r>
            <w:r>
              <w:rPr>
                <w:rFonts w:cs="Arial"/>
              </w:rPr>
              <w:tab/>
              <w:t>100</w:t>
            </w:r>
          </w:p>
          <w:p w:rsidR="00B00268" w:rsidRDefault="00B00268">
            <w:pPr>
              <w:rPr>
                <w:rFonts w:cs="Arial"/>
              </w:rPr>
            </w:pPr>
          </w:p>
        </w:tc>
      </w:tr>
      <w:tr w:rsidR="00B00268" w:rsidTr="00C56BDD">
        <w:trPr>
          <w:trHeight w:val="6786"/>
          <w:tblHeader/>
        </w:trPr>
        <w:tc>
          <w:tcPr>
            <w:tcW w:w="1800" w:type="dxa"/>
          </w:tcPr>
          <w:p w:rsidR="00B00268" w:rsidRDefault="00B00268">
            <w:pPr>
              <w:rPr>
                <w:rFonts w:cs="Arial"/>
                <w:b/>
                <w:bCs/>
                <w:color w:val="0000FF"/>
              </w:rPr>
            </w:pPr>
          </w:p>
          <w:p w:rsidR="00B00268" w:rsidRDefault="00B00268">
            <w:pPr>
              <w:rPr>
                <w:rFonts w:cs="Arial"/>
                <w:b/>
                <w:bCs/>
                <w:color w:val="0000FF"/>
              </w:rPr>
            </w:pPr>
            <w:r>
              <w:rPr>
                <w:rFonts w:cs="Arial"/>
                <w:b/>
                <w:bCs/>
                <w:color w:val="0000FF"/>
              </w:rPr>
              <w:t>Interferences</w:t>
            </w:r>
          </w:p>
          <w:p w:rsidR="00B00268" w:rsidRDefault="00B00268">
            <w:pPr>
              <w:rPr>
                <w:rFonts w:cs="Arial"/>
                <w:b/>
                <w:bCs/>
                <w:color w:val="0000FF"/>
              </w:rPr>
            </w:pPr>
          </w:p>
        </w:tc>
        <w:tc>
          <w:tcPr>
            <w:tcW w:w="9360" w:type="dxa"/>
            <w:tcBorders>
              <w:top w:val="single" w:sz="18" w:space="0" w:color="A6A6A6"/>
              <w:bottom w:val="single" w:sz="18" w:space="0" w:color="A6A6A6"/>
            </w:tcBorders>
            <w:vAlign w:val="center"/>
          </w:tcPr>
          <w:p w:rsidR="003B37D4" w:rsidRPr="0055325A" w:rsidRDefault="003B37D4" w:rsidP="00FC66FA">
            <w:pPr>
              <w:pStyle w:val="BodyText"/>
              <w:jc w:val="both"/>
            </w:pPr>
            <w:r w:rsidRPr="003B37D4">
              <w:rPr>
                <w:rFonts w:cs="Arial"/>
                <w:b/>
                <w:color w:val="5F497A"/>
                <w:szCs w:val="20"/>
              </w:rPr>
              <w:t>PRIMARY METHOD:</w:t>
            </w:r>
          </w:p>
          <w:p w:rsidR="004034CB" w:rsidRPr="003B37D4" w:rsidRDefault="004034CB" w:rsidP="00FC66FA">
            <w:pPr>
              <w:pStyle w:val="TableText"/>
              <w:adjustRightInd w:val="0"/>
              <w:spacing w:after="120"/>
              <w:jc w:val="both"/>
              <w:rPr>
                <w:rFonts w:ascii="Arial" w:hAnsi="Arial" w:cs="Arial"/>
                <w:szCs w:val="20"/>
              </w:rPr>
            </w:pPr>
            <w:proofErr w:type="spellStart"/>
            <w:r w:rsidRPr="003B37D4">
              <w:rPr>
                <w:rFonts w:ascii="Arial" w:hAnsi="Arial" w:cs="Arial"/>
                <w:szCs w:val="20"/>
              </w:rPr>
              <w:t>Hemolysis</w:t>
            </w:r>
            <w:proofErr w:type="spellEnd"/>
            <w:r w:rsidRPr="003B37D4">
              <w:rPr>
                <w:rFonts w:ascii="Arial" w:hAnsi="Arial" w:cs="Arial"/>
                <w:szCs w:val="20"/>
              </w:rPr>
              <w:t xml:space="preserve">, </w:t>
            </w:r>
            <w:proofErr w:type="spellStart"/>
            <w:r w:rsidRPr="003B37D4">
              <w:rPr>
                <w:rFonts w:ascii="Arial" w:hAnsi="Arial" w:cs="Arial"/>
                <w:szCs w:val="20"/>
              </w:rPr>
              <w:t>Icterus</w:t>
            </w:r>
            <w:proofErr w:type="spellEnd"/>
            <w:r w:rsidRPr="003B37D4">
              <w:rPr>
                <w:rFonts w:ascii="Arial" w:hAnsi="Arial" w:cs="Arial"/>
                <w:szCs w:val="20"/>
              </w:rPr>
              <w:t xml:space="preserve"> &amp; </w:t>
            </w:r>
            <w:proofErr w:type="spellStart"/>
            <w:r w:rsidRPr="003B37D4">
              <w:rPr>
                <w:rFonts w:ascii="Arial" w:hAnsi="Arial" w:cs="Arial"/>
                <w:szCs w:val="20"/>
              </w:rPr>
              <w:t>Lipemia</w:t>
            </w:r>
            <w:proofErr w:type="spellEnd"/>
            <w:r w:rsidRPr="003B37D4">
              <w:rPr>
                <w:rFonts w:ascii="Arial" w:hAnsi="Arial" w:cs="Arial"/>
                <w:szCs w:val="20"/>
              </w:rPr>
              <w:t xml:space="preserve"> (HIL) Index Values: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450"/>
              <w:gridCol w:w="450"/>
            </w:tblGrid>
            <w:tr w:rsidR="004034CB" w:rsidRPr="003B37D4" w:rsidTr="004034CB">
              <w:tc>
                <w:tcPr>
                  <w:tcW w:w="517" w:type="dxa"/>
                </w:tcPr>
                <w:p w:rsidR="004034CB" w:rsidRPr="003B37D4" w:rsidRDefault="004034CB" w:rsidP="00FC66FA">
                  <w:pPr>
                    <w:autoSpaceDE w:val="0"/>
                    <w:autoSpaceDN w:val="0"/>
                    <w:adjustRightInd w:val="0"/>
                    <w:jc w:val="both"/>
                    <w:rPr>
                      <w:rFonts w:cs="Arial"/>
                      <w:b/>
                      <w:szCs w:val="20"/>
                    </w:rPr>
                  </w:pPr>
                  <w:r w:rsidRPr="003B37D4">
                    <w:rPr>
                      <w:rFonts w:cs="Arial"/>
                      <w:b/>
                      <w:szCs w:val="20"/>
                    </w:rPr>
                    <w:t>H</w:t>
                  </w:r>
                </w:p>
              </w:tc>
              <w:tc>
                <w:tcPr>
                  <w:tcW w:w="450" w:type="dxa"/>
                </w:tcPr>
                <w:p w:rsidR="004034CB" w:rsidRPr="003B37D4" w:rsidRDefault="004034CB" w:rsidP="00FC66FA">
                  <w:pPr>
                    <w:autoSpaceDE w:val="0"/>
                    <w:autoSpaceDN w:val="0"/>
                    <w:adjustRightInd w:val="0"/>
                    <w:jc w:val="both"/>
                    <w:rPr>
                      <w:rFonts w:cs="Arial"/>
                      <w:b/>
                      <w:szCs w:val="20"/>
                    </w:rPr>
                  </w:pPr>
                  <w:r w:rsidRPr="003B37D4">
                    <w:rPr>
                      <w:rFonts w:cs="Arial"/>
                      <w:b/>
                      <w:szCs w:val="20"/>
                    </w:rPr>
                    <w:t>I</w:t>
                  </w:r>
                </w:p>
              </w:tc>
              <w:tc>
                <w:tcPr>
                  <w:tcW w:w="450" w:type="dxa"/>
                </w:tcPr>
                <w:p w:rsidR="004034CB" w:rsidRPr="003B37D4" w:rsidRDefault="004034CB" w:rsidP="00FC66FA">
                  <w:pPr>
                    <w:autoSpaceDE w:val="0"/>
                    <w:autoSpaceDN w:val="0"/>
                    <w:adjustRightInd w:val="0"/>
                    <w:jc w:val="both"/>
                    <w:rPr>
                      <w:rFonts w:cs="Arial"/>
                      <w:b/>
                      <w:szCs w:val="20"/>
                    </w:rPr>
                  </w:pPr>
                  <w:r w:rsidRPr="003B37D4">
                    <w:rPr>
                      <w:rFonts w:cs="Arial"/>
                      <w:b/>
                      <w:szCs w:val="20"/>
                    </w:rPr>
                    <w:t>L</w:t>
                  </w:r>
                </w:p>
              </w:tc>
            </w:tr>
            <w:tr w:rsidR="004034CB" w:rsidRPr="003B37D4" w:rsidTr="004034CB">
              <w:tc>
                <w:tcPr>
                  <w:tcW w:w="517" w:type="dxa"/>
                </w:tcPr>
                <w:p w:rsidR="004034CB" w:rsidRPr="003B37D4" w:rsidRDefault="004034CB" w:rsidP="00FC66FA">
                  <w:pPr>
                    <w:autoSpaceDE w:val="0"/>
                    <w:autoSpaceDN w:val="0"/>
                    <w:adjustRightInd w:val="0"/>
                    <w:jc w:val="both"/>
                    <w:rPr>
                      <w:rFonts w:cs="Arial"/>
                      <w:szCs w:val="20"/>
                    </w:rPr>
                  </w:pPr>
                  <w:r w:rsidRPr="003B37D4">
                    <w:rPr>
                      <w:rFonts w:cs="Arial"/>
                      <w:szCs w:val="20"/>
                    </w:rPr>
                    <w:t>7</w:t>
                  </w:r>
                </w:p>
              </w:tc>
              <w:tc>
                <w:tcPr>
                  <w:tcW w:w="450" w:type="dxa"/>
                </w:tcPr>
                <w:p w:rsidR="004034CB" w:rsidRPr="003B37D4" w:rsidRDefault="004034CB" w:rsidP="00FC66FA">
                  <w:pPr>
                    <w:autoSpaceDE w:val="0"/>
                    <w:autoSpaceDN w:val="0"/>
                    <w:adjustRightInd w:val="0"/>
                    <w:jc w:val="both"/>
                    <w:rPr>
                      <w:rFonts w:cs="Arial"/>
                      <w:szCs w:val="20"/>
                    </w:rPr>
                  </w:pPr>
                  <w:r w:rsidRPr="003B37D4">
                    <w:rPr>
                      <w:rFonts w:cs="Arial"/>
                      <w:szCs w:val="20"/>
                    </w:rPr>
                    <w:t>7</w:t>
                  </w:r>
                </w:p>
              </w:tc>
              <w:tc>
                <w:tcPr>
                  <w:tcW w:w="450" w:type="dxa"/>
                </w:tcPr>
                <w:p w:rsidR="004034CB" w:rsidRPr="003B37D4" w:rsidRDefault="004034CB" w:rsidP="00FC66FA">
                  <w:pPr>
                    <w:autoSpaceDE w:val="0"/>
                    <w:autoSpaceDN w:val="0"/>
                    <w:adjustRightInd w:val="0"/>
                    <w:jc w:val="both"/>
                    <w:rPr>
                      <w:rFonts w:cs="Arial"/>
                      <w:szCs w:val="20"/>
                    </w:rPr>
                  </w:pPr>
                  <w:r w:rsidRPr="003B37D4">
                    <w:rPr>
                      <w:rFonts w:cs="Arial"/>
                      <w:szCs w:val="20"/>
                    </w:rPr>
                    <w:t>5</w:t>
                  </w:r>
                </w:p>
              </w:tc>
            </w:tr>
          </w:tbl>
          <w:p w:rsidR="004034CB" w:rsidRPr="003B37D4" w:rsidRDefault="004034CB" w:rsidP="00FC66FA">
            <w:pPr>
              <w:autoSpaceDE w:val="0"/>
              <w:autoSpaceDN w:val="0"/>
              <w:adjustRightInd w:val="0"/>
              <w:jc w:val="both"/>
              <w:rPr>
                <w:rFonts w:cs="Arial"/>
                <w:color w:val="000000"/>
                <w:szCs w:val="20"/>
              </w:rPr>
            </w:pPr>
          </w:p>
          <w:p w:rsidR="004034CB" w:rsidRPr="003B37D4" w:rsidRDefault="004034CB" w:rsidP="00FC66FA">
            <w:pPr>
              <w:autoSpaceDE w:val="0"/>
              <w:autoSpaceDN w:val="0"/>
              <w:adjustRightInd w:val="0"/>
              <w:jc w:val="both"/>
              <w:rPr>
                <w:rFonts w:cs="Arial"/>
                <w:szCs w:val="20"/>
              </w:rPr>
            </w:pPr>
            <w:r w:rsidRPr="003B37D4">
              <w:rPr>
                <w:rFonts w:cs="Arial"/>
                <w:b/>
                <w:color w:val="000000"/>
                <w:szCs w:val="20"/>
              </w:rPr>
              <w:t>HIL:</w:t>
            </w:r>
            <w:r w:rsidRPr="003B37D4">
              <w:rPr>
                <w:rFonts w:cs="Arial"/>
                <w:szCs w:val="20"/>
              </w:rPr>
              <w:t xml:space="preserve"> </w:t>
            </w:r>
          </w:p>
          <w:p w:rsidR="004034CB" w:rsidRPr="003B37D4" w:rsidRDefault="004034CB" w:rsidP="003D2C62">
            <w:pPr>
              <w:numPr>
                <w:ilvl w:val="0"/>
                <w:numId w:val="32"/>
              </w:numPr>
              <w:autoSpaceDE w:val="0"/>
              <w:autoSpaceDN w:val="0"/>
              <w:adjustRightInd w:val="0"/>
              <w:spacing w:after="80"/>
              <w:jc w:val="both"/>
              <w:rPr>
                <w:rFonts w:cs="Arial"/>
                <w:szCs w:val="20"/>
              </w:rPr>
            </w:pPr>
            <w:r w:rsidRPr="003B37D4">
              <w:rPr>
                <w:rFonts w:cs="Arial"/>
                <w:szCs w:val="20"/>
              </w:rPr>
              <w:t>Hemoglobin at 1000 mg/</w:t>
            </w:r>
            <w:proofErr w:type="spellStart"/>
            <w:r w:rsidRPr="003B37D4">
              <w:rPr>
                <w:rFonts w:cs="Arial"/>
                <w:szCs w:val="20"/>
              </w:rPr>
              <w:t>dL</w:t>
            </w:r>
            <w:proofErr w:type="spellEnd"/>
            <w:r w:rsidRPr="003B37D4">
              <w:rPr>
                <w:rFonts w:cs="Arial"/>
                <w:szCs w:val="20"/>
              </w:rPr>
              <w:t xml:space="preserve"> increases PHOS results by 15.6% at 4.2 mg/</w:t>
            </w:r>
            <w:proofErr w:type="spellStart"/>
            <w:r w:rsidRPr="003B37D4">
              <w:rPr>
                <w:rFonts w:cs="Arial"/>
                <w:szCs w:val="20"/>
              </w:rPr>
              <w:t>dL</w:t>
            </w:r>
            <w:proofErr w:type="spellEnd"/>
            <w:r w:rsidRPr="003B37D4">
              <w:rPr>
                <w:rFonts w:cs="Arial"/>
                <w:szCs w:val="20"/>
              </w:rPr>
              <w:t xml:space="preserve"> of phosphorus.</w:t>
            </w:r>
          </w:p>
          <w:p w:rsidR="004034CB" w:rsidRPr="003B37D4" w:rsidRDefault="004034CB" w:rsidP="003D2C62">
            <w:pPr>
              <w:numPr>
                <w:ilvl w:val="0"/>
                <w:numId w:val="32"/>
              </w:numPr>
              <w:autoSpaceDE w:val="0"/>
              <w:autoSpaceDN w:val="0"/>
              <w:adjustRightInd w:val="0"/>
              <w:spacing w:after="80"/>
              <w:jc w:val="both"/>
              <w:rPr>
                <w:rFonts w:cs="Arial"/>
                <w:szCs w:val="20"/>
              </w:rPr>
            </w:pPr>
            <w:proofErr w:type="spellStart"/>
            <w:r w:rsidRPr="003B37D4">
              <w:rPr>
                <w:rFonts w:cs="Arial"/>
                <w:szCs w:val="20"/>
              </w:rPr>
              <w:t>Bilirubin</w:t>
            </w:r>
            <w:proofErr w:type="spellEnd"/>
            <w:r w:rsidRPr="003B37D4">
              <w:rPr>
                <w:rFonts w:cs="Arial"/>
                <w:szCs w:val="20"/>
              </w:rPr>
              <w:t xml:space="preserve"> (</w:t>
            </w:r>
            <w:proofErr w:type="spellStart"/>
            <w:r w:rsidRPr="003B37D4">
              <w:rPr>
                <w:rFonts w:cs="Arial"/>
                <w:szCs w:val="20"/>
              </w:rPr>
              <w:t>unconjugated</w:t>
            </w:r>
            <w:proofErr w:type="spellEnd"/>
            <w:r w:rsidRPr="003B37D4">
              <w:rPr>
                <w:rFonts w:cs="Arial"/>
                <w:szCs w:val="20"/>
              </w:rPr>
              <w:t>) at 60 mg/</w:t>
            </w:r>
            <w:proofErr w:type="spellStart"/>
            <w:r w:rsidRPr="003B37D4">
              <w:rPr>
                <w:rFonts w:cs="Arial"/>
                <w:szCs w:val="20"/>
              </w:rPr>
              <w:t>dL</w:t>
            </w:r>
            <w:proofErr w:type="spellEnd"/>
            <w:r w:rsidRPr="003B37D4">
              <w:rPr>
                <w:rFonts w:cs="Arial"/>
                <w:szCs w:val="20"/>
              </w:rPr>
              <w:t xml:space="preserve"> decreases PHOS results by 11.2% at 4.2 mg/</w:t>
            </w:r>
            <w:proofErr w:type="spellStart"/>
            <w:r w:rsidRPr="003B37D4">
              <w:rPr>
                <w:rFonts w:cs="Arial"/>
                <w:szCs w:val="20"/>
              </w:rPr>
              <w:t>dL</w:t>
            </w:r>
            <w:proofErr w:type="spellEnd"/>
            <w:r w:rsidRPr="003B37D4">
              <w:rPr>
                <w:rFonts w:cs="Arial"/>
                <w:szCs w:val="20"/>
              </w:rPr>
              <w:t xml:space="preserve"> of phosphorus</w:t>
            </w:r>
          </w:p>
          <w:p w:rsidR="004034CB" w:rsidRPr="003B37D4" w:rsidRDefault="004034CB" w:rsidP="003D2C62">
            <w:pPr>
              <w:numPr>
                <w:ilvl w:val="0"/>
                <w:numId w:val="32"/>
              </w:numPr>
              <w:autoSpaceDE w:val="0"/>
              <w:autoSpaceDN w:val="0"/>
              <w:adjustRightInd w:val="0"/>
              <w:spacing w:after="80"/>
              <w:jc w:val="both"/>
              <w:rPr>
                <w:rFonts w:cs="Arial"/>
                <w:szCs w:val="20"/>
              </w:rPr>
            </w:pPr>
            <w:proofErr w:type="spellStart"/>
            <w:r w:rsidRPr="003B37D4">
              <w:rPr>
                <w:rFonts w:cs="Arial"/>
                <w:szCs w:val="20"/>
              </w:rPr>
              <w:t>Lipemia</w:t>
            </w:r>
            <w:proofErr w:type="spellEnd"/>
            <w:r w:rsidRPr="003B37D4">
              <w:rPr>
                <w:rFonts w:cs="Arial"/>
                <w:szCs w:val="20"/>
              </w:rPr>
              <w:t xml:space="preserve"> </w:t>
            </w:r>
            <w:r w:rsidR="00805947" w:rsidRPr="003B37D4">
              <w:rPr>
                <w:rFonts w:cs="Arial"/>
                <w:szCs w:val="20"/>
              </w:rPr>
              <w:t>above</w:t>
            </w:r>
            <w:r w:rsidRPr="003B37D4">
              <w:rPr>
                <w:rFonts w:cs="Arial"/>
                <w:szCs w:val="20"/>
              </w:rPr>
              <w:t xml:space="preserve"> 600 mg/</w:t>
            </w:r>
            <w:proofErr w:type="spellStart"/>
            <w:r w:rsidRPr="003B37D4">
              <w:rPr>
                <w:rFonts w:cs="Arial"/>
                <w:szCs w:val="20"/>
              </w:rPr>
              <w:t>dL</w:t>
            </w:r>
            <w:proofErr w:type="spellEnd"/>
            <w:r w:rsidRPr="003B37D4">
              <w:rPr>
                <w:rFonts w:cs="Arial"/>
                <w:szCs w:val="20"/>
              </w:rPr>
              <w:t xml:space="preserve"> decreases phosphorus by</w:t>
            </w:r>
            <w:r w:rsidR="00805947" w:rsidRPr="003B37D4">
              <w:rPr>
                <w:rFonts w:cs="Arial"/>
                <w:szCs w:val="20"/>
              </w:rPr>
              <w:t xml:space="preserve"> up to</w:t>
            </w:r>
            <w:r w:rsidRPr="003B37D4">
              <w:rPr>
                <w:rFonts w:cs="Arial"/>
                <w:szCs w:val="20"/>
              </w:rPr>
              <w:t xml:space="preserve"> 10-20</w:t>
            </w:r>
            <w:r w:rsidR="00805947" w:rsidRPr="003B37D4">
              <w:rPr>
                <w:rFonts w:cs="Arial"/>
                <w:szCs w:val="20"/>
              </w:rPr>
              <w:t>% at normal PHOS concentrations</w:t>
            </w:r>
          </w:p>
          <w:p w:rsidR="004034CB" w:rsidRPr="003B37D4" w:rsidRDefault="004034CB" w:rsidP="003D2C62">
            <w:pPr>
              <w:numPr>
                <w:ilvl w:val="0"/>
                <w:numId w:val="32"/>
              </w:numPr>
              <w:autoSpaceDE w:val="0"/>
              <w:autoSpaceDN w:val="0"/>
              <w:adjustRightInd w:val="0"/>
              <w:spacing w:after="80"/>
              <w:jc w:val="both"/>
              <w:rPr>
                <w:rFonts w:cs="Arial"/>
                <w:szCs w:val="20"/>
              </w:rPr>
            </w:pPr>
            <w:proofErr w:type="spellStart"/>
            <w:r w:rsidRPr="003B37D4">
              <w:rPr>
                <w:rFonts w:cs="Arial"/>
                <w:szCs w:val="20"/>
              </w:rPr>
              <w:t>Mannitol</w:t>
            </w:r>
            <w:proofErr w:type="spellEnd"/>
            <w:r w:rsidRPr="003B37D4">
              <w:rPr>
                <w:rFonts w:cs="Arial"/>
                <w:szCs w:val="20"/>
              </w:rPr>
              <w:t xml:space="preserve"> at concentrations of 500 mg/</w:t>
            </w:r>
            <w:proofErr w:type="spellStart"/>
            <w:r w:rsidRPr="003B37D4">
              <w:rPr>
                <w:rFonts w:cs="Arial"/>
                <w:szCs w:val="20"/>
              </w:rPr>
              <w:t>dL</w:t>
            </w:r>
            <w:proofErr w:type="spellEnd"/>
            <w:r w:rsidRPr="003B37D4">
              <w:rPr>
                <w:rFonts w:cs="Arial"/>
                <w:szCs w:val="20"/>
              </w:rPr>
              <w:t xml:space="preserve"> or greater causes a decrease of 10% or more.</w:t>
            </w:r>
          </w:p>
          <w:p w:rsidR="004034CB" w:rsidRPr="003B37D4" w:rsidRDefault="004034CB" w:rsidP="003D2C62">
            <w:pPr>
              <w:numPr>
                <w:ilvl w:val="0"/>
                <w:numId w:val="32"/>
              </w:numPr>
              <w:autoSpaceDE w:val="0"/>
              <w:autoSpaceDN w:val="0"/>
              <w:adjustRightInd w:val="0"/>
              <w:spacing w:after="80"/>
              <w:jc w:val="both"/>
              <w:rPr>
                <w:rFonts w:cs="Arial"/>
                <w:szCs w:val="20"/>
              </w:rPr>
            </w:pPr>
            <w:proofErr w:type="spellStart"/>
            <w:r w:rsidRPr="003B37D4">
              <w:rPr>
                <w:rFonts w:cs="Arial"/>
                <w:szCs w:val="20"/>
              </w:rPr>
              <w:t>Creatine</w:t>
            </w:r>
            <w:proofErr w:type="spellEnd"/>
            <w:r w:rsidRPr="003B37D4">
              <w:rPr>
                <w:rFonts w:cs="Arial"/>
                <w:szCs w:val="20"/>
              </w:rPr>
              <w:t xml:space="preserve"> phosphate and </w:t>
            </w:r>
            <w:proofErr w:type="spellStart"/>
            <w:r w:rsidRPr="003B37D4">
              <w:rPr>
                <w:rFonts w:cs="Arial"/>
                <w:szCs w:val="20"/>
              </w:rPr>
              <w:t>phosphoenol</w:t>
            </w:r>
            <w:proofErr w:type="spellEnd"/>
            <w:r w:rsidRPr="003B37D4">
              <w:rPr>
                <w:rFonts w:cs="Arial"/>
                <w:szCs w:val="20"/>
              </w:rPr>
              <w:t xml:space="preserve"> </w:t>
            </w:r>
            <w:proofErr w:type="spellStart"/>
            <w:r w:rsidRPr="003B37D4">
              <w:rPr>
                <w:rFonts w:cs="Arial"/>
                <w:szCs w:val="20"/>
              </w:rPr>
              <w:t>pyruvate</w:t>
            </w:r>
            <w:proofErr w:type="spellEnd"/>
            <w:r w:rsidRPr="003B37D4">
              <w:rPr>
                <w:rFonts w:cs="Arial"/>
                <w:szCs w:val="20"/>
              </w:rPr>
              <w:t xml:space="preserve"> liberate phosphorus under the reaction conditions of this</w:t>
            </w:r>
            <w:r w:rsidR="00805947" w:rsidRPr="003B37D4">
              <w:rPr>
                <w:rFonts w:cs="Arial"/>
                <w:szCs w:val="20"/>
              </w:rPr>
              <w:t xml:space="preserve"> </w:t>
            </w:r>
            <w:r w:rsidRPr="003B37D4">
              <w:rPr>
                <w:rFonts w:cs="Arial"/>
                <w:szCs w:val="20"/>
              </w:rPr>
              <w:t>method and can thereby increase results.</w:t>
            </w:r>
          </w:p>
          <w:p w:rsidR="003B37D4" w:rsidRPr="003B37D4" w:rsidRDefault="003B37D4" w:rsidP="00FC66FA">
            <w:pPr>
              <w:pStyle w:val="Pa5"/>
              <w:spacing w:after="20"/>
              <w:jc w:val="both"/>
              <w:rPr>
                <w:rFonts w:ascii="Arial" w:hAnsi="Arial" w:cs="Arial"/>
                <w:b/>
                <w:bCs/>
                <w:color w:val="76933C"/>
                <w:sz w:val="20"/>
                <w:szCs w:val="20"/>
              </w:rPr>
            </w:pPr>
          </w:p>
          <w:p w:rsidR="003B37D4" w:rsidRPr="003B37D4" w:rsidRDefault="003B37D4" w:rsidP="00FC66FA">
            <w:pPr>
              <w:pStyle w:val="Pa5"/>
              <w:spacing w:after="20"/>
              <w:jc w:val="both"/>
              <w:rPr>
                <w:rStyle w:val="A1"/>
                <w:rFonts w:ascii="Arial" w:hAnsi="Arial" w:cs="Arial"/>
                <w:sz w:val="20"/>
                <w:szCs w:val="20"/>
                <w:u w:val="none"/>
              </w:rPr>
            </w:pPr>
            <w:r w:rsidRPr="003B37D4">
              <w:rPr>
                <w:rFonts w:ascii="Arial" w:hAnsi="Arial" w:cs="Arial"/>
                <w:b/>
                <w:bCs/>
                <w:color w:val="76933C"/>
                <w:sz w:val="20"/>
                <w:szCs w:val="20"/>
              </w:rPr>
              <w:t>SECONDARY METHOD</w:t>
            </w:r>
            <w:r w:rsidRPr="003B37D4">
              <w:rPr>
                <w:rFonts w:ascii="Arial" w:hAnsi="Arial" w:cs="Arial"/>
                <w:color w:val="76933C"/>
                <w:sz w:val="20"/>
                <w:szCs w:val="20"/>
              </w:rPr>
              <w:t>:</w:t>
            </w:r>
            <w:r w:rsidRPr="003B37D4">
              <w:rPr>
                <w:rStyle w:val="A1"/>
                <w:rFonts w:ascii="Arial" w:hAnsi="Arial" w:cs="Arial"/>
                <w:sz w:val="20"/>
                <w:szCs w:val="20"/>
                <w:u w:val="none"/>
              </w:rPr>
              <w:t xml:space="preserve"> </w:t>
            </w:r>
          </w:p>
          <w:p w:rsidR="003B37D4" w:rsidRPr="003B37D4" w:rsidRDefault="003B37D4" w:rsidP="003D2C62">
            <w:pPr>
              <w:pStyle w:val="Pa5"/>
              <w:numPr>
                <w:ilvl w:val="0"/>
                <w:numId w:val="37"/>
              </w:numPr>
              <w:spacing w:after="80"/>
              <w:jc w:val="both"/>
              <w:rPr>
                <w:rFonts w:ascii="Arial" w:hAnsi="Arial" w:cs="Arial"/>
                <w:color w:val="000000"/>
                <w:sz w:val="20"/>
                <w:szCs w:val="20"/>
              </w:rPr>
            </w:pPr>
            <w:r w:rsidRPr="003B37D4">
              <w:rPr>
                <w:rStyle w:val="A1"/>
                <w:rFonts w:ascii="Arial" w:hAnsi="Arial" w:cs="Arial"/>
                <w:sz w:val="20"/>
                <w:szCs w:val="20"/>
                <w:u w:val="none"/>
              </w:rPr>
              <w:t>Hemoglobin at 1000 mg/</w:t>
            </w:r>
            <w:proofErr w:type="spellStart"/>
            <w:r w:rsidRPr="003B37D4">
              <w:rPr>
                <w:rStyle w:val="A1"/>
                <w:rFonts w:ascii="Arial" w:hAnsi="Arial" w:cs="Arial"/>
                <w:sz w:val="20"/>
                <w:szCs w:val="20"/>
                <w:u w:val="none"/>
              </w:rPr>
              <w:t>dL</w:t>
            </w:r>
            <w:proofErr w:type="spellEnd"/>
            <w:r w:rsidR="00FC66FA">
              <w:rPr>
                <w:rStyle w:val="A1"/>
                <w:rFonts w:ascii="Arial" w:hAnsi="Arial" w:cs="Arial"/>
                <w:sz w:val="20"/>
                <w:szCs w:val="20"/>
                <w:u w:val="none"/>
              </w:rPr>
              <w:t xml:space="preserve"> </w:t>
            </w:r>
            <w:r w:rsidRPr="003B37D4">
              <w:rPr>
                <w:rStyle w:val="A1"/>
                <w:rFonts w:ascii="Arial" w:hAnsi="Arial" w:cs="Arial"/>
                <w:sz w:val="20"/>
                <w:szCs w:val="20"/>
                <w:u w:val="none"/>
              </w:rPr>
              <w:t>increases PHOS results by 17% at a phosphorus concentration of 2.5 mg/</w:t>
            </w:r>
            <w:proofErr w:type="spellStart"/>
            <w:r w:rsidRPr="003B37D4">
              <w:rPr>
                <w:rStyle w:val="A1"/>
                <w:rFonts w:ascii="Arial" w:hAnsi="Arial" w:cs="Arial"/>
                <w:sz w:val="20"/>
                <w:szCs w:val="20"/>
                <w:u w:val="none"/>
              </w:rPr>
              <w:t>dL</w:t>
            </w:r>
            <w:proofErr w:type="spellEnd"/>
            <w:r w:rsidRPr="003B37D4">
              <w:rPr>
                <w:rStyle w:val="A1"/>
                <w:rFonts w:ascii="Arial" w:hAnsi="Arial" w:cs="Arial"/>
                <w:sz w:val="20"/>
                <w:szCs w:val="20"/>
                <w:u w:val="none"/>
              </w:rPr>
              <w:t xml:space="preserve"> </w:t>
            </w:r>
          </w:p>
          <w:p w:rsidR="003B37D4" w:rsidRPr="003B37D4" w:rsidRDefault="003B37D4" w:rsidP="003D2C62">
            <w:pPr>
              <w:pStyle w:val="Pa5"/>
              <w:numPr>
                <w:ilvl w:val="0"/>
                <w:numId w:val="37"/>
              </w:numPr>
              <w:spacing w:after="80"/>
              <w:jc w:val="both"/>
              <w:rPr>
                <w:rFonts w:ascii="Arial" w:hAnsi="Arial" w:cs="Arial"/>
                <w:color w:val="000000"/>
                <w:sz w:val="20"/>
                <w:szCs w:val="20"/>
              </w:rPr>
            </w:pPr>
            <w:proofErr w:type="spellStart"/>
            <w:r w:rsidRPr="003B37D4">
              <w:rPr>
                <w:rStyle w:val="A1"/>
                <w:rFonts w:ascii="Arial" w:hAnsi="Arial" w:cs="Arial"/>
                <w:sz w:val="20"/>
                <w:szCs w:val="20"/>
                <w:u w:val="none"/>
              </w:rPr>
              <w:t>Lipemia</w:t>
            </w:r>
            <w:proofErr w:type="spellEnd"/>
            <w:r w:rsidRPr="003B37D4">
              <w:rPr>
                <w:rStyle w:val="A1"/>
                <w:rFonts w:ascii="Arial" w:hAnsi="Arial" w:cs="Arial"/>
                <w:sz w:val="20"/>
                <w:szCs w:val="20"/>
                <w:u w:val="none"/>
              </w:rPr>
              <w:t xml:space="preserve"> (</w:t>
            </w:r>
            <w:proofErr w:type="spellStart"/>
            <w:r w:rsidRPr="003B37D4">
              <w:rPr>
                <w:rStyle w:val="A1"/>
                <w:rFonts w:ascii="Arial" w:hAnsi="Arial" w:cs="Arial"/>
                <w:sz w:val="20"/>
                <w:szCs w:val="20"/>
                <w:u w:val="none"/>
              </w:rPr>
              <w:t>Intralipid</w:t>
            </w:r>
            <w:proofErr w:type="spellEnd"/>
            <w:r w:rsidRPr="003B37D4">
              <w:rPr>
                <w:rStyle w:val="A1"/>
                <w:rFonts w:ascii="Arial" w:hAnsi="Arial" w:cs="Arial"/>
                <w:sz w:val="20"/>
                <w:szCs w:val="20"/>
                <w:u w:val="none"/>
              </w:rPr>
              <w:t>®) at 3000 mg/</w:t>
            </w:r>
            <w:proofErr w:type="spellStart"/>
            <w:r w:rsidRPr="003B37D4">
              <w:rPr>
                <w:rStyle w:val="A1"/>
                <w:rFonts w:ascii="Arial" w:hAnsi="Arial" w:cs="Arial"/>
                <w:sz w:val="20"/>
                <w:szCs w:val="20"/>
                <w:u w:val="none"/>
              </w:rPr>
              <w:t>dL</w:t>
            </w:r>
            <w:proofErr w:type="spellEnd"/>
            <w:r w:rsidRPr="003B37D4">
              <w:rPr>
                <w:rStyle w:val="A1"/>
                <w:rFonts w:ascii="Arial" w:hAnsi="Arial" w:cs="Arial"/>
                <w:sz w:val="20"/>
                <w:szCs w:val="20"/>
                <w:u w:val="none"/>
              </w:rPr>
              <w:t xml:space="preserve"> increases PHOS results by 71% and 30% at a phosphorus concentration of 2.5 mg/</w:t>
            </w:r>
            <w:proofErr w:type="spellStart"/>
            <w:r w:rsidR="00FC66FA">
              <w:rPr>
                <w:rStyle w:val="A1"/>
                <w:rFonts w:ascii="Arial" w:hAnsi="Arial" w:cs="Arial"/>
                <w:sz w:val="20"/>
                <w:szCs w:val="20"/>
                <w:u w:val="none"/>
              </w:rPr>
              <w:t>dL</w:t>
            </w:r>
            <w:proofErr w:type="spellEnd"/>
            <w:r w:rsidRPr="003B37D4">
              <w:rPr>
                <w:rStyle w:val="A1"/>
                <w:rFonts w:ascii="Arial" w:hAnsi="Arial" w:cs="Arial"/>
                <w:sz w:val="20"/>
                <w:szCs w:val="20"/>
                <w:u w:val="none"/>
              </w:rPr>
              <w:t xml:space="preserve"> and 6.5 mg/</w:t>
            </w:r>
            <w:proofErr w:type="spellStart"/>
            <w:r w:rsidRPr="003B37D4">
              <w:rPr>
                <w:rStyle w:val="A1"/>
                <w:rFonts w:ascii="Arial" w:hAnsi="Arial" w:cs="Arial"/>
                <w:sz w:val="20"/>
                <w:szCs w:val="20"/>
                <w:u w:val="none"/>
              </w:rPr>
              <w:t>dL</w:t>
            </w:r>
            <w:proofErr w:type="spellEnd"/>
            <w:r w:rsidRPr="003B37D4">
              <w:rPr>
                <w:rStyle w:val="A1"/>
                <w:rFonts w:ascii="Arial" w:hAnsi="Arial" w:cs="Arial"/>
                <w:sz w:val="20"/>
                <w:szCs w:val="20"/>
                <w:u w:val="none"/>
              </w:rPr>
              <w:t xml:space="preserve"> respectively. </w:t>
            </w:r>
          </w:p>
          <w:p w:rsidR="003B37D4" w:rsidRPr="003B37D4" w:rsidRDefault="003B37D4" w:rsidP="003D2C62">
            <w:pPr>
              <w:pStyle w:val="Pa5"/>
              <w:numPr>
                <w:ilvl w:val="0"/>
                <w:numId w:val="37"/>
              </w:numPr>
              <w:spacing w:after="80"/>
              <w:jc w:val="both"/>
              <w:rPr>
                <w:rFonts w:ascii="Arial" w:hAnsi="Arial" w:cs="Arial"/>
                <w:color w:val="000000"/>
                <w:sz w:val="20"/>
                <w:szCs w:val="20"/>
              </w:rPr>
            </w:pPr>
            <w:r w:rsidRPr="003B37D4">
              <w:rPr>
                <w:rStyle w:val="A1"/>
                <w:rFonts w:ascii="Arial" w:hAnsi="Arial" w:cs="Arial"/>
                <w:sz w:val="20"/>
                <w:szCs w:val="20"/>
                <w:u w:val="none"/>
              </w:rPr>
              <w:t>Albumin at 6.0 g/</w:t>
            </w:r>
            <w:proofErr w:type="spellStart"/>
            <w:r w:rsidRPr="003B37D4">
              <w:rPr>
                <w:rStyle w:val="A1"/>
                <w:rFonts w:ascii="Arial" w:hAnsi="Arial" w:cs="Arial"/>
                <w:sz w:val="20"/>
                <w:szCs w:val="20"/>
                <w:u w:val="none"/>
              </w:rPr>
              <w:t>dL</w:t>
            </w:r>
            <w:proofErr w:type="spellEnd"/>
            <w:r w:rsidRPr="003B37D4">
              <w:rPr>
                <w:rStyle w:val="A1"/>
                <w:rFonts w:ascii="Arial" w:hAnsi="Arial" w:cs="Arial"/>
                <w:sz w:val="20"/>
                <w:szCs w:val="20"/>
                <w:u w:val="none"/>
              </w:rPr>
              <w:t xml:space="preserve"> increases PHOS results by 19% at a concentration of 2.5 mg/</w:t>
            </w:r>
            <w:proofErr w:type="spellStart"/>
            <w:r w:rsidRPr="003B37D4">
              <w:rPr>
                <w:rStyle w:val="A1"/>
                <w:rFonts w:ascii="Arial" w:hAnsi="Arial" w:cs="Arial"/>
                <w:sz w:val="20"/>
                <w:szCs w:val="20"/>
                <w:u w:val="none"/>
              </w:rPr>
              <w:t>dL</w:t>
            </w:r>
            <w:proofErr w:type="spellEnd"/>
            <w:r w:rsidRPr="003B37D4">
              <w:rPr>
                <w:rStyle w:val="A1"/>
                <w:rFonts w:ascii="Arial" w:hAnsi="Arial" w:cs="Arial"/>
                <w:sz w:val="20"/>
                <w:szCs w:val="20"/>
                <w:u w:val="none"/>
              </w:rPr>
              <w:t xml:space="preserve"> </w:t>
            </w:r>
          </w:p>
          <w:p w:rsidR="003B37D4" w:rsidRPr="00FC66FA" w:rsidRDefault="00B00268" w:rsidP="005248A1">
            <w:pPr>
              <w:pStyle w:val="Bullets"/>
              <w:spacing w:after="80"/>
              <w:ind w:left="0" w:firstLine="0"/>
              <w:jc w:val="both"/>
              <w:rPr>
                <w:rFonts w:ascii="Arial" w:hAnsi="Arial" w:cs="Arial"/>
              </w:rPr>
            </w:pPr>
            <w:r w:rsidRPr="003B37D4">
              <w:rPr>
                <w:rFonts w:ascii="Arial" w:hAnsi="Arial" w:cs="Arial"/>
              </w:rPr>
              <w:t>Refer to the product insert for a list of substances that have been shown to have no measurable effect on the PO4 r</w:t>
            </w:r>
            <w:r w:rsidR="00FC66FA">
              <w:rPr>
                <w:rFonts w:ascii="Arial" w:hAnsi="Arial" w:cs="Arial"/>
              </w:rPr>
              <w:t>esult at typical concentrations</w:t>
            </w:r>
          </w:p>
        </w:tc>
      </w:tr>
      <w:tr w:rsidR="00B00268" w:rsidTr="00521BA6">
        <w:trPr>
          <w:trHeight w:val="4338"/>
          <w:tblHeader/>
        </w:trPr>
        <w:tc>
          <w:tcPr>
            <w:tcW w:w="1800" w:type="dxa"/>
          </w:tcPr>
          <w:p w:rsidR="00B00268" w:rsidRDefault="00B00268">
            <w:pPr>
              <w:rPr>
                <w:rFonts w:cs="Arial"/>
                <w:b/>
                <w:bCs/>
                <w:color w:val="0000FF"/>
              </w:rPr>
            </w:pPr>
          </w:p>
          <w:p w:rsidR="00B00268" w:rsidRDefault="00B00268">
            <w:pPr>
              <w:rPr>
                <w:rFonts w:cs="Arial"/>
                <w:b/>
                <w:bCs/>
                <w:color w:val="0000FF"/>
              </w:rPr>
            </w:pPr>
            <w:r>
              <w:rPr>
                <w:rFonts w:cs="Arial"/>
                <w:b/>
                <w:bCs/>
                <w:color w:val="0000FF"/>
              </w:rPr>
              <w:t>Reference Rang</w:t>
            </w:r>
            <w:r w:rsidR="00521BA6">
              <w:rPr>
                <w:rFonts w:cs="Arial"/>
                <w:b/>
                <w:bCs/>
                <w:color w:val="0000FF"/>
              </w:rPr>
              <w:t>e</w:t>
            </w:r>
          </w:p>
          <w:p w:rsidR="00B00268" w:rsidRDefault="00B00268">
            <w:pPr>
              <w:rPr>
                <w:rFonts w:cs="Arial"/>
                <w:b/>
                <w:bCs/>
                <w:color w:val="0000FF"/>
              </w:rPr>
            </w:pPr>
          </w:p>
        </w:tc>
        <w:tc>
          <w:tcPr>
            <w:tcW w:w="9360" w:type="dxa"/>
            <w:tcBorders>
              <w:top w:val="single" w:sz="18" w:space="0" w:color="A6A6A6"/>
              <w:bottom w:val="single" w:sz="18" w:space="0" w:color="A6A6A6"/>
            </w:tcBorders>
            <w:vAlign w:val="center"/>
          </w:tcPr>
          <w:p w:rsidR="00B00268" w:rsidRDefault="00B00268" w:rsidP="00C56BDD">
            <w:pPr>
              <w:pStyle w:val="Header"/>
              <w:tabs>
                <w:tab w:val="clear" w:pos="4320"/>
                <w:tab w:val="clear" w:pos="8640"/>
              </w:tabs>
              <w:jc w:val="both"/>
              <w:rPr>
                <w:rFonts w:cs="Arial"/>
                <w:u w:val="single"/>
              </w:rPr>
            </w:pPr>
            <w:r>
              <w:rPr>
                <w:rFonts w:cs="Arial"/>
              </w:rPr>
              <w:t>Serum/Plasma: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7"/>
              <w:gridCol w:w="2880"/>
            </w:tblGrid>
            <w:tr w:rsidR="00B00268">
              <w:tc>
                <w:tcPr>
                  <w:tcW w:w="2767" w:type="dxa"/>
                </w:tcPr>
                <w:p w:rsidR="00B00268" w:rsidRDefault="00B00268" w:rsidP="00C56BDD">
                  <w:pPr>
                    <w:jc w:val="both"/>
                    <w:rPr>
                      <w:rFonts w:cs="Arial"/>
                    </w:rPr>
                  </w:pPr>
                  <w:r>
                    <w:rPr>
                      <w:rFonts w:cs="Arial"/>
                    </w:rPr>
                    <w:t>Age</w:t>
                  </w:r>
                </w:p>
              </w:tc>
              <w:tc>
                <w:tcPr>
                  <w:tcW w:w="2880" w:type="dxa"/>
                </w:tcPr>
                <w:p w:rsidR="00B00268" w:rsidRDefault="00AC2EC1" w:rsidP="005C4C5B">
                  <w:pPr>
                    <w:jc w:val="both"/>
                    <w:rPr>
                      <w:rFonts w:cs="Arial"/>
                    </w:rPr>
                  </w:pPr>
                  <w:r>
                    <w:rPr>
                      <w:rFonts w:cs="Arial"/>
                    </w:rPr>
                    <w:t>Phos</w:t>
                  </w:r>
                  <w:r w:rsidR="00B00268">
                    <w:rPr>
                      <w:rFonts w:cs="Arial"/>
                    </w:rPr>
                    <w:t>phorus</w:t>
                  </w:r>
                </w:p>
              </w:tc>
            </w:tr>
            <w:tr w:rsidR="00B00268">
              <w:tc>
                <w:tcPr>
                  <w:tcW w:w="2767" w:type="dxa"/>
                </w:tcPr>
                <w:p w:rsidR="00B00268" w:rsidRDefault="005C4C5B" w:rsidP="00C56BDD">
                  <w:pPr>
                    <w:jc w:val="both"/>
                    <w:rPr>
                      <w:rFonts w:cs="Arial"/>
                    </w:rPr>
                  </w:pPr>
                  <w:r>
                    <w:rPr>
                      <w:rFonts w:cs="Arial"/>
                    </w:rPr>
                    <w:t>0 – 4</w:t>
                  </w:r>
                  <w:r w:rsidR="00B00268">
                    <w:rPr>
                      <w:rFonts w:cs="Arial"/>
                    </w:rPr>
                    <w:t xml:space="preserve"> days</w:t>
                  </w:r>
                </w:p>
              </w:tc>
              <w:tc>
                <w:tcPr>
                  <w:tcW w:w="2880" w:type="dxa"/>
                </w:tcPr>
                <w:p w:rsidR="00B00268" w:rsidRDefault="005C4C5B" w:rsidP="00C56BDD">
                  <w:pPr>
                    <w:jc w:val="both"/>
                    <w:rPr>
                      <w:rFonts w:cs="Arial"/>
                    </w:rPr>
                  </w:pPr>
                  <w:r>
                    <w:rPr>
                      <w:rFonts w:cs="Arial"/>
                    </w:rPr>
                    <w:t>4.6 – 8.0</w:t>
                  </w:r>
                  <w:r w:rsidR="00B00268">
                    <w:rPr>
                      <w:rFonts w:cs="Arial"/>
                    </w:rPr>
                    <w:t xml:space="preserve"> mg/</w:t>
                  </w:r>
                  <w:proofErr w:type="spellStart"/>
                  <w:r w:rsidR="00B00268">
                    <w:rPr>
                      <w:rFonts w:cs="Arial"/>
                    </w:rPr>
                    <w:t>dL</w:t>
                  </w:r>
                  <w:proofErr w:type="spellEnd"/>
                </w:p>
              </w:tc>
            </w:tr>
            <w:tr w:rsidR="00B00268">
              <w:tc>
                <w:tcPr>
                  <w:tcW w:w="2767" w:type="dxa"/>
                </w:tcPr>
                <w:p w:rsidR="00B00268" w:rsidRDefault="005C4C5B" w:rsidP="005C4C5B">
                  <w:pPr>
                    <w:jc w:val="both"/>
                    <w:rPr>
                      <w:rFonts w:cs="Arial"/>
                    </w:rPr>
                  </w:pPr>
                  <w:r>
                    <w:rPr>
                      <w:rFonts w:cs="Arial"/>
                    </w:rPr>
                    <w:t>5</w:t>
                  </w:r>
                  <w:r w:rsidR="00B00268">
                    <w:rPr>
                      <w:rFonts w:cs="Arial"/>
                    </w:rPr>
                    <w:t xml:space="preserve"> days – </w:t>
                  </w:r>
                  <w:r>
                    <w:rPr>
                      <w:rFonts w:cs="Arial"/>
                    </w:rPr>
                    <w:t>3</w:t>
                  </w:r>
                  <w:r w:rsidR="00B00268">
                    <w:rPr>
                      <w:rFonts w:cs="Arial"/>
                    </w:rPr>
                    <w:t xml:space="preserve"> year</w:t>
                  </w:r>
                  <w:r>
                    <w:rPr>
                      <w:rFonts w:cs="Arial"/>
                    </w:rPr>
                    <w:t>s</w:t>
                  </w:r>
                </w:p>
              </w:tc>
              <w:tc>
                <w:tcPr>
                  <w:tcW w:w="2880" w:type="dxa"/>
                </w:tcPr>
                <w:p w:rsidR="00B00268" w:rsidRDefault="005C4C5B" w:rsidP="005C4C5B">
                  <w:pPr>
                    <w:jc w:val="both"/>
                    <w:rPr>
                      <w:rFonts w:cs="Arial"/>
                    </w:rPr>
                  </w:pPr>
                  <w:r>
                    <w:rPr>
                      <w:rFonts w:cs="Arial"/>
                    </w:rPr>
                    <w:t>3.7 – 6.5</w:t>
                  </w:r>
                  <w:r w:rsidR="00B00268">
                    <w:rPr>
                      <w:rFonts w:cs="Arial"/>
                    </w:rPr>
                    <w:t xml:space="preserve"> mg/</w:t>
                  </w:r>
                  <w:proofErr w:type="spellStart"/>
                  <w:r w:rsidR="00B00268">
                    <w:rPr>
                      <w:rFonts w:cs="Arial"/>
                    </w:rPr>
                    <w:t>dL</w:t>
                  </w:r>
                  <w:proofErr w:type="spellEnd"/>
                </w:p>
              </w:tc>
            </w:tr>
            <w:tr w:rsidR="00B00268">
              <w:tc>
                <w:tcPr>
                  <w:tcW w:w="2767" w:type="dxa"/>
                </w:tcPr>
                <w:p w:rsidR="00B00268" w:rsidRDefault="005C4C5B" w:rsidP="00C56BDD">
                  <w:pPr>
                    <w:jc w:val="both"/>
                    <w:rPr>
                      <w:rFonts w:cs="Arial"/>
                    </w:rPr>
                  </w:pPr>
                  <w:r>
                    <w:rPr>
                      <w:rFonts w:cs="Arial"/>
                    </w:rPr>
                    <w:t xml:space="preserve">4 – 10 </w:t>
                  </w:r>
                  <w:r w:rsidR="00B00268">
                    <w:rPr>
                      <w:rFonts w:cs="Arial"/>
                    </w:rPr>
                    <w:t>years</w:t>
                  </w:r>
                </w:p>
              </w:tc>
              <w:tc>
                <w:tcPr>
                  <w:tcW w:w="2880" w:type="dxa"/>
                </w:tcPr>
                <w:p w:rsidR="00B00268" w:rsidRDefault="005C4C5B" w:rsidP="00C56BDD">
                  <w:pPr>
                    <w:jc w:val="both"/>
                    <w:rPr>
                      <w:rFonts w:cs="Arial"/>
                    </w:rPr>
                  </w:pPr>
                  <w:r>
                    <w:rPr>
                      <w:rFonts w:cs="Arial"/>
                    </w:rPr>
                    <w:t>3.6 – 5.6</w:t>
                  </w:r>
                  <w:r w:rsidR="00B00268">
                    <w:rPr>
                      <w:rFonts w:cs="Arial"/>
                    </w:rPr>
                    <w:t xml:space="preserve"> mg/</w:t>
                  </w:r>
                  <w:proofErr w:type="spellStart"/>
                  <w:r w:rsidR="00B00268">
                    <w:rPr>
                      <w:rFonts w:cs="Arial"/>
                    </w:rPr>
                    <w:t>dL</w:t>
                  </w:r>
                  <w:proofErr w:type="spellEnd"/>
                </w:p>
              </w:tc>
            </w:tr>
            <w:tr w:rsidR="005C4C5B">
              <w:tc>
                <w:tcPr>
                  <w:tcW w:w="2767" w:type="dxa"/>
                </w:tcPr>
                <w:p w:rsidR="005C4C5B" w:rsidRDefault="005C4C5B" w:rsidP="00C56BDD">
                  <w:pPr>
                    <w:jc w:val="both"/>
                    <w:rPr>
                      <w:rFonts w:cs="Arial"/>
                    </w:rPr>
                  </w:pPr>
                  <w:r>
                    <w:rPr>
                      <w:rFonts w:cs="Arial"/>
                    </w:rPr>
                    <w:t>11 – 15 years</w:t>
                  </w:r>
                </w:p>
              </w:tc>
              <w:tc>
                <w:tcPr>
                  <w:tcW w:w="2880" w:type="dxa"/>
                </w:tcPr>
                <w:p w:rsidR="005C4C5B" w:rsidRDefault="005C4C5B" w:rsidP="00C56BDD">
                  <w:pPr>
                    <w:jc w:val="both"/>
                    <w:rPr>
                      <w:rFonts w:cs="Arial"/>
                    </w:rPr>
                  </w:pPr>
                  <w:r>
                    <w:rPr>
                      <w:rFonts w:cs="Arial"/>
                    </w:rPr>
                    <w:t>2.9 – 5.4 mg/</w:t>
                  </w:r>
                  <w:proofErr w:type="spellStart"/>
                  <w:r>
                    <w:rPr>
                      <w:rFonts w:cs="Arial"/>
                    </w:rPr>
                    <w:t>dL</w:t>
                  </w:r>
                  <w:proofErr w:type="spellEnd"/>
                </w:p>
              </w:tc>
            </w:tr>
            <w:tr w:rsidR="00B00268">
              <w:tc>
                <w:tcPr>
                  <w:tcW w:w="2767" w:type="dxa"/>
                </w:tcPr>
                <w:p w:rsidR="00B00268" w:rsidRDefault="005C4C5B" w:rsidP="00C56BDD">
                  <w:pPr>
                    <w:jc w:val="both"/>
                    <w:rPr>
                      <w:rFonts w:cs="Arial"/>
                    </w:rPr>
                  </w:pPr>
                  <w:r>
                    <w:rPr>
                      <w:rFonts w:cs="Arial"/>
                    </w:rPr>
                    <w:t>&gt; 15</w:t>
                  </w:r>
                  <w:r w:rsidR="00B00268">
                    <w:rPr>
                      <w:rFonts w:cs="Arial"/>
                    </w:rPr>
                    <w:t xml:space="preserve"> years</w:t>
                  </w:r>
                </w:p>
              </w:tc>
              <w:tc>
                <w:tcPr>
                  <w:tcW w:w="2880" w:type="dxa"/>
                </w:tcPr>
                <w:p w:rsidR="00B00268" w:rsidRDefault="005C4C5B" w:rsidP="00C56BDD">
                  <w:pPr>
                    <w:jc w:val="both"/>
                    <w:rPr>
                      <w:rFonts w:cs="Arial"/>
                    </w:rPr>
                  </w:pPr>
                  <w:r>
                    <w:rPr>
                      <w:rFonts w:cs="Arial"/>
                    </w:rPr>
                    <w:t>2.5 – 4.5</w:t>
                  </w:r>
                  <w:r w:rsidR="00B00268">
                    <w:rPr>
                      <w:rFonts w:cs="Arial"/>
                    </w:rPr>
                    <w:t xml:space="preserve"> mg/</w:t>
                  </w:r>
                  <w:proofErr w:type="spellStart"/>
                  <w:r w:rsidR="00B00268">
                    <w:rPr>
                      <w:rFonts w:cs="Arial"/>
                    </w:rPr>
                    <w:t>dL</w:t>
                  </w:r>
                  <w:proofErr w:type="spellEnd"/>
                </w:p>
              </w:tc>
            </w:tr>
          </w:tbl>
          <w:p w:rsidR="00B00268" w:rsidRDefault="00B00268" w:rsidP="00C56BDD">
            <w:pPr>
              <w:jc w:val="both"/>
              <w:rPr>
                <w:rFonts w:cs="Arial"/>
                <w:u w:val="single"/>
              </w:rPr>
            </w:pPr>
          </w:p>
          <w:p w:rsidR="00521BA6" w:rsidRPr="00521BA6" w:rsidRDefault="00521BA6" w:rsidP="00C56BDD">
            <w:pPr>
              <w:jc w:val="both"/>
              <w:rPr>
                <w:rFonts w:cs="Arial"/>
              </w:rPr>
            </w:pPr>
            <w:r w:rsidRPr="00521BA6">
              <w:rPr>
                <w:rFonts w:cs="Arial"/>
              </w:rPr>
              <w:t xml:space="preserve">Reference ranges adapted from Clinical </w:t>
            </w:r>
            <w:proofErr w:type="spellStart"/>
            <w:r w:rsidRPr="00521BA6">
              <w:rPr>
                <w:rFonts w:cs="Arial"/>
              </w:rPr>
              <w:t>Biochem</w:t>
            </w:r>
            <w:proofErr w:type="spellEnd"/>
            <w:r w:rsidRPr="00521BA6">
              <w:rPr>
                <w:rFonts w:cs="Arial"/>
              </w:rPr>
              <w:t xml:space="preserve"> Reference Range Handbook</w:t>
            </w:r>
            <w:r w:rsidRPr="00521BA6">
              <w:rPr>
                <w:rFonts w:cs="Arial"/>
                <w:vertAlign w:val="superscript"/>
              </w:rPr>
              <w:t>10</w:t>
            </w:r>
            <w:r w:rsidRPr="00521BA6">
              <w:rPr>
                <w:rFonts w:cs="Arial"/>
              </w:rPr>
              <w:t>, and Children’s Hospital patients.</w:t>
            </w:r>
          </w:p>
          <w:p w:rsidR="00521BA6" w:rsidRDefault="00521BA6" w:rsidP="00C56BDD">
            <w:pPr>
              <w:jc w:val="both"/>
              <w:rPr>
                <w:rFonts w:cs="Arial"/>
                <w:u w:val="single"/>
              </w:rPr>
            </w:pPr>
          </w:p>
          <w:p w:rsidR="00B00268" w:rsidRDefault="00B00268" w:rsidP="00C56BDD">
            <w:pPr>
              <w:jc w:val="both"/>
              <w:rPr>
                <w:rFonts w:cs="Arial"/>
                <w:u w:val="single"/>
              </w:rPr>
            </w:pPr>
            <w:r>
              <w:rPr>
                <w:rFonts w:cs="Arial"/>
                <w:u w:val="single"/>
              </w:rPr>
              <w:t>Urine:</w:t>
            </w:r>
          </w:p>
          <w:p w:rsidR="00B00268" w:rsidRDefault="00B00268" w:rsidP="00C56BDD">
            <w:pPr>
              <w:pStyle w:val="BodyText2"/>
              <w:jc w:val="both"/>
              <w:rPr>
                <w:i w:val="0"/>
                <w:iCs/>
                <w:sz w:val="20"/>
              </w:rPr>
            </w:pPr>
            <w:r>
              <w:rPr>
                <w:i w:val="0"/>
                <w:iCs/>
                <w:sz w:val="20"/>
              </w:rPr>
              <w:t>500 - 1,500 mg/24 hr</w:t>
            </w:r>
          </w:p>
          <w:p w:rsidR="00B00268" w:rsidRDefault="00B00268" w:rsidP="00C56BDD">
            <w:pPr>
              <w:pStyle w:val="BodyText2"/>
              <w:jc w:val="both"/>
              <w:rPr>
                <w:sz w:val="20"/>
              </w:rPr>
            </w:pPr>
          </w:p>
          <w:p w:rsidR="00B00268" w:rsidRDefault="00B00268" w:rsidP="00C56BDD">
            <w:pPr>
              <w:jc w:val="both"/>
              <w:rPr>
                <w:rFonts w:cs="Arial"/>
              </w:rPr>
            </w:pPr>
            <w:r>
              <w:t>The reference values are for a 24-hour collection. Random specimens and timed specimens collected for other than a 24-hour time period are reported in units of mg/</w:t>
            </w:r>
            <w:proofErr w:type="spellStart"/>
            <w:r>
              <w:t>dL</w:t>
            </w:r>
            <w:proofErr w:type="spellEnd"/>
            <w:r>
              <w:t>, for which reference values are not established.</w:t>
            </w:r>
          </w:p>
        </w:tc>
      </w:tr>
      <w:tr w:rsidR="00B00268" w:rsidTr="00725C69">
        <w:trPr>
          <w:trHeight w:val="900"/>
          <w:tblHeader/>
        </w:trPr>
        <w:tc>
          <w:tcPr>
            <w:tcW w:w="1800" w:type="dxa"/>
            <w:vAlign w:val="center"/>
          </w:tcPr>
          <w:p w:rsidR="00B00268" w:rsidRDefault="00B00268">
            <w:pPr>
              <w:rPr>
                <w:rFonts w:cs="Arial"/>
                <w:b/>
                <w:bCs/>
                <w:color w:val="0000FF"/>
              </w:rPr>
            </w:pPr>
            <w:r>
              <w:rPr>
                <w:rFonts w:cs="Arial"/>
                <w:b/>
                <w:bCs/>
                <w:color w:val="0000FF"/>
              </w:rPr>
              <w:t>Critical Values</w:t>
            </w:r>
          </w:p>
        </w:tc>
        <w:tc>
          <w:tcPr>
            <w:tcW w:w="9360" w:type="dxa"/>
            <w:tcBorders>
              <w:top w:val="single" w:sz="18" w:space="0" w:color="A6A6A6"/>
              <w:bottom w:val="single" w:sz="18" w:space="0" w:color="A6A6A6"/>
            </w:tcBorders>
            <w:vAlign w:val="center"/>
          </w:tcPr>
          <w:p w:rsidR="00B00268" w:rsidRDefault="00B00268">
            <w:pPr>
              <w:rPr>
                <w:rFonts w:cs="Arial"/>
              </w:rPr>
            </w:pPr>
            <w:r>
              <w:rPr>
                <w:rFonts w:cs="Arial"/>
              </w:rPr>
              <w:t>Plasma/Serum: &lt; 2.0 or &gt; 10.0 mg/</w:t>
            </w:r>
            <w:proofErr w:type="spellStart"/>
            <w:r>
              <w:rPr>
                <w:rFonts w:cs="Arial"/>
              </w:rPr>
              <w:t>dL</w:t>
            </w:r>
            <w:proofErr w:type="spellEnd"/>
            <w:r>
              <w:rPr>
                <w:rFonts w:cs="Arial"/>
              </w:rPr>
              <w:t>. Critical values must be called according to the Critical Limit Test Value Policy.</w:t>
            </w:r>
          </w:p>
        </w:tc>
      </w:tr>
      <w:tr w:rsidR="00B00268" w:rsidTr="00C56BDD">
        <w:trPr>
          <w:tblHeader/>
        </w:trPr>
        <w:tc>
          <w:tcPr>
            <w:tcW w:w="1800" w:type="dxa"/>
          </w:tcPr>
          <w:p w:rsidR="00B00268" w:rsidRDefault="00B00268">
            <w:pPr>
              <w:rPr>
                <w:rFonts w:cs="Arial"/>
                <w:b/>
                <w:bCs/>
                <w:color w:val="0000FF"/>
              </w:rPr>
            </w:pPr>
          </w:p>
          <w:p w:rsidR="00B00268" w:rsidRDefault="00B00268">
            <w:pPr>
              <w:rPr>
                <w:rFonts w:cs="Arial"/>
                <w:b/>
                <w:bCs/>
                <w:color w:val="0000FF"/>
              </w:rPr>
            </w:pPr>
            <w:r>
              <w:rPr>
                <w:rFonts w:cs="Arial"/>
                <w:b/>
                <w:bCs/>
                <w:color w:val="0000FF"/>
              </w:rPr>
              <w:t>Limitations</w:t>
            </w:r>
          </w:p>
          <w:p w:rsidR="00B00268" w:rsidRDefault="00B00268">
            <w:pPr>
              <w:rPr>
                <w:rFonts w:cs="Arial"/>
                <w:b/>
                <w:bCs/>
                <w:color w:val="0000FF"/>
              </w:rPr>
            </w:pPr>
          </w:p>
        </w:tc>
        <w:tc>
          <w:tcPr>
            <w:tcW w:w="9360" w:type="dxa"/>
            <w:tcBorders>
              <w:top w:val="single" w:sz="18" w:space="0" w:color="A6A6A6"/>
              <w:bottom w:val="single" w:sz="18" w:space="0" w:color="A6A6A6"/>
            </w:tcBorders>
          </w:tcPr>
          <w:p w:rsidR="00B00268" w:rsidRDefault="00B00268">
            <w:pPr>
              <w:rPr>
                <w:rFonts w:cs="Arial"/>
                <w:szCs w:val="12"/>
              </w:rPr>
            </w:pPr>
          </w:p>
          <w:p w:rsidR="00B00268" w:rsidRDefault="00B00268">
            <w:pPr>
              <w:rPr>
                <w:rFonts w:cs="Arial"/>
                <w:szCs w:val="12"/>
              </w:rPr>
            </w:pPr>
            <w:r>
              <w:rPr>
                <w:rFonts w:cs="Arial"/>
              </w:rPr>
              <w:t>The instrument reporting system contains error messages to warn the operator of specific malfunctions. Any report slip containing such error messages should be held for follow-up. Refer to your Dimension Operator’s Guide for troubleshooting.</w:t>
            </w:r>
          </w:p>
          <w:p w:rsidR="00B00268" w:rsidRDefault="00B00268">
            <w:pPr>
              <w:rPr>
                <w:rFonts w:cs="Arial"/>
              </w:rPr>
            </w:pPr>
          </w:p>
        </w:tc>
      </w:tr>
      <w:tr w:rsidR="00907FEB" w:rsidTr="00C56BDD">
        <w:trPr>
          <w:trHeight w:val="6804"/>
          <w:tblHeader/>
        </w:trPr>
        <w:tc>
          <w:tcPr>
            <w:tcW w:w="1800" w:type="dxa"/>
          </w:tcPr>
          <w:p w:rsidR="00907FEB" w:rsidRDefault="00907FEB">
            <w:pPr>
              <w:rPr>
                <w:rFonts w:cs="Arial"/>
                <w:b/>
                <w:bCs/>
                <w:color w:val="0000FF"/>
              </w:rPr>
            </w:pPr>
          </w:p>
          <w:p w:rsidR="00907FEB" w:rsidRDefault="00907FEB">
            <w:pPr>
              <w:rPr>
                <w:rFonts w:cs="Arial"/>
                <w:b/>
                <w:bCs/>
                <w:color w:val="0000FF"/>
              </w:rPr>
            </w:pPr>
            <w:r>
              <w:rPr>
                <w:rFonts w:cs="Arial"/>
                <w:b/>
                <w:bCs/>
                <w:color w:val="0000FF"/>
              </w:rPr>
              <w:t>Dilutions</w:t>
            </w:r>
          </w:p>
          <w:p w:rsidR="00907FEB" w:rsidRDefault="00907FEB">
            <w:pPr>
              <w:rPr>
                <w:rFonts w:cs="Arial"/>
                <w:b/>
                <w:bCs/>
                <w:color w:val="0000FF"/>
              </w:rPr>
            </w:pPr>
          </w:p>
        </w:tc>
        <w:tc>
          <w:tcPr>
            <w:tcW w:w="9360" w:type="dxa"/>
            <w:tcBorders>
              <w:top w:val="single" w:sz="18" w:space="0" w:color="A6A6A6"/>
              <w:bottom w:val="single" w:sz="18" w:space="0" w:color="A6A6A6"/>
            </w:tcBorders>
          </w:tcPr>
          <w:tbl>
            <w:tblPr>
              <w:tblW w:w="11160" w:type="dxa"/>
              <w:tblLayout w:type="fixed"/>
              <w:tblLook w:val="0000"/>
            </w:tblPr>
            <w:tblGrid>
              <w:gridCol w:w="11160"/>
            </w:tblGrid>
            <w:tr w:rsidR="00907FEB" w:rsidRPr="0015185B" w:rsidTr="0058083A">
              <w:trPr>
                <w:trHeight w:val="6804"/>
                <w:tblHeader/>
              </w:trPr>
              <w:tc>
                <w:tcPr>
                  <w:tcW w:w="11160" w:type="dxa"/>
                  <w:vAlign w:val="center"/>
                </w:tcPr>
                <w:p w:rsidR="00907FEB" w:rsidRPr="0015185B" w:rsidRDefault="00907FEB" w:rsidP="00E5168A">
                  <w:pPr>
                    <w:pStyle w:val="BodyText"/>
                    <w:jc w:val="both"/>
                    <w:rPr>
                      <w:rFonts w:cs="Arial"/>
                      <w:b/>
                      <w:szCs w:val="20"/>
                    </w:rPr>
                  </w:pPr>
                  <w:r w:rsidRPr="003B37D4">
                    <w:rPr>
                      <w:rFonts w:cs="Arial"/>
                      <w:b/>
                      <w:color w:val="5F497A"/>
                      <w:szCs w:val="20"/>
                    </w:rPr>
                    <w:t>PRIMARY METHOD:</w:t>
                  </w:r>
                </w:p>
                <w:tbl>
                  <w:tblPr>
                    <w:tblW w:w="9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9"/>
                    <w:gridCol w:w="6480"/>
                  </w:tblGrid>
                  <w:tr w:rsidR="00907FEB" w:rsidRPr="0015185B" w:rsidTr="00BA10A1">
                    <w:tc>
                      <w:tcPr>
                        <w:tcW w:w="2569" w:type="dxa"/>
                        <w:vAlign w:val="center"/>
                      </w:tcPr>
                      <w:p w:rsidR="00907FEB" w:rsidRPr="0015185B" w:rsidRDefault="00907FEB" w:rsidP="00CE319B">
                        <w:pPr>
                          <w:pStyle w:val="BodyText"/>
                          <w:tabs>
                            <w:tab w:val="left" w:pos="9024"/>
                            <w:tab w:val="left" w:pos="9144"/>
                          </w:tabs>
                          <w:rPr>
                            <w:rFonts w:cs="Arial"/>
                            <w:szCs w:val="20"/>
                          </w:rPr>
                        </w:pPr>
                        <w:r w:rsidRPr="0015185B">
                          <w:rPr>
                            <w:rFonts w:cs="Arial"/>
                            <w:szCs w:val="20"/>
                          </w:rPr>
                          <w:t>Maximum Dilution:</w:t>
                        </w:r>
                      </w:p>
                    </w:tc>
                    <w:tc>
                      <w:tcPr>
                        <w:tcW w:w="6480" w:type="dxa"/>
                        <w:vAlign w:val="center"/>
                      </w:tcPr>
                      <w:p w:rsidR="00907FEB" w:rsidRPr="0015185B" w:rsidRDefault="00907FEB" w:rsidP="00CE319B">
                        <w:pPr>
                          <w:pStyle w:val="BodyText"/>
                          <w:tabs>
                            <w:tab w:val="left" w:pos="9024"/>
                            <w:tab w:val="left" w:pos="9144"/>
                          </w:tabs>
                          <w:rPr>
                            <w:rFonts w:cs="Arial"/>
                            <w:szCs w:val="20"/>
                          </w:rPr>
                        </w:pPr>
                        <w:r w:rsidRPr="0015185B">
                          <w:rPr>
                            <w:rFonts w:cs="Arial"/>
                            <w:szCs w:val="20"/>
                          </w:rPr>
                          <w:t>1:2</w:t>
                        </w:r>
                      </w:p>
                    </w:tc>
                  </w:tr>
                  <w:tr w:rsidR="00907FEB" w:rsidRPr="0015185B" w:rsidTr="00BA10A1">
                    <w:trPr>
                      <w:trHeight w:val="674"/>
                    </w:trPr>
                    <w:tc>
                      <w:tcPr>
                        <w:tcW w:w="2569" w:type="dxa"/>
                        <w:vAlign w:val="center"/>
                      </w:tcPr>
                      <w:p w:rsidR="00907FEB" w:rsidRPr="0015185B" w:rsidRDefault="00907FEB" w:rsidP="00CE319B">
                        <w:pPr>
                          <w:pStyle w:val="BodyText"/>
                          <w:tabs>
                            <w:tab w:val="left" w:pos="9024"/>
                            <w:tab w:val="left" w:pos="9144"/>
                          </w:tabs>
                          <w:rPr>
                            <w:rFonts w:cs="Arial"/>
                            <w:szCs w:val="20"/>
                          </w:rPr>
                        </w:pPr>
                        <w:r w:rsidRPr="0015185B">
                          <w:rPr>
                            <w:rFonts w:cs="Arial"/>
                            <w:szCs w:val="20"/>
                          </w:rPr>
                          <w:t>Surplus Rack:</w:t>
                        </w:r>
                      </w:p>
                    </w:tc>
                    <w:tc>
                      <w:tcPr>
                        <w:tcW w:w="6480" w:type="dxa"/>
                        <w:vAlign w:val="center"/>
                      </w:tcPr>
                      <w:p w:rsidR="00907FEB" w:rsidRPr="0015185B" w:rsidRDefault="00907FEB" w:rsidP="00CE319B">
                        <w:pPr>
                          <w:tabs>
                            <w:tab w:val="left" w:pos="9024"/>
                            <w:tab w:val="left" w:pos="9144"/>
                          </w:tabs>
                          <w:autoSpaceDE w:val="0"/>
                          <w:autoSpaceDN w:val="0"/>
                          <w:adjustRightInd w:val="0"/>
                          <w:rPr>
                            <w:rFonts w:cs="Arial"/>
                            <w:szCs w:val="20"/>
                          </w:rPr>
                        </w:pPr>
                        <w:r w:rsidRPr="0015185B">
                          <w:rPr>
                            <w:rFonts w:cs="Arial"/>
                            <w:szCs w:val="20"/>
                          </w:rPr>
                          <w:t>Samples with results &gt;</w:t>
                        </w:r>
                        <w:r w:rsidRPr="0015185B">
                          <w:rPr>
                            <w:rFonts w:cs="Arial"/>
                            <w:b/>
                            <w:bCs/>
                            <w:szCs w:val="20"/>
                          </w:rPr>
                          <w:t>9.0 mg/</w:t>
                        </w:r>
                        <w:proofErr w:type="spellStart"/>
                        <w:r w:rsidRPr="0015185B">
                          <w:rPr>
                            <w:rFonts w:cs="Arial"/>
                            <w:b/>
                            <w:bCs/>
                            <w:szCs w:val="20"/>
                          </w:rPr>
                          <w:t>dL</w:t>
                        </w:r>
                        <w:proofErr w:type="spellEnd"/>
                        <w:r w:rsidRPr="0015185B">
                          <w:rPr>
                            <w:rFonts w:cs="Arial"/>
                            <w:szCs w:val="20"/>
                          </w:rPr>
                          <w:t xml:space="preserve"> automatically reflex to a 1:2 dilution. </w:t>
                        </w:r>
                      </w:p>
                    </w:tc>
                  </w:tr>
                  <w:tr w:rsidR="00907FEB" w:rsidRPr="0015185B" w:rsidTr="00BA10A1">
                    <w:trPr>
                      <w:trHeight w:val="863"/>
                    </w:trPr>
                    <w:tc>
                      <w:tcPr>
                        <w:tcW w:w="2569" w:type="dxa"/>
                        <w:vAlign w:val="center"/>
                      </w:tcPr>
                      <w:p w:rsidR="00907FEB" w:rsidRPr="0015185B" w:rsidRDefault="00907FEB" w:rsidP="00CE319B">
                        <w:pPr>
                          <w:pStyle w:val="BodyText"/>
                          <w:tabs>
                            <w:tab w:val="left" w:pos="9024"/>
                            <w:tab w:val="left" w:pos="9144"/>
                          </w:tabs>
                          <w:rPr>
                            <w:rFonts w:cs="Arial"/>
                            <w:szCs w:val="20"/>
                          </w:rPr>
                        </w:pPr>
                        <w:r w:rsidRPr="0015185B">
                          <w:rPr>
                            <w:rFonts w:cs="Arial"/>
                            <w:szCs w:val="20"/>
                          </w:rPr>
                          <w:t>Limited Rack:</w:t>
                        </w:r>
                      </w:p>
                    </w:tc>
                    <w:tc>
                      <w:tcPr>
                        <w:tcW w:w="6480" w:type="dxa"/>
                        <w:vAlign w:val="center"/>
                      </w:tcPr>
                      <w:p w:rsidR="00907FEB" w:rsidRPr="0015185B" w:rsidRDefault="00907FEB" w:rsidP="00CE319B">
                        <w:pPr>
                          <w:tabs>
                            <w:tab w:val="left" w:pos="9024"/>
                            <w:tab w:val="left" w:pos="9144"/>
                          </w:tabs>
                          <w:autoSpaceDE w:val="0"/>
                          <w:autoSpaceDN w:val="0"/>
                          <w:adjustRightInd w:val="0"/>
                          <w:rPr>
                            <w:rFonts w:cs="Arial"/>
                            <w:szCs w:val="20"/>
                          </w:rPr>
                        </w:pPr>
                        <w:r w:rsidRPr="0015185B">
                          <w:rPr>
                            <w:rFonts w:cs="Arial"/>
                            <w:szCs w:val="20"/>
                          </w:rPr>
                          <w:t>Samples with results &gt;</w:t>
                        </w:r>
                        <w:r w:rsidRPr="0015185B">
                          <w:rPr>
                            <w:rFonts w:cs="Arial"/>
                            <w:b/>
                            <w:bCs/>
                            <w:szCs w:val="20"/>
                          </w:rPr>
                          <w:t>9.0 mg/</w:t>
                        </w:r>
                        <w:proofErr w:type="spellStart"/>
                        <w:r w:rsidRPr="0015185B">
                          <w:rPr>
                            <w:rFonts w:cs="Arial"/>
                            <w:b/>
                            <w:bCs/>
                            <w:szCs w:val="20"/>
                          </w:rPr>
                          <w:t>dL</w:t>
                        </w:r>
                        <w:proofErr w:type="spellEnd"/>
                        <w:r w:rsidRPr="0015185B">
                          <w:rPr>
                            <w:rFonts w:cs="Arial"/>
                            <w:szCs w:val="20"/>
                          </w:rPr>
                          <w:t xml:space="preserve"> should be repeated as an Add-On Test with a Special Dilution of 1:2. </w:t>
                        </w:r>
                      </w:p>
                    </w:tc>
                  </w:tr>
                </w:tbl>
                <w:p w:rsidR="00907FEB" w:rsidRPr="0015185B" w:rsidRDefault="00907FEB" w:rsidP="00CE319B">
                  <w:pPr>
                    <w:tabs>
                      <w:tab w:val="left" w:pos="9024"/>
                      <w:tab w:val="left" w:pos="9144"/>
                    </w:tabs>
                    <w:rPr>
                      <w:rFonts w:cs="Arial"/>
                      <w:b/>
                      <w:szCs w:val="20"/>
                    </w:rPr>
                  </w:pPr>
                </w:p>
                <w:p w:rsidR="00907FEB" w:rsidRPr="0015185B" w:rsidRDefault="00907FEB" w:rsidP="00CE319B">
                  <w:pPr>
                    <w:tabs>
                      <w:tab w:val="left" w:pos="9024"/>
                      <w:tab w:val="left" w:pos="9144"/>
                    </w:tabs>
                    <w:rPr>
                      <w:rFonts w:cs="Arial"/>
                      <w:b/>
                      <w:szCs w:val="20"/>
                    </w:rPr>
                  </w:pPr>
                  <w:r w:rsidRPr="0015185B">
                    <w:rPr>
                      <w:rFonts w:cs="Arial"/>
                      <w:b/>
                      <w:szCs w:val="20"/>
                    </w:rPr>
                    <w:t>Phosphorus Urine</w:t>
                  </w:r>
                </w:p>
                <w:tbl>
                  <w:tblPr>
                    <w:tblW w:w="9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9"/>
                    <w:gridCol w:w="6480"/>
                  </w:tblGrid>
                  <w:tr w:rsidR="00907FEB" w:rsidRPr="0015185B" w:rsidTr="00BA10A1">
                    <w:tc>
                      <w:tcPr>
                        <w:tcW w:w="2569" w:type="dxa"/>
                        <w:vAlign w:val="center"/>
                      </w:tcPr>
                      <w:p w:rsidR="00907FEB" w:rsidRPr="0015185B" w:rsidRDefault="00907FEB" w:rsidP="00BA10A1">
                        <w:pPr>
                          <w:pStyle w:val="BodyText"/>
                          <w:tabs>
                            <w:tab w:val="left" w:pos="9024"/>
                            <w:tab w:val="left" w:pos="9144"/>
                          </w:tabs>
                          <w:rPr>
                            <w:rFonts w:cs="Arial"/>
                            <w:szCs w:val="20"/>
                          </w:rPr>
                        </w:pPr>
                        <w:r w:rsidRPr="0015185B">
                          <w:rPr>
                            <w:rFonts w:cs="Arial"/>
                            <w:szCs w:val="20"/>
                          </w:rPr>
                          <w:t>Automated Urine Dilution:</w:t>
                        </w:r>
                      </w:p>
                    </w:tc>
                    <w:tc>
                      <w:tcPr>
                        <w:tcW w:w="6480" w:type="dxa"/>
                        <w:vAlign w:val="center"/>
                      </w:tcPr>
                      <w:p w:rsidR="00907FEB" w:rsidRPr="0015185B" w:rsidRDefault="00907FEB" w:rsidP="00BA10A1">
                        <w:pPr>
                          <w:pStyle w:val="BodyText"/>
                          <w:tabs>
                            <w:tab w:val="left" w:pos="9024"/>
                            <w:tab w:val="left" w:pos="9144"/>
                          </w:tabs>
                          <w:rPr>
                            <w:rFonts w:cs="Arial"/>
                            <w:szCs w:val="20"/>
                          </w:rPr>
                        </w:pPr>
                        <w:r w:rsidRPr="0015185B">
                          <w:rPr>
                            <w:rFonts w:cs="Arial"/>
                            <w:szCs w:val="20"/>
                          </w:rPr>
                          <w:t>1:10</w:t>
                        </w:r>
                      </w:p>
                    </w:tc>
                  </w:tr>
                  <w:tr w:rsidR="00907FEB" w:rsidRPr="0015185B" w:rsidTr="00BA10A1">
                    <w:trPr>
                      <w:trHeight w:val="584"/>
                    </w:trPr>
                    <w:tc>
                      <w:tcPr>
                        <w:tcW w:w="2569" w:type="dxa"/>
                        <w:tcBorders>
                          <w:bottom w:val="single" w:sz="4" w:space="0" w:color="000000"/>
                        </w:tcBorders>
                        <w:vAlign w:val="center"/>
                      </w:tcPr>
                      <w:p w:rsidR="00907FEB" w:rsidRPr="0015185B" w:rsidRDefault="00907FEB" w:rsidP="00BA10A1">
                        <w:pPr>
                          <w:pStyle w:val="BodyText"/>
                          <w:tabs>
                            <w:tab w:val="left" w:pos="9024"/>
                            <w:tab w:val="left" w:pos="9144"/>
                          </w:tabs>
                          <w:rPr>
                            <w:rFonts w:cs="Arial"/>
                            <w:szCs w:val="20"/>
                          </w:rPr>
                        </w:pPr>
                        <w:r w:rsidRPr="0015185B">
                          <w:rPr>
                            <w:rFonts w:cs="Arial"/>
                            <w:szCs w:val="20"/>
                          </w:rPr>
                          <w:t>Manual Dilution</w:t>
                        </w:r>
                      </w:p>
                    </w:tc>
                    <w:tc>
                      <w:tcPr>
                        <w:tcW w:w="6480" w:type="dxa"/>
                        <w:tcBorders>
                          <w:bottom w:val="single" w:sz="4" w:space="0" w:color="000000"/>
                        </w:tcBorders>
                        <w:vAlign w:val="center"/>
                      </w:tcPr>
                      <w:p w:rsidR="00907FEB" w:rsidRPr="0015185B" w:rsidRDefault="00907FEB" w:rsidP="00BA10A1">
                        <w:pPr>
                          <w:tabs>
                            <w:tab w:val="left" w:pos="9024"/>
                            <w:tab w:val="left" w:pos="9144"/>
                          </w:tabs>
                          <w:autoSpaceDE w:val="0"/>
                          <w:autoSpaceDN w:val="0"/>
                          <w:adjustRightInd w:val="0"/>
                          <w:rPr>
                            <w:rFonts w:cs="Arial"/>
                            <w:szCs w:val="20"/>
                          </w:rPr>
                        </w:pPr>
                        <w:r w:rsidRPr="0015185B">
                          <w:rPr>
                            <w:rFonts w:cs="Arial"/>
                            <w:szCs w:val="20"/>
                          </w:rPr>
                          <w:t>Do not manually prepare urine dilution</w:t>
                        </w:r>
                        <w:r>
                          <w:rPr>
                            <w:rFonts w:cs="Arial"/>
                            <w:szCs w:val="20"/>
                          </w:rPr>
                          <w:t>s</w:t>
                        </w:r>
                        <w:r w:rsidRPr="0015185B">
                          <w:rPr>
                            <w:rFonts w:cs="Arial"/>
                            <w:szCs w:val="20"/>
                          </w:rPr>
                          <w:t>.</w:t>
                        </w:r>
                      </w:p>
                    </w:tc>
                  </w:tr>
                </w:tbl>
                <w:p w:rsidR="00907FEB" w:rsidRPr="0015185B" w:rsidRDefault="00907FEB" w:rsidP="00DC52B1">
                  <w:pPr>
                    <w:pStyle w:val="CalVerTable"/>
                    <w:ind w:left="0" w:firstLine="0"/>
                    <w:rPr>
                      <w:rFonts w:ascii="Arial" w:hAnsi="Arial" w:cs="Arial"/>
                    </w:rPr>
                  </w:pPr>
                </w:p>
                <w:p w:rsidR="00907FEB" w:rsidRPr="0056573C" w:rsidRDefault="00907FEB" w:rsidP="002211A7">
                  <w:pPr>
                    <w:pStyle w:val="Pa5"/>
                    <w:spacing w:after="20"/>
                    <w:jc w:val="both"/>
                    <w:rPr>
                      <w:rStyle w:val="A1"/>
                      <w:rFonts w:ascii="Arial" w:hAnsi="Arial" w:cs="Arial"/>
                      <w:color w:val="auto"/>
                      <w:sz w:val="20"/>
                      <w:szCs w:val="20"/>
                      <w:u w:val="none"/>
                    </w:rPr>
                  </w:pPr>
                  <w:r w:rsidRPr="003B37D4">
                    <w:rPr>
                      <w:rFonts w:ascii="Arial" w:hAnsi="Arial" w:cs="Arial"/>
                      <w:b/>
                      <w:bCs/>
                      <w:color w:val="76933C"/>
                      <w:sz w:val="20"/>
                      <w:szCs w:val="20"/>
                    </w:rPr>
                    <w:t>SECONDARY METHOD</w:t>
                  </w:r>
                  <w:r w:rsidRPr="003B37D4">
                    <w:rPr>
                      <w:rFonts w:ascii="Arial" w:hAnsi="Arial" w:cs="Arial"/>
                      <w:color w:val="76933C"/>
                      <w:sz w:val="20"/>
                      <w:szCs w:val="20"/>
                    </w:rPr>
                    <w:t>:</w:t>
                  </w:r>
                  <w:r w:rsidRPr="003B37D4">
                    <w:rPr>
                      <w:rStyle w:val="A1"/>
                      <w:rFonts w:ascii="Arial" w:hAnsi="Arial" w:cs="Arial"/>
                      <w:sz w:val="20"/>
                      <w:szCs w:val="20"/>
                      <w:u w:val="none"/>
                    </w:rPr>
                    <w:t xml:space="preserve"> </w:t>
                  </w:r>
                  <w:r>
                    <w:rPr>
                      <w:rStyle w:val="A1"/>
                      <w:rFonts w:ascii="Arial" w:hAnsi="Arial" w:cs="Arial"/>
                      <w:color w:val="auto"/>
                      <w:sz w:val="20"/>
                      <w:szCs w:val="20"/>
                      <w:u w:val="none"/>
                    </w:rPr>
                    <w:t>serum / plasma</w:t>
                  </w:r>
                </w:p>
                <w:tbl>
                  <w:tblPr>
                    <w:tblW w:w="9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9"/>
                    <w:gridCol w:w="6480"/>
                  </w:tblGrid>
                  <w:tr w:rsidR="00907FEB" w:rsidRPr="0015185B" w:rsidTr="002211A7">
                    <w:tc>
                      <w:tcPr>
                        <w:tcW w:w="2569" w:type="dxa"/>
                        <w:vAlign w:val="center"/>
                      </w:tcPr>
                      <w:p w:rsidR="00907FEB" w:rsidRPr="0015185B" w:rsidRDefault="00907FEB" w:rsidP="00E22299">
                        <w:pPr>
                          <w:pStyle w:val="BodyText"/>
                          <w:tabs>
                            <w:tab w:val="left" w:pos="9024"/>
                            <w:tab w:val="left" w:pos="9144"/>
                          </w:tabs>
                          <w:rPr>
                            <w:rFonts w:cs="Arial"/>
                            <w:szCs w:val="20"/>
                          </w:rPr>
                        </w:pPr>
                        <w:r w:rsidRPr="0015185B">
                          <w:rPr>
                            <w:rFonts w:cs="Arial"/>
                            <w:szCs w:val="20"/>
                          </w:rPr>
                          <w:t>Maximum Dilution:</w:t>
                        </w:r>
                      </w:p>
                    </w:tc>
                    <w:tc>
                      <w:tcPr>
                        <w:tcW w:w="6480" w:type="dxa"/>
                        <w:vAlign w:val="center"/>
                      </w:tcPr>
                      <w:p w:rsidR="00907FEB" w:rsidRPr="0015185B" w:rsidRDefault="00907FEB" w:rsidP="00E22299">
                        <w:pPr>
                          <w:pStyle w:val="BodyText"/>
                          <w:tabs>
                            <w:tab w:val="left" w:pos="9024"/>
                            <w:tab w:val="left" w:pos="9144"/>
                          </w:tabs>
                          <w:rPr>
                            <w:rFonts w:cs="Arial"/>
                            <w:szCs w:val="20"/>
                          </w:rPr>
                        </w:pPr>
                        <w:r w:rsidRPr="0015185B">
                          <w:rPr>
                            <w:rFonts w:cs="Arial"/>
                            <w:szCs w:val="20"/>
                          </w:rPr>
                          <w:t>1:2</w:t>
                        </w:r>
                      </w:p>
                    </w:tc>
                  </w:tr>
                  <w:tr w:rsidR="00907FEB" w:rsidRPr="0015185B" w:rsidTr="00E5168A">
                    <w:trPr>
                      <w:trHeight w:val="908"/>
                    </w:trPr>
                    <w:tc>
                      <w:tcPr>
                        <w:tcW w:w="2569" w:type="dxa"/>
                        <w:vAlign w:val="center"/>
                      </w:tcPr>
                      <w:p w:rsidR="00907FEB" w:rsidRPr="0015185B" w:rsidRDefault="00907FEB" w:rsidP="002211A7">
                        <w:pPr>
                          <w:pStyle w:val="BodyText"/>
                          <w:tabs>
                            <w:tab w:val="left" w:pos="9024"/>
                            <w:tab w:val="left" w:pos="9144"/>
                          </w:tabs>
                          <w:rPr>
                            <w:rFonts w:cs="Arial"/>
                            <w:szCs w:val="20"/>
                          </w:rPr>
                        </w:pPr>
                        <w:r w:rsidRPr="0015185B">
                          <w:rPr>
                            <w:rFonts w:cs="Arial"/>
                            <w:szCs w:val="20"/>
                          </w:rPr>
                          <w:t>Automated Dilution:</w:t>
                        </w:r>
                      </w:p>
                    </w:tc>
                    <w:tc>
                      <w:tcPr>
                        <w:tcW w:w="6480" w:type="dxa"/>
                        <w:vAlign w:val="center"/>
                      </w:tcPr>
                      <w:p w:rsidR="00907FEB" w:rsidRPr="0015185B" w:rsidRDefault="00907FEB" w:rsidP="00E5168A">
                        <w:pPr>
                          <w:pStyle w:val="BodyText"/>
                          <w:tabs>
                            <w:tab w:val="left" w:pos="9024"/>
                            <w:tab w:val="left" w:pos="9144"/>
                          </w:tabs>
                          <w:spacing w:after="0"/>
                          <w:rPr>
                            <w:rFonts w:cs="Arial"/>
                            <w:szCs w:val="20"/>
                          </w:rPr>
                        </w:pPr>
                        <w:r w:rsidRPr="0015185B">
                          <w:rPr>
                            <w:rFonts w:cs="Arial"/>
                            <w:szCs w:val="20"/>
                          </w:rPr>
                          <w:t>Samples with results &gt;</w:t>
                        </w:r>
                        <w:r w:rsidRPr="0015185B">
                          <w:rPr>
                            <w:rFonts w:cs="Arial"/>
                            <w:b/>
                            <w:bCs/>
                            <w:szCs w:val="20"/>
                          </w:rPr>
                          <w:t>9.0 mg/</w:t>
                        </w:r>
                        <w:proofErr w:type="spellStart"/>
                        <w:r w:rsidRPr="0015185B">
                          <w:rPr>
                            <w:rFonts w:cs="Arial"/>
                            <w:b/>
                            <w:bCs/>
                            <w:szCs w:val="20"/>
                          </w:rPr>
                          <w:t>dL</w:t>
                        </w:r>
                        <w:proofErr w:type="spellEnd"/>
                        <w:r w:rsidRPr="0015185B">
                          <w:rPr>
                            <w:rFonts w:cs="Arial"/>
                            <w:szCs w:val="20"/>
                          </w:rPr>
                          <w:t xml:space="preserve"> automatically reflex to a 1:</w:t>
                        </w:r>
                        <w:r w:rsidRPr="0015185B">
                          <w:rPr>
                            <w:rFonts w:cs="Arial"/>
                            <w:color w:val="000000"/>
                            <w:szCs w:val="20"/>
                          </w:rPr>
                          <w:t xml:space="preserve"> 1.5 </w:t>
                        </w:r>
                        <w:r w:rsidRPr="0015185B">
                          <w:rPr>
                            <w:rFonts w:cs="Arial"/>
                            <w:szCs w:val="20"/>
                          </w:rPr>
                          <w:t>dilution</w:t>
                        </w:r>
                        <w:r>
                          <w:rPr>
                            <w:rFonts w:cs="Arial"/>
                            <w:szCs w:val="20"/>
                          </w:rPr>
                          <w:t xml:space="preserve"> which extends</w:t>
                        </w:r>
                        <w:r w:rsidRPr="0015185B">
                          <w:rPr>
                            <w:rFonts w:cs="Arial"/>
                            <w:color w:val="000000"/>
                            <w:szCs w:val="20"/>
                          </w:rPr>
                          <w:t xml:space="preserve"> the serum</w:t>
                        </w:r>
                        <w:r>
                          <w:rPr>
                            <w:rFonts w:cs="Arial"/>
                            <w:color w:val="000000"/>
                            <w:szCs w:val="20"/>
                          </w:rPr>
                          <w:t>/</w:t>
                        </w:r>
                        <w:r w:rsidRPr="0015185B">
                          <w:rPr>
                            <w:rFonts w:cs="Arial"/>
                            <w:color w:val="000000"/>
                            <w:szCs w:val="20"/>
                          </w:rPr>
                          <w:t>plasma reportable range to 13.5 mg/</w:t>
                        </w:r>
                        <w:proofErr w:type="spellStart"/>
                        <w:r w:rsidRPr="0015185B">
                          <w:rPr>
                            <w:rFonts w:cs="Arial"/>
                            <w:color w:val="000000"/>
                            <w:szCs w:val="20"/>
                          </w:rPr>
                          <w:t>dL</w:t>
                        </w:r>
                        <w:proofErr w:type="spellEnd"/>
                      </w:p>
                    </w:tc>
                  </w:tr>
                  <w:tr w:rsidR="00907FEB" w:rsidRPr="0015185B" w:rsidTr="00E5168A">
                    <w:trPr>
                      <w:trHeight w:val="809"/>
                    </w:trPr>
                    <w:tc>
                      <w:tcPr>
                        <w:tcW w:w="2569" w:type="dxa"/>
                        <w:tcBorders>
                          <w:bottom w:val="single" w:sz="4" w:space="0" w:color="000000"/>
                        </w:tcBorders>
                        <w:vAlign w:val="center"/>
                      </w:tcPr>
                      <w:p w:rsidR="00907FEB" w:rsidRPr="0015185B" w:rsidRDefault="00907FEB" w:rsidP="002211A7">
                        <w:pPr>
                          <w:pStyle w:val="BodyText"/>
                          <w:tabs>
                            <w:tab w:val="left" w:pos="9024"/>
                            <w:tab w:val="left" w:pos="9144"/>
                          </w:tabs>
                          <w:rPr>
                            <w:rFonts w:cs="Arial"/>
                            <w:szCs w:val="20"/>
                          </w:rPr>
                        </w:pPr>
                        <w:r w:rsidRPr="0015185B">
                          <w:rPr>
                            <w:rFonts w:cs="Arial"/>
                            <w:szCs w:val="20"/>
                          </w:rPr>
                          <w:t>Manual Dilution</w:t>
                        </w:r>
                      </w:p>
                    </w:tc>
                    <w:tc>
                      <w:tcPr>
                        <w:tcW w:w="6480" w:type="dxa"/>
                        <w:tcBorders>
                          <w:bottom w:val="single" w:sz="4" w:space="0" w:color="000000"/>
                        </w:tcBorders>
                        <w:vAlign w:val="center"/>
                      </w:tcPr>
                      <w:p w:rsidR="00907FEB" w:rsidRDefault="00907FEB" w:rsidP="00E5168A">
                        <w:pPr>
                          <w:tabs>
                            <w:tab w:val="left" w:pos="9024"/>
                            <w:tab w:val="left" w:pos="9144"/>
                          </w:tabs>
                          <w:autoSpaceDE w:val="0"/>
                          <w:autoSpaceDN w:val="0"/>
                          <w:adjustRightInd w:val="0"/>
                          <w:rPr>
                            <w:rFonts w:cs="Arial"/>
                            <w:color w:val="000000"/>
                            <w:szCs w:val="20"/>
                          </w:rPr>
                        </w:pPr>
                        <w:r>
                          <w:rPr>
                            <w:rFonts w:cs="Arial"/>
                            <w:color w:val="000000"/>
                            <w:szCs w:val="20"/>
                          </w:rPr>
                          <w:t>Manually prepare a 1:2 dilution</w:t>
                        </w:r>
                        <w:r w:rsidRPr="0015185B">
                          <w:rPr>
                            <w:rFonts w:cs="Arial"/>
                            <w:color w:val="000000"/>
                            <w:szCs w:val="20"/>
                          </w:rPr>
                          <w:t xml:space="preserve"> with Reagent grade water </w:t>
                        </w:r>
                      </w:p>
                      <w:p w:rsidR="00907FEB" w:rsidRPr="0015185B" w:rsidRDefault="00907FEB" w:rsidP="00E5168A">
                        <w:pPr>
                          <w:tabs>
                            <w:tab w:val="left" w:pos="9024"/>
                            <w:tab w:val="left" w:pos="9144"/>
                          </w:tabs>
                          <w:autoSpaceDE w:val="0"/>
                          <w:autoSpaceDN w:val="0"/>
                          <w:adjustRightInd w:val="0"/>
                          <w:rPr>
                            <w:rFonts w:cs="Arial"/>
                            <w:szCs w:val="20"/>
                          </w:rPr>
                        </w:pPr>
                        <w:r>
                          <w:rPr>
                            <w:rFonts w:cs="Arial"/>
                            <w:color w:val="000000"/>
                            <w:szCs w:val="20"/>
                          </w:rPr>
                          <w:t xml:space="preserve">Enter dilution factor in </w:t>
                        </w:r>
                        <w:proofErr w:type="spellStart"/>
                        <w:r>
                          <w:rPr>
                            <w:rFonts w:cs="Arial"/>
                            <w:color w:val="000000"/>
                            <w:szCs w:val="20"/>
                          </w:rPr>
                          <w:t>RxL</w:t>
                        </w:r>
                        <w:proofErr w:type="spellEnd"/>
                        <w:r>
                          <w:rPr>
                            <w:rFonts w:cs="Arial"/>
                            <w:color w:val="000000"/>
                            <w:szCs w:val="20"/>
                          </w:rPr>
                          <w:t xml:space="preserve"> MAX and </w:t>
                        </w:r>
                        <w:proofErr w:type="spellStart"/>
                        <w:r>
                          <w:rPr>
                            <w:rFonts w:cs="Arial"/>
                            <w:color w:val="000000"/>
                            <w:szCs w:val="20"/>
                          </w:rPr>
                          <w:t>r</w:t>
                        </w:r>
                        <w:r w:rsidRPr="0015185B">
                          <w:rPr>
                            <w:rFonts w:cs="Arial"/>
                            <w:color w:val="000000"/>
                            <w:szCs w:val="20"/>
                          </w:rPr>
                          <w:t>eassay</w:t>
                        </w:r>
                        <w:proofErr w:type="spellEnd"/>
                      </w:p>
                    </w:tc>
                  </w:tr>
                </w:tbl>
                <w:p w:rsidR="00907FEB" w:rsidRPr="0015185B" w:rsidRDefault="00907FEB" w:rsidP="002211A7">
                  <w:pPr>
                    <w:pStyle w:val="CalVerTable"/>
                    <w:ind w:left="0" w:firstLine="0"/>
                    <w:rPr>
                      <w:rFonts w:ascii="Arial" w:hAnsi="Arial" w:cs="Arial"/>
                    </w:rPr>
                  </w:pPr>
                </w:p>
              </w:tc>
            </w:tr>
          </w:tbl>
          <w:p w:rsidR="00907FEB" w:rsidRPr="003D2C62" w:rsidRDefault="00907FEB" w:rsidP="00907FEB">
            <w:pPr>
              <w:jc w:val="both"/>
            </w:pPr>
          </w:p>
        </w:tc>
      </w:tr>
      <w:tr w:rsidR="00907FEB" w:rsidTr="00D4786B">
        <w:trPr>
          <w:trHeight w:val="4518"/>
          <w:tblHeader/>
        </w:trPr>
        <w:tc>
          <w:tcPr>
            <w:tcW w:w="1800" w:type="dxa"/>
          </w:tcPr>
          <w:p w:rsidR="00907FEB" w:rsidRDefault="00907FEB" w:rsidP="00907FEB">
            <w:pPr>
              <w:rPr>
                <w:rFonts w:cs="Arial"/>
                <w:b/>
                <w:bCs/>
                <w:color w:val="0000FF"/>
              </w:rPr>
            </w:pPr>
            <w:r>
              <w:rPr>
                <w:rFonts w:cs="Arial"/>
                <w:b/>
                <w:bCs/>
                <w:color w:val="0000FF"/>
              </w:rPr>
              <w:lastRenderedPageBreak/>
              <w:t>Result Reporting</w:t>
            </w:r>
          </w:p>
          <w:p w:rsidR="00907FEB" w:rsidRDefault="00907FEB" w:rsidP="003D2C62">
            <w:pPr>
              <w:rPr>
                <w:rFonts w:cs="Arial"/>
                <w:b/>
                <w:bCs/>
                <w:color w:val="0000FF"/>
              </w:rPr>
            </w:pPr>
          </w:p>
        </w:tc>
        <w:tc>
          <w:tcPr>
            <w:tcW w:w="9360" w:type="dxa"/>
            <w:tcBorders>
              <w:top w:val="single" w:sz="18" w:space="0" w:color="A6A6A6"/>
              <w:bottom w:val="single" w:sz="18" w:space="0" w:color="A6A6A6"/>
            </w:tcBorders>
            <w:vAlign w:val="center"/>
          </w:tcPr>
          <w:p w:rsidR="00907FEB" w:rsidRPr="0056573C" w:rsidRDefault="00907FEB" w:rsidP="0058083A">
            <w:pPr>
              <w:pStyle w:val="BodyText"/>
              <w:jc w:val="both"/>
              <w:rPr>
                <w:rFonts w:cs="Arial"/>
                <w:b/>
                <w:szCs w:val="20"/>
              </w:rPr>
            </w:pPr>
            <w:r w:rsidRPr="003B37D4">
              <w:rPr>
                <w:rFonts w:cs="Arial"/>
                <w:b/>
                <w:color w:val="5F497A"/>
                <w:szCs w:val="20"/>
              </w:rPr>
              <w:t>PRIMARY METHOD:</w:t>
            </w:r>
          </w:p>
          <w:p w:rsidR="00907FEB" w:rsidRDefault="00907FEB" w:rsidP="0058083A">
            <w:pPr>
              <w:pStyle w:val="Header"/>
              <w:numPr>
                <w:ilvl w:val="0"/>
                <w:numId w:val="40"/>
              </w:numPr>
              <w:tabs>
                <w:tab w:val="clear" w:pos="4320"/>
                <w:tab w:val="clear" w:pos="8640"/>
              </w:tabs>
              <w:jc w:val="both"/>
              <w:rPr>
                <w:rFonts w:cs="Arial"/>
              </w:rPr>
            </w:pPr>
            <w:r>
              <w:rPr>
                <w:rFonts w:cs="Arial"/>
              </w:rPr>
              <w:t>Serum/Plasma results between 0.</w:t>
            </w:r>
            <w:r w:rsidR="00AE795E">
              <w:rPr>
                <w:rFonts w:cs="Arial"/>
              </w:rPr>
              <w:t>1</w:t>
            </w:r>
            <w:r>
              <w:rPr>
                <w:rFonts w:cs="Arial"/>
              </w:rPr>
              <w:t xml:space="preserve"> – 9.0 mg/</w:t>
            </w:r>
            <w:proofErr w:type="spellStart"/>
            <w:r>
              <w:rPr>
                <w:rFonts w:cs="Arial"/>
              </w:rPr>
              <w:t>dL</w:t>
            </w:r>
            <w:proofErr w:type="spellEnd"/>
            <w:r>
              <w:rPr>
                <w:rFonts w:cs="Arial"/>
              </w:rPr>
              <w:t xml:space="preserve"> without error messages are released</w:t>
            </w:r>
          </w:p>
          <w:p w:rsidR="00907FEB" w:rsidRDefault="00907FEB" w:rsidP="0058083A">
            <w:pPr>
              <w:numPr>
                <w:ilvl w:val="0"/>
                <w:numId w:val="40"/>
              </w:numPr>
              <w:jc w:val="both"/>
              <w:rPr>
                <w:rFonts w:cs="Arial"/>
              </w:rPr>
            </w:pPr>
            <w:r>
              <w:rPr>
                <w:rFonts w:cs="Arial"/>
              </w:rPr>
              <w:t xml:space="preserve">Serum/Plasma results below </w:t>
            </w:r>
            <w:r>
              <w:rPr>
                <w:rFonts w:cs="Arial"/>
                <w:szCs w:val="12"/>
              </w:rPr>
              <w:t>0.</w:t>
            </w:r>
            <w:r w:rsidR="00AE795E">
              <w:rPr>
                <w:rFonts w:cs="Arial"/>
                <w:szCs w:val="12"/>
              </w:rPr>
              <w:t>1</w:t>
            </w:r>
            <w:r>
              <w:rPr>
                <w:rFonts w:cs="Arial"/>
                <w:szCs w:val="12"/>
              </w:rPr>
              <w:t xml:space="preserve"> mg/</w:t>
            </w:r>
            <w:proofErr w:type="spellStart"/>
            <w:r>
              <w:rPr>
                <w:rFonts w:cs="Arial"/>
                <w:szCs w:val="12"/>
              </w:rPr>
              <w:t>dL</w:t>
            </w:r>
            <w:proofErr w:type="spellEnd"/>
            <w:r>
              <w:rPr>
                <w:rFonts w:cs="Arial"/>
              </w:rPr>
              <w:t xml:space="preserve">: report as &lt; </w:t>
            </w:r>
            <w:r>
              <w:rPr>
                <w:rFonts w:cs="Arial"/>
                <w:szCs w:val="12"/>
              </w:rPr>
              <w:t>0.</w:t>
            </w:r>
            <w:r w:rsidR="00AE795E">
              <w:rPr>
                <w:rFonts w:cs="Arial"/>
                <w:szCs w:val="12"/>
              </w:rPr>
              <w:t>1</w:t>
            </w:r>
            <w:r>
              <w:rPr>
                <w:rFonts w:cs="Arial"/>
                <w:szCs w:val="12"/>
              </w:rPr>
              <w:t xml:space="preserve"> mg/</w:t>
            </w:r>
            <w:proofErr w:type="spellStart"/>
            <w:r>
              <w:rPr>
                <w:rFonts w:cs="Arial"/>
                <w:szCs w:val="12"/>
              </w:rPr>
              <w:t>dL</w:t>
            </w:r>
            <w:proofErr w:type="spellEnd"/>
            <w:r>
              <w:rPr>
                <w:rFonts w:cs="Arial"/>
                <w:szCs w:val="12"/>
              </w:rPr>
              <w:t>.</w:t>
            </w:r>
          </w:p>
          <w:p w:rsidR="00907FEB" w:rsidRDefault="00907FEB" w:rsidP="0058083A">
            <w:pPr>
              <w:numPr>
                <w:ilvl w:val="0"/>
                <w:numId w:val="40"/>
              </w:numPr>
              <w:jc w:val="both"/>
            </w:pPr>
            <w:r>
              <w:rPr>
                <w:rFonts w:cs="Arial"/>
              </w:rPr>
              <w:t>Serum/Plasma r</w:t>
            </w:r>
            <w:r>
              <w:t xml:space="preserve">esults greater than </w:t>
            </w:r>
            <w:r>
              <w:rPr>
                <w:rFonts w:cs="Arial"/>
              </w:rPr>
              <w:t>9.0 mg/</w:t>
            </w:r>
            <w:proofErr w:type="spellStart"/>
            <w:r>
              <w:rPr>
                <w:rFonts w:cs="Arial"/>
              </w:rPr>
              <w:t>dL</w:t>
            </w:r>
            <w:proofErr w:type="spellEnd"/>
            <w:r>
              <w:rPr>
                <w:rFonts w:cs="Arial"/>
              </w:rPr>
              <w:t xml:space="preserve"> without error messages </w:t>
            </w:r>
            <w:r>
              <w:t>are reported following a maximum dilution of 1:2</w:t>
            </w:r>
          </w:p>
          <w:p w:rsidR="00907FEB" w:rsidRDefault="00907FEB" w:rsidP="0058083A">
            <w:pPr>
              <w:numPr>
                <w:ilvl w:val="0"/>
                <w:numId w:val="5"/>
              </w:numPr>
              <w:jc w:val="both"/>
            </w:pPr>
            <w:r>
              <w:rPr>
                <w:rFonts w:cs="Arial"/>
              </w:rPr>
              <w:t>Serum/Plasma results with “above assay range” appended following a maximum dilution of 1:2 are reported as &gt;18.0 mg/</w:t>
            </w:r>
            <w:proofErr w:type="spellStart"/>
            <w:r>
              <w:rPr>
                <w:rFonts w:cs="Arial"/>
              </w:rPr>
              <w:t>dL</w:t>
            </w:r>
            <w:proofErr w:type="spellEnd"/>
            <w:r>
              <w:t xml:space="preserve"> </w:t>
            </w:r>
          </w:p>
          <w:p w:rsidR="00D4786B" w:rsidRDefault="00D4786B" w:rsidP="00D4786B">
            <w:pPr>
              <w:numPr>
                <w:ilvl w:val="0"/>
                <w:numId w:val="41"/>
              </w:numPr>
              <w:jc w:val="both"/>
            </w:pPr>
            <w:r>
              <w:t xml:space="preserve">Append the appropriate comment “HP” or “LIN” to samples with HIL flags. Refer to </w:t>
            </w:r>
            <w:hyperlink r:id="rId8" w:history="1">
              <w:r w:rsidRPr="005E2DCF">
                <w:rPr>
                  <w:rStyle w:val="Hyperlink"/>
                  <w:rFonts w:cs="Arial"/>
                  <w:szCs w:val="20"/>
                </w:rPr>
                <w:t>CH5.101 HIL on Dimension Vista 500</w:t>
              </w:r>
            </w:hyperlink>
          </w:p>
          <w:p w:rsidR="00907FEB" w:rsidRDefault="00907FEB" w:rsidP="0058083A">
            <w:pPr>
              <w:jc w:val="both"/>
            </w:pPr>
          </w:p>
          <w:p w:rsidR="00907FEB" w:rsidRDefault="00907FEB" w:rsidP="0058083A">
            <w:pPr>
              <w:numPr>
                <w:ilvl w:val="0"/>
                <w:numId w:val="5"/>
              </w:numPr>
              <w:jc w:val="both"/>
            </w:pPr>
            <w:r>
              <w:t xml:space="preserve">Urine results </w:t>
            </w:r>
            <w:r>
              <w:rPr>
                <w:rFonts w:cs="Arial"/>
              </w:rPr>
              <w:t>between 1 – 90.0 mg/</w:t>
            </w:r>
            <w:proofErr w:type="spellStart"/>
            <w:r>
              <w:rPr>
                <w:rFonts w:cs="Arial"/>
              </w:rPr>
              <w:t>dL</w:t>
            </w:r>
            <w:proofErr w:type="spellEnd"/>
            <w:r>
              <w:rPr>
                <w:rFonts w:cs="Arial"/>
              </w:rPr>
              <w:t xml:space="preserve"> without error messages are released</w:t>
            </w:r>
          </w:p>
          <w:p w:rsidR="00907FEB" w:rsidRDefault="00907FEB" w:rsidP="0058083A">
            <w:pPr>
              <w:numPr>
                <w:ilvl w:val="0"/>
                <w:numId w:val="5"/>
              </w:numPr>
              <w:jc w:val="both"/>
            </w:pPr>
            <w:r>
              <w:rPr>
                <w:rFonts w:cs="Arial"/>
              </w:rPr>
              <w:t>Urine results with “above assay range” appended are reported as &gt;90.0 mg/</w:t>
            </w:r>
            <w:proofErr w:type="spellStart"/>
            <w:r>
              <w:rPr>
                <w:rFonts w:cs="Arial"/>
              </w:rPr>
              <w:t>dL</w:t>
            </w:r>
            <w:proofErr w:type="spellEnd"/>
          </w:p>
          <w:p w:rsidR="00907FEB" w:rsidRPr="00D921AE" w:rsidRDefault="00907FEB" w:rsidP="0058083A">
            <w:pPr>
              <w:numPr>
                <w:ilvl w:val="0"/>
                <w:numId w:val="5"/>
              </w:numPr>
              <w:jc w:val="both"/>
            </w:pPr>
            <w:r>
              <w:t>Timed Urine collection results</w:t>
            </w:r>
            <w:r>
              <w:rPr>
                <w:rFonts w:cs="Arial"/>
              </w:rPr>
              <w:t xml:space="preserve">: The Laboratory Information System calculates urine phosphorus on timed and random collections when all information is present without messages. Report the numerical value in </w:t>
            </w:r>
            <w:proofErr w:type="spellStart"/>
            <w:r>
              <w:rPr>
                <w:rFonts w:cs="Arial"/>
              </w:rPr>
              <w:t>Sunquest</w:t>
            </w:r>
            <w:proofErr w:type="spellEnd"/>
            <w:r>
              <w:rPr>
                <w:rFonts w:cs="Arial"/>
              </w:rPr>
              <w:t>.</w:t>
            </w:r>
          </w:p>
          <w:p w:rsidR="00907FEB" w:rsidRPr="003B37D4" w:rsidRDefault="00907FEB" w:rsidP="005248A1">
            <w:pPr>
              <w:pStyle w:val="BodyText"/>
              <w:numPr>
                <w:ilvl w:val="0"/>
                <w:numId w:val="40"/>
              </w:numPr>
              <w:jc w:val="both"/>
              <w:rPr>
                <w:rFonts w:cs="Arial"/>
                <w:b/>
                <w:color w:val="5F497A"/>
                <w:szCs w:val="20"/>
              </w:rPr>
            </w:pPr>
            <w:r>
              <w:rPr>
                <w:rFonts w:cs="Arial"/>
              </w:rPr>
              <w:t>Timed Urine collection with results &gt;90.0 mg/</w:t>
            </w:r>
            <w:proofErr w:type="spellStart"/>
            <w:r>
              <w:rPr>
                <w:rFonts w:cs="Arial"/>
              </w:rPr>
              <w:t>dL</w:t>
            </w:r>
            <w:proofErr w:type="spellEnd"/>
            <w:r>
              <w:rPr>
                <w:rFonts w:cs="Arial"/>
              </w:rPr>
              <w:t>: answer the UPQ result with the comment NCAL</w:t>
            </w:r>
          </w:p>
        </w:tc>
      </w:tr>
      <w:tr w:rsidR="003D2C62" w:rsidTr="00725C69">
        <w:trPr>
          <w:trHeight w:val="2123"/>
          <w:tblHeader/>
        </w:trPr>
        <w:tc>
          <w:tcPr>
            <w:tcW w:w="1800" w:type="dxa"/>
          </w:tcPr>
          <w:p w:rsidR="003D2C62" w:rsidRDefault="003D2C62" w:rsidP="003D2C62">
            <w:pPr>
              <w:rPr>
                <w:rFonts w:cs="Arial"/>
                <w:b/>
                <w:bCs/>
                <w:color w:val="0000FF"/>
              </w:rPr>
            </w:pPr>
          </w:p>
          <w:p w:rsidR="003D2C62" w:rsidRDefault="003D2C62" w:rsidP="003D2C62">
            <w:pPr>
              <w:rPr>
                <w:rFonts w:cs="Arial"/>
                <w:b/>
                <w:bCs/>
                <w:color w:val="0000FF"/>
              </w:rPr>
            </w:pPr>
            <w:r>
              <w:rPr>
                <w:rFonts w:cs="Arial"/>
                <w:b/>
                <w:bCs/>
                <w:color w:val="0000FF"/>
              </w:rPr>
              <w:t>Result Reporting</w:t>
            </w:r>
            <w:r w:rsidR="00AE795E">
              <w:rPr>
                <w:rFonts w:cs="Arial"/>
                <w:b/>
                <w:bCs/>
                <w:color w:val="0000FF"/>
              </w:rPr>
              <w:t xml:space="preserve"> (cont)</w:t>
            </w:r>
          </w:p>
          <w:p w:rsidR="003D2C62" w:rsidRDefault="003D2C62" w:rsidP="003D2C62">
            <w:pPr>
              <w:rPr>
                <w:rFonts w:cs="Arial"/>
                <w:b/>
                <w:bCs/>
                <w:color w:val="0000FF"/>
              </w:rPr>
            </w:pPr>
          </w:p>
        </w:tc>
        <w:tc>
          <w:tcPr>
            <w:tcW w:w="9360" w:type="dxa"/>
            <w:tcBorders>
              <w:top w:val="single" w:sz="18" w:space="0" w:color="A6A6A6"/>
              <w:bottom w:val="single" w:sz="18" w:space="0" w:color="A6A6A6"/>
            </w:tcBorders>
            <w:vAlign w:val="center"/>
          </w:tcPr>
          <w:p w:rsidR="00907FEB" w:rsidRPr="003B37D4" w:rsidRDefault="00907FEB" w:rsidP="00AE795E">
            <w:pPr>
              <w:pStyle w:val="Pa5"/>
              <w:spacing w:after="20"/>
              <w:jc w:val="both"/>
              <w:rPr>
                <w:rStyle w:val="A1"/>
                <w:rFonts w:ascii="Arial" w:hAnsi="Arial" w:cs="Arial"/>
                <w:sz w:val="20"/>
                <w:szCs w:val="20"/>
                <w:u w:val="none"/>
              </w:rPr>
            </w:pPr>
            <w:r w:rsidRPr="003B37D4">
              <w:rPr>
                <w:rFonts w:ascii="Arial" w:hAnsi="Arial" w:cs="Arial"/>
                <w:b/>
                <w:bCs/>
                <w:color w:val="76933C"/>
                <w:sz w:val="20"/>
                <w:szCs w:val="20"/>
              </w:rPr>
              <w:t>SECONDARY METHOD</w:t>
            </w:r>
            <w:r w:rsidRPr="003B37D4">
              <w:rPr>
                <w:rFonts w:ascii="Arial" w:hAnsi="Arial" w:cs="Arial"/>
                <w:color w:val="76933C"/>
                <w:sz w:val="20"/>
                <w:szCs w:val="20"/>
              </w:rPr>
              <w:t>:</w:t>
            </w:r>
            <w:r w:rsidRPr="003B37D4">
              <w:rPr>
                <w:rStyle w:val="A1"/>
                <w:rFonts w:ascii="Arial" w:hAnsi="Arial" w:cs="Arial"/>
                <w:sz w:val="20"/>
                <w:szCs w:val="20"/>
                <w:u w:val="none"/>
              </w:rPr>
              <w:t xml:space="preserve"> </w:t>
            </w:r>
          </w:p>
          <w:p w:rsidR="00AE795E" w:rsidRDefault="00AE795E" w:rsidP="00AE795E">
            <w:pPr>
              <w:pStyle w:val="Header"/>
              <w:numPr>
                <w:ilvl w:val="0"/>
                <w:numId w:val="40"/>
              </w:numPr>
              <w:tabs>
                <w:tab w:val="clear" w:pos="4320"/>
                <w:tab w:val="clear" w:pos="8640"/>
              </w:tabs>
              <w:jc w:val="both"/>
              <w:rPr>
                <w:rFonts w:cs="Arial"/>
              </w:rPr>
            </w:pPr>
            <w:r>
              <w:rPr>
                <w:rFonts w:cs="Arial"/>
              </w:rPr>
              <w:t>Serum/Plasma results between 0.5 – 9.0 mg/</w:t>
            </w:r>
            <w:proofErr w:type="spellStart"/>
            <w:r>
              <w:rPr>
                <w:rFonts w:cs="Arial"/>
              </w:rPr>
              <w:t>dL</w:t>
            </w:r>
            <w:proofErr w:type="spellEnd"/>
            <w:r>
              <w:rPr>
                <w:rFonts w:cs="Arial"/>
              </w:rPr>
              <w:t xml:space="preserve"> without error messages are released</w:t>
            </w:r>
          </w:p>
          <w:p w:rsidR="00AE795E" w:rsidRDefault="00AE795E" w:rsidP="00AE795E">
            <w:pPr>
              <w:numPr>
                <w:ilvl w:val="0"/>
                <w:numId w:val="40"/>
              </w:numPr>
              <w:jc w:val="both"/>
              <w:rPr>
                <w:rFonts w:cs="Arial"/>
              </w:rPr>
            </w:pPr>
            <w:r>
              <w:rPr>
                <w:rFonts w:cs="Arial"/>
              </w:rPr>
              <w:t xml:space="preserve">Serum/Plasma results below </w:t>
            </w:r>
            <w:r>
              <w:rPr>
                <w:rFonts w:cs="Arial"/>
                <w:szCs w:val="12"/>
              </w:rPr>
              <w:t>0.5 mg/</w:t>
            </w:r>
            <w:proofErr w:type="spellStart"/>
            <w:r>
              <w:rPr>
                <w:rFonts w:cs="Arial"/>
                <w:szCs w:val="12"/>
              </w:rPr>
              <w:t>dL</w:t>
            </w:r>
            <w:proofErr w:type="spellEnd"/>
            <w:r>
              <w:rPr>
                <w:rFonts w:cs="Arial"/>
              </w:rPr>
              <w:t xml:space="preserve">: report as &lt; </w:t>
            </w:r>
            <w:r>
              <w:rPr>
                <w:rFonts w:cs="Arial"/>
                <w:szCs w:val="12"/>
              </w:rPr>
              <w:t>0.5 mg/</w:t>
            </w:r>
            <w:proofErr w:type="spellStart"/>
            <w:r>
              <w:rPr>
                <w:rFonts w:cs="Arial"/>
                <w:szCs w:val="12"/>
              </w:rPr>
              <w:t>dL</w:t>
            </w:r>
            <w:proofErr w:type="spellEnd"/>
            <w:r>
              <w:rPr>
                <w:rFonts w:cs="Arial"/>
                <w:szCs w:val="12"/>
              </w:rPr>
              <w:t>.</w:t>
            </w:r>
          </w:p>
          <w:p w:rsidR="00AE795E" w:rsidRDefault="00AE795E" w:rsidP="00AE795E">
            <w:pPr>
              <w:numPr>
                <w:ilvl w:val="0"/>
                <w:numId w:val="40"/>
              </w:numPr>
              <w:jc w:val="both"/>
            </w:pPr>
            <w:r>
              <w:rPr>
                <w:rFonts w:cs="Arial"/>
              </w:rPr>
              <w:t>Serum/Plasma r</w:t>
            </w:r>
            <w:r>
              <w:t xml:space="preserve">esults greater than </w:t>
            </w:r>
            <w:r>
              <w:rPr>
                <w:rFonts w:cs="Arial"/>
              </w:rPr>
              <w:t>9.0 mg/</w:t>
            </w:r>
            <w:proofErr w:type="spellStart"/>
            <w:r>
              <w:rPr>
                <w:rFonts w:cs="Arial"/>
              </w:rPr>
              <w:t>dL</w:t>
            </w:r>
            <w:proofErr w:type="spellEnd"/>
            <w:r>
              <w:rPr>
                <w:rFonts w:cs="Arial"/>
              </w:rPr>
              <w:t xml:space="preserve"> without error messages </w:t>
            </w:r>
            <w:r>
              <w:t>are reported following a maximum dilution of 1:2</w:t>
            </w:r>
          </w:p>
          <w:p w:rsidR="003D2C62" w:rsidRDefault="00AE795E" w:rsidP="00AE795E">
            <w:pPr>
              <w:numPr>
                <w:ilvl w:val="0"/>
                <w:numId w:val="5"/>
              </w:numPr>
              <w:jc w:val="both"/>
            </w:pPr>
            <w:r>
              <w:rPr>
                <w:rFonts w:cs="Arial"/>
              </w:rPr>
              <w:t>Serum/Plasma results with “above assay range” appended following a maximum dilution of 1:2 are reported as &gt;18.0 mg/</w:t>
            </w:r>
            <w:proofErr w:type="spellStart"/>
            <w:r>
              <w:rPr>
                <w:rFonts w:cs="Arial"/>
              </w:rPr>
              <w:t>dL</w:t>
            </w:r>
            <w:proofErr w:type="spellEnd"/>
            <w:r>
              <w:t xml:space="preserve"> </w:t>
            </w:r>
          </w:p>
        </w:tc>
      </w:tr>
      <w:tr w:rsidR="003D2C62" w:rsidTr="00725C69">
        <w:trPr>
          <w:tblHeader/>
        </w:trPr>
        <w:tc>
          <w:tcPr>
            <w:tcW w:w="1800" w:type="dxa"/>
          </w:tcPr>
          <w:p w:rsidR="003D2C62" w:rsidRDefault="003D2C62">
            <w:pPr>
              <w:rPr>
                <w:rFonts w:cs="Arial"/>
                <w:b/>
                <w:bCs/>
                <w:color w:val="0000FF"/>
              </w:rPr>
            </w:pPr>
          </w:p>
          <w:p w:rsidR="003D2C62" w:rsidRDefault="003D2C62">
            <w:pPr>
              <w:rPr>
                <w:rFonts w:cs="Arial"/>
                <w:b/>
                <w:bCs/>
                <w:color w:val="0000FF"/>
              </w:rPr>
            </w:pPr>
            <w:r>
              <w:rPr>
                <w:rFonts w:cs="Arial"/>
                <w:b/>
                <w:bCs/>
                <w:color w:val="0000FF"/>
              </w:rPr>
              <w:t>Specimen Storage</w:t>
            </w:r>
          </w:p>
          <w:p w:rsidR="003D2C62" w:rsidRDefault="003D2C62">
            <w:pPr>
              <w:rPr>
                <w:rFonts w:cs="Arial"/>
                <w:b/>
                <w:bCs/>
                <w:color w:val="0000FF"/>
              </w:rPr>
            </w:pPr>
          </w:p>
        </w:tc>
        <w:tc>
          <w:tcPr>
            <w:tcW w:w="9360" w:type="dxa"/>
            <w:tcBorders>
              <w:top w:val="single" w:sz="18" w:space="0" w:color="A6A6A6"/>
              <w:bottom w:val="single" w:sz="18" w:space="0" w:color="A6A6A6"/>
            </w:tcBorders>
          </w:tcPr>
          <w:p w:rsidR="003D2C62" w:rsidRDefault="003D2C62">
            <w:pPr>
              <w:pStyle w:val="Header"/>
              <w:tabs>
                <w:tab w:val="clear" w:pos="4320"/>
                <w:tab w:val="clear" w:pos="8640"/>
              </w:tabs>
              <w:rPr>
                <w:rFonts w:cs="Arial"/>
              </w:rPr>
            </w:pPr>
          </w:p>
          <w:p w:rsidR="003D2C62" w:rsidRDefault="003D2C62">
            <w:pPr>
              <w:pStyle w:val="Header"/>
              <w:tabs>
                <w:tab w:val="clear" w:pos="4320"/>
                <w:tab w:val="clear" w:pos="8640"/>
              </w:tabs>
              <w:rPr>
                <w:rFonts w:cs="Arial"/>
              </w:rPr>
            </w:pPr>
            <w:r>
              <w:rPr>
                <w:rFonts w:cs="Arial"/>
              </w:rPr>
              <w:t>Promptly stopper tested specimen and store upright in specimen rack. Every 8 hours remove specimens to refrigerator/freezer storage. Samples are retained 7 days in specimen storage freezer.</w:t>
            </w:r>
          </w:p>
        </w:tc>
      </w:tr>
      <w:tr w:rsidR="003D2C62" w:rsidTr="00521BA6">
        <w:trPr>
          <w:trHeight w:val="5004"/>
          <w:tblHeader/>
        </w:trPr>
        <w:tc>
          <w:tcPr>
            <w:tcW w:w="1800" w:type="dxa"/>
          </w:tcPr>
          <w:p w:rsidR="003D2C62" w:rsidRDefault="003D2C62">
            <w:pPr>
              <w:ind w:right="-108"/>
              <w:rPr>
                <w:rFonts w:cs="Arial"/>
                <w:b/>
                <w:bCs/>
                <w:color w:val="0000FF"/>
              </w:rPr>
            </w:pPr>
          </w:p>
          <w:p w:rsidR="003D2C62" w:rsidRDefault="003D2C62">
            <w:pPr>
              <w:ind w:right="-108"/>
              <w:rPr>
                <w:rFonts w:cs="Arial"/>
                <w:b/>
                <w:bCs/>
                <w:color w:val="0000FF"/>
              </w:rPr>
            </w:pPr>
            <w:r>
              <w:rPr>
                <w:rFonts w:cs="Arial"/>
                <w:b/>
                <w:bCs/>
                <w:color w:val="0000FF"/>
              </w:rPr>
              <w:t>References</w:t>
            </w:r>
          </w:p>
        </w:tc>
        <w:tc>
          <w:tcPr>
            <w:tcW w:w="9360" w:type="dxa"/>
            <w:tcBorders>
              <w:top w:val="single" w:sz="18" w:space="0" w:color="A6A6A6"/>
              <w:bottom w:val="single" w:sz="18" w:space="0" w:color="A6A6A6"/>
            </w:tcBorders>
            <w:vAlign w:val="center"/>
          </w:tcPr>
          <w:p w:rsidR="003D2C62" w:rsidRPr="00064A45" w:rsidRDefault="003D2C62" w:rsidP="00064A45">
            <w:pPr>
              <w:pStyle w:val="BodyText"/>
              <w:numPr>
                <w:ilvl w:val="0"/>
                <w:numId w:val="39"/>
              </w:numPr>
              <w:spacing w:after="80"/>
              <w:jc w:val="both"/>
              <w:rPr>
                <w:rStyle w:val="A10"/>
                <w:rFonts w:cs="Arial"/>
                <w:color w:val="auto"/>
                <w:sz w:val="20"/>
                <w:szCs w:val="20"/>
              </w:rPr>
            </w:pPr>
            <w:r w:rsidRPr="00064A45">
              <w:rPr>
                <w:rFonts w:cs="Arial"/>
                <w:szCs w:val="20"/>
              </w:rPr>
              <w:t xml:space="preserve">PHOS Flex® reagent cartridge insert sheet Siemens Healthcare Diagnostics, Inc. </w:t>
            </w:r>
            <w:r w:rsidRPr="00064A45">
              <w:rPr>
                <w:rStyle w:val="A10"/>
                <w:rFonts w:cs="Arial"/>
                <w:sz w:val="20"/>
                <w:szCs w:val="20"/>
              </w:rPr>
              <w:t>2008-03-27 717061.001 – US, Rev L</w:t>
            </w:r>
          </w:p>
          <w:p w:rsidR="003D2C62" w:rsidRPr="00064A45" w:rsidRDefault="003D2C62" w:rsidP="00064A45">
            <w:pPr>
              <w:pStyle w:val="BodyText"/>
              <w:numPr>
                <w:ilvl w:val="0"/>
                <w:numId w:val="39"/>
              </w:numPr>
              <w:spacing w:after="80"/>
              <w:jc w:val="both"/>
              <w:rPr>
                <w:rFonts w:cs="Arial"/>
                <w:szCs w:val="20"/>
              </w:rPr>
            </w:pPr>
            <w:r w:rsidRPr="00064A45">
              <w:rPr>
                <w:rFonts w:cs="Arial"/>
                <w:szCs w:val="20"/>
              </w:rPr>
              <w:t xml:space="preserve">Siemens Dimension Vista system </w:t>
            </w:r>
            <w:proofErr w:type="spellStart"/>
            <w:r w:rsidRPr="00064A45">
              <w:rPr>
                <w:rFonts w:cs="Arial"/>
                <w:szCs w:val="20"/>
              </w:rPr>
              <w:t>Chem</w:t>
            </w:r>
            <w:proofErr w:type="spellEnd"/>
            <w:r w:rsidRPr="00064A45">
              <w:rPr>
                <w:rFonts w:cs="Arial"/>
                <w:szCs w:val="20"/>
              </w:rPr>
              <w:t xml:space="preserve"> 2 Cal product insert, Siemens Healthcare Diagnostics Inc. Newark DE 19714, PN 1751150.001-US, 03/2008</w:t>
            </w:r>
          </w:p>
          <w:p w:rsidR="003D2C62" w:rsidRPr="00064A45" w:rsidRDefault="003D2C62" w:rsidP="00064A45">
            <w:pPr>
              <w:pStyle w:val="Bodytext0"/>
              <w:numPr>
                <w:ilvl w:val="0"/>
                <w:numId w:val="39"/>
              </w:numPr>
              <w:spacing w:after="80"/>
              <w:jc w:val="both"/>
              <w:rPr>
                <w:rFonts w:ascii="Arial" w:hAnsi="Arial" w:cs="Arial"/>
                <w:sz w:val="20"/>
                <w:szCs w:val="20"/>
              </w:rPr>
            </w:pPr>
            <w:r w:rsidRPr="00064A45">
              <w:rPr>
                <w:rFonts w:ascii="Arial" w:hAnsi="Arial" w:cs="Arial"/>
                <w:sz w:val="20"/>
                <w:szCs w:val="20"/>
              </w:rPr>
              <w:t>PHOS Flex® reagent cartridge insert sheet PN 781061.001 Issue Date 2015-04-27 Rev. F</w:t>
            </w:r>
          </w:p>
          <w:p w:rsidR="003D2C62" w:rsidRPr="00064A45" w:rsidRDefault="003D2C62" w:rsidP="00064A45">
            <w:pPr>
              <w:pStyle w:val="BodyText"/>
              <w:numPr>
                <w:ilvl w:val="0"/>
                <w:numId w:val="39"/>
              </w:numPr>
              <w:spacing w:after="80"/>
              <w:jc w:val="both"/>
              <w:rPr>
                <w:rFonts w:cs="Arial"/>
                <w:szCs w:val="20"/>
              </w:rPr>
            </w:pPr>
            <w:r w:rsidRPr="00064A45">
              <w:rPr>
                <w:rFonts w:cs="Arial"/>
                <w:szCs w:val="20"/>
              </w:rPr>
              <w:t xml:space="preserve">Siemens Dimension clinical chemistry system </w:t>
            </w:r>
            <w:proofErr w:type="spellStart"/>
            <w:r w:rsidRPr="00064A45">
              <w:rPr>
                <w:rFonts w:cs="Arial"/>
                <w:szCs w:val="20"/>
              </w:rPr>
              <w:t>Chem</w:t>
            </w:r>
            <w:proofErr w:type="spellEnd"/>
            <w:r w:rsidRPr="00064A45">
              <w:rPr>
                <w:rFonts w:cs="Arial"/>
                <w:szCs w:val="20"/>
              </w:rPr>
              <w:t xml:space="preserve"> II Cal product insert, Siemens Healthcare Diagnostics Inc. Newark DE 19714, PN 1751150.001-US, 2010</w:t>
            </w:r>
          </w:p>
          <w:p w:rsidR="003D2C62" w:rsidRPr="00064A45" w:rsidRDefault="003D2C62" w:rsidP="00064A45">
            <w:pPr>
              <w:numPr>
                <w:ilvl w:val="0"/>
                <w:numId w:val="39"/>
              </w:numPr>
              <w:spacing w:after="80"/>
              <w:jc w:val="both"/>
              <w:rPr>
                <w:rFonts w:cs="Arial"/>
                <w:szCs w:val="20"/>
              </w:rPr>
            </w:pPr>
            <w:r w:rsidRPr="00064A45">
              <w:rPr>
                <w:rFonts w:cs="Arial"/>
                <w:bCs/>
                <w:szCs w:val="20"/>
              </w:rPr>
              <w:t xml:space="preserve">Jacobs &amp; </w:t>
            </w:r>
            <w:proofErr w:type="spellStart"/>
            <w:r w:rsidRPr="00064A45">
              <w:rPr>
                <w:rFonts w:cs="Arial"/>
                <w:bCs/>
                <w:szCs w:val="20"/>
              </w:rPr>
              <w:t>DeMott</w:t>
            </w:r>
            <w:proofErr w:type="spellEnd"/>
            <w:r w:rsidRPr="00064A45">
              <w:rPr>
                <w:rFonts w:cs="Arial"/>
                <w:bCs/>
                <w:szCs w:val="20"/>
              </w:rPr>
              <w:t xml:space="preserve"> Laboratory Test Handbook, </w:t>
            </w:r>
            <w:proofErr w:type="spellStart"/>
            <w:r w:rsidRPr="00064A45">
              <w:rPr>
                <w:rFonts w:cs="Arial"/>
                <w:bCs/>
                <w:szCs w:val="20"/>
              </w:rPr>
              <w:t>Lexi</w:t>
            </w:r>
            <w:proofErr w:type="spellEnd"/>
            <w:r w:rsidRPr="00064A45">
              <w:rPr>
                <w:rFonts w:cs="Arial"/>
                <w:bCs/>
                <w:szCs w:val="20"/>
              </w:rPr>
              <w:t>-Comp, Inc, Hudson, OH, 5</w:t>
            </w:r>
            <w:r w:rsidRPr="00064A45">
              <w:rPr>
                <w:rFonts w:cs="Arial"/>
                <w:bCs/>
                <w:szCs w:val="20"/>
                <w:vertAlign w:val="superscript"/>
              </w:rPr>
              <w:t>th</w:t>
            </w:r>
            <w:r w:rsidRPr="00064A45">
              <w:rPr>
                <w:rFonts w:cs="Arial"/>
                <w:bCs/>
                <w:szCs w:val="20"/>
              </w:rPr>
              <w:t xml:space="preserve"> Edition, 2001</w:t>
            </w:r>
          </w:p>
          <w:p w:rsidR="003D2C62" w:rsidRPr="00064A45" w:rsidRDefault="003D2C62" w:rsidP="00064A45">
            <w:pPr>
              <w:numPr>
                <w:ilvl w:val="0"/>
                <w:numId w:val="39"/>
              </w:numPr>
              <w:spacing w:after="80"/>
              <w:jc w:val="both"/>
              <w:rPr>
                <w:rFonts w:cs="Arial"/>
                <w:szCs w:val="20"/>
              </w:rPr>
            </w:pPr>
            <w:proofErr w:type="spellStart"/>
            <w:r w:rsidRPr="00064A45">
              <w:rPr>
                <w:rFonts w:cs="Arial"/>
                <w:bCs/>
                <w:szCs w:val="20"/>
              </w:rPr>
              <w:t>Biorad</w:t>
            </w:r>
            <w:proofErr w:type="spellEnd"/>
            <w:r w:rsidRPr="00064A45">
              <w:rPr>
                <w:rFonts w:cs="Arial"/>
                <w:bCs/>
                <w:szCs w:val="20"/>
              </w:rPr>
              <w:t xml:space="preserve"> Liquid Assayed </w:t>
            </w:r>
            <w:proofErr w:type="spellStart"/>
            <w:r w:rsidRPr="00064A45">
              <w:rPr>
                <w:rFonts w:cs="Arial"/>
                <w:bCs/>
                <w:szCs w:val="20"/>
              </w:rPr>
              <w:t>Multiqual</w:t>
            </w:r>
            <w:proofErr w:type="spellEnd"/>
            <w:r w:rsidRPr="00064A45">
              <w:rPr>
                <w:rFonts w:cs="Arial"/>
                <w:bCs/>
                <w:szCs w:val="20"/>
              </w:rPr>
              <w:t xml:space="preserve"> Control Product Insert, Bio-Rad Laboratories, Irvine, CA 92618 </w:t>
            </w:r>
          </w:p>
          <w:p w:rsidR="003D2C62" w:rsidRPr="00064A45" w:rsidRDefault="003D2C62" w:rsidP="00064A45">
            <w:pPr>
              <w:numPr>
                <w:ilvl w:val="0"/>
                <w:numId w:val="39"/>
              </w:numPr>
              <w:spacing w:after="80"/>
              <w:jc w:val="both"/>
              <w:rPr>
                <w:rFonts w:cs="Arial"/>
                <w:szCs w:val="20"/>
              </w:rPr>
            </w:pPr>
            <w:proofErr w:type="spellStart"/>
            <w:r w:rsidRPr="00064A45">
              <w:rPr>
                <w:rFonts w:cs="Arial"/>
                <w:bCs/>
                <w:szCs w:val="20"/>
              </w:rPr>
              <w:t>Biorad</w:t>
            </w:r>
            <w:proofErr w:type="spellEnd"/>
            <w:r w:rsidRPr="00064A45">
              <w:rPr>
                <w:rFonts w:cs="Arial"/>
                <w:bCs/>
                <w:szCs w:val="20"/>
              </w:rPr>
              <w:t xml:space="preserve"> </w:t>
            </w:r>
            <w:proofErr w:type="spellStart"/>
            <w:r w:rsidRPr="00064A45">
              <w:rPr>
                <w:rFonts w:cs="Arial"/>
                <w:bCs/>
                <w:szCs w:val="20"/>
              </w:rPr>
              <w:t>Liquichek</w:t>
            </w:r>
            <w:proofErr w:type="spellEnd"/>
            <w:r w:rsidRPr="00064A45">
              <w:rPr>
                <w:rFonts w:cs="Arial"/>
                <w:bCs/>
                <w:szCs w:val="20"/>
              </w:rPr>
              <w:t xml:space="preserve"> Urine Chemistry Control Product Insert, Bio-Rad Laboratories, Irvine, CA 92618</w:t>
            </w:r>
          </w:p>
          <w:p w:rsidR="003D2C62" w:rsidRPr="00064A45" w:rsidRDefault="003D2C62" w:rsidP="00064A45">
            <w:pPr>
              <w:pStyle w:val="Heading1"/>
              <w:numPr>
                <w:ilvl w:val="0"/>
                <w:numId w:val="39"/>
              </w:numPr>
              <w:shd w:val="clear" w:color="auto" w:fill="FFFFFF"/>
              <w:spacing w:after="80"/>
              <w:rPr>
                <w:rFonts w:ascii="Arial" w:hAnsi="Arial"/>
                <w:b w:val="0"/>
                <w:sz w:val="20"/>
                <w:szCs w:val="20"/>
              </w:rPr>
            </w:pPr>
            <w:r w:rsidRPr="00064A45">
              <w:rPr>
                <w:rFonts w:ascii="Arial" w:hAnsi="Arial"/>
                <w:b w:val="0"/>
                <w:sz w:val="20"/>
                <w:szCs w:val="20"/>
              </w:rPr>
              <w:t>Should acidification of urine be performed before the analysis of calcium, phosphate and magnesium in the presence of crystals</w:t>
            </w:r>
            <w:proofErr w:type="gramStart"/>
            <w:r w:rsidRPr="00064A45">
              <w:rPr>
                <w:rFonts w:ascii="Arial" w:hAnsi="Arial"/>
                <w:b w:val="0"/>
                <w:sz w:val="20"/>
                <w:szCs w:val="20"/>
              </w:rPr>
              <w:t>?,</w:t>
            </w:r>
            <w:proofErr w:type="gramEnd"/>
            <w:r w:rsidRPr="00064A45">
              <w:rPr>
                <w:rFonts w:ascii="Arial" w:hAnsi="Arial"/>
                <w:b w:val="0"/>
                <w:sz w:val="20"/>
                <w:szCs w:val="20"/>
              </w:rPr>
              <w:t xml:space="preserve"> </w:t>
            </w:r>
            <w:hyperlink r:id="rId9" w:tooltip="Clinica chimica acta; international journal of clinical chemistry." w:history="1">
              <w:proofErr w:type="spellStart"/>
              <w:r w:rsidRPr="00064A45">
                <w:rPr>
                  <w:rFonts w:ascii="Arial" w:hAnsi="Arial"/>
                  <w:b w:val="0"/>
                  <w:color w:val="2F4A8B"/>
                  <w:sz w:val="20"/>
                  <w:szCs w:val="20"/>
                  <w:u w:val="single"/>
                </w:rPr>
                <w:t>Clin</w:t>
              </w:r>
              <w:proofErr w:type="spellEnd"/>
              <w:r w:rsidRPr="00064A45">
                <w:rPr>
                  <w:rFonts w:ascii="Arial" w:hAnsi="Arial"/>
                  <w:b w:val="0"/>
                  <w:color w:val="2F4A8B"/>
                  <w:sz w:val="20"/>
                  <w:szCs w:val="20"/>
                  <w:u w:val="single"/>
                </w:rPr>
                <w:t xml:space="preserve"> </w:t>
              </w:r>
              <w:proofErr w:type="spellStart"/>
              <w:r w:rsidRPr="00064A45">
                <w:rPr>
                  <w:rFonts w:ascii="Arial" w:hAnsi="Arial"/>
                  <w:b w:val="0"/>
                  <w:color w:val="2F4A8B"/>
                  <w:sz w:val="20"/>
                  <w:szCs w:val="20"/>
                  <w:u w:val="single"/>
                </w:rPr>
                <w:t>Chim</w:t>
              </w:r>
              <w:proofErr w:type="spellEnd"/>
              <w:r w:rsidRPr="00064A45">
                <w:rPr>
                  <w:rFonts w:ascii="Arial" w:hAnsi="Arial"/>
                  <w:b w:val="0"/>
                  <w:color w:val="2F4A8B"/>
                  <w:sz w:val="20"/>
                  <w:szCs w:val="20"/>
                  <w:u w:val="single"/>
                </w:rPr>
                <w:t xml:space="preserve"> </w:t>
              </w:r>
              <w:proofErr w:type="spellStart"/>
              <w:r w:rsidRPr="00064A45">
                <w:rPr>
                  <w:rFonts w:ascii="Arial" w:hAnsi="Arial"/>
                  <w:b w:val="0"/>
                  <w:color w:val="2F4A8B"/>
                  <w:sz w:val="20"/>
                  <w:szCs w:val="20"/>
                  <w:u w:val="single"/>
                </w:rPr>
                <w:t>Acta</w:t>
              </w:r>
              <w:proofErr w:type="spellEnd"/>
              <w:r w:rsidRPr="00064A45">
                <w:rPr>
                  <w:rFonts w:ascii="Arial" w:hAnsi="Arial"/>
                  <w:b w:val="0"/>
                  <w:color w:val="2F4A8B"/>
                  <w:sz w:val="20"/>
                  <w:szCs w:val="20"/>
                  <w:u w:val="single"/>
                </w:rPr>
                <w:t>.</w:t>
              </w:r>
            </w:hyperlink>
            <w:r w:rsidRPr="00064A45">
              <w:rPr>
                <w:rFonts w:ascii="Arial" w:hAnsi="Arial"/>
                <w:b w:val="0"/>
                <w:sz w:val="20"/>
                <w:szCs w:val="20"/>
              </w:rPr>
              <w:t xml:space="preserve"> 2013 Nov 15</w:t>
            </w:r>
            <w:proofErr w:type="gramStart"/>
            <w:r w:rsidRPr="00064A45">
              <w:rPr>
                <w:rFonts w:ascii="Arial" w:hAnsi="Arial"/>
                <w:b w:val="0"/>
                <w:sz w:val="20"/>
                <w:szCs w:val="20"/>
              </w:rPr>
              <w:t>;426:46</w:t>
            </w:r>
            <w:proofErr w:type="gramEnd"/>
            <w:r w:rsidRPr="00064A45">
              <w:rPr>
                <w:rFonts w:ascii="Arial" w:hAnsi="Arial"/>
                <w:b w:val="0"/>
                <w:sz w:val="20"/>
                <w:szCs w:val="20"/>
              </w:rPr>
              <w:t xml:space="preserve">-50. </w:t>
            </w:r>
            <w:proofErr w:type="spellStart"/>
            <w:proofErr w:type="gramStart"/>
            <w:r w:rsidRPr="00064A45">
              <w:rPr>
                <w:rFonts w:ascii="Arial" w:hAnsi="Arial"/>
                <w:b w:val="0"/>
                <w:sz w:val="20"/>
                <w:szCs w:val="20"/>
              </w:rPr>
              <w:t>doi</w:t>
            </w:r>
            <w:proofErr w:type="spellEnd"/>
            <w:proofErr w:type="gramEnd"/>
            <w:r w:rsidRPr="00064A45">
              <w:rPr>
                <w:rFonts w:ascii="Arial" w:hAnsi="Arial"/>
                <w:b w:val="0"/>
                <w:sz w:val="20"/>
                <w:szCs w:val="20"/>
              </w:rPr>
              <w:t xml:space="preserve">: 10.1016/j.cca.2013.08.025. </w:t>
            </w:r>
            <w:proofErr w:type="spellStart"/>
            <w:r w:rsidRPr="00064A45">
              <w:rPr>
                <w:rFonts w:ascii="Arial" w:hAnsi="Arial"/>
                <w:b w:val="0"/>
                <w:sz w:val="20"/>
                <w:szCs w:val="20"/>
              </w:rPr>
              <w:t>Epub</w:t>
            </w:r>
            <w:proofErr w:type="spellEnd"/>
            <w:r w:rsidRPr="00064A45">
              <w:rPr>
                <w:rFonts w:ascii="Arial" w:hAnsi="Arial"/>
                <w:b w:val="0"/>
                <w:sz w:val="20"/>
                <w:szCs w:val="20"/>
              </w:rPr>
              <w:t xml:space="preserve"> 2013 Sep 5, </w:t>
            </w:r>
          </w:p>
          <w:p w:rsidR="003D2C62" w:rsidRDefault="003D2C62" w:rsidP="00064A45">
            <w:pPr>
              <w:numPr>
                <w:ilvl w:val="0"/>
                <w:numId w:val="39"/>
              </w:numPr>
              <w:shd w:val="clear" w:color="auto" w:fill="FFFFFF"/>
              <w:spacing w:after="80"/>
              <w:jc w:val="both"/>
              <w:rPr>
                <w:rFonts w:cs="Arial"/>
                <w:szCs w:val="20"/>
              </w:rPr>
            </w:pPr>
            <w:r w:rsidRPr="00064A45">
              <w:rPr>
                <w:rFonts w:cs="Arial"/>
                <w:szCs w:val="20"/>
              </w:rPr>
              <w:t xml:space="preserve">Acidification and urine calcium: is it a </w:t>
            </w:r>
            <w:proofErr w:type="spellStart"/>
            <w:r w:rsidRPr="00064A45">
              <w:rPr>
                <w:rFonts w:cs="Arial"/>
                <w:szCs w:val="20"/>
              </w:rPr>
              <w:t>preanalytical</w:t>
            </w:r>
            <w:proofErr w:type="spellEnd"/>
            <w:r w:rsidRPr="00064A45">
              <w:rPr>
                <w:rFonts w:cs="Arial"/>
                <w:szCs w:val="20"/>
              </w:rPr>
              <w:t xml:space="preserve"> necessity? </w:t>
            </w:r>
            <w:hyperlink r:id="rId10" w:tooltip="Annals of clinical biochemistry." w:history="1">
              <w:r w:rsidRPr="00064A45">
                <w:rPr>
                  <w:rFonts w:cs="Arial"/>
                  <w:color w:val="2F4A8B"/>
                  <w:szCs w:val="20"/>
                  <w:u w:val="single"/>
                </w:rPr>
                <w:t xml:space="preserve">Ann </w:t>
              </w:r>
              <w:proofErr w:type="spellStart"/>
              <w:r w:rsidRPr="00064A45">
                <w:rPr>
                  <w:rFonts w:cs="Arial"/>
                  <w:color w:val="2F4A8B"/>
                  <w:szCs w:val="20"/>
                  <w:u w:val="single"/>
                </w:rPr>
                <w:t>Clin</w:t>
              </w:r>
              <w:proofErr w:type="spellEnd"/>
              <w:r w:rsidRPr="00064A45">
                <w:rPr>
                  <w:rFonts w:cs="Arial"/>
                  <w:color w:val="2F4A8B"/>
                  <w:szCs w:val="20"/>
                  <w:u w:val="single"/>
                </w:rPr>
                <w:t xml:space="preserve"> </w:t>
              </w:r>
              <w:proofErr w:type="spellStart"/>
              <w:r w:rsidRPr="00064A45">
                <w:rPr>
                  <w:rFonts w:cs="Arial"/>
                  <w:color w:val="2F4A8B"/>
                  <w:szCs w:val="20"/>
                  <w:u w:val="single"/>
                </w:rPr>
                <w:t>Biochem</w:t>
              </w:r>
              <w:proofErr w:type="spellEnd"/>
              <w:r w:rsidRPr="00064A45">
                <w:rPr>
                  <w:rFonts w:cs="Arial"/>
                  <w:color w:val="2F4A8B"/>
                  <w:szCs w:val="20"/>
                  <w:u w:val="single"/>
                </w:rPr>
                <w:t>.</w:t>
              </w:r>
            </w:hyperlink>
            <w:r w:rsidRPr="00064A45">
              <w:rPr>
                <w:rFonts w:cs="Arial"/>
                <w:szCs w:val="20"/>
              </w:rPr>
              <w:t xml:space="preserve"> 2009 Nov; 46(Pt 6):484-7. </w:t>
            </w:r>
            <w:proofErr w:type="spellStart"/>
            <w:proofErr w:type="gramStart"/>
            <w:r w:rsidRPr="00064A45">
              <w:rPr>
                <w:rFonts w:cs="Arial"/>
                <w:szCs w:val="20"/>
              </w:rPr>
              <w:t>doi</w:t>
            </w:r>
            <w:proofErr w:type="spellEnd"/>
            <w:proofErr w:type="gramEnd"/>
            <w:r w:rsidRPr="00064A45">
              <w:rPr>
                <w:rFonts w:cs="Arial"/>
                <w:szCs w:val="20"/>
              </w:rPr>
              <w:t>: 10.1258/a</w:t>
            </w:r>
            <w:r>
              <w:rPr>
                <w:rFonts w:cs="Arial"/>
                <w:szCs w:val="20"/>
              </w:rPr>
              <w:t xml:space="preserve">cb.2009.009027. </w:t>
            </w:r>
            <w:proofErr w:type="spellStart"/>
            <w:r>
              <w:rPr>
                <w:rFonts w:cs="Arial"/>
                <w:szCs w:val="20"/>
              </w:rPr>
              <w:t>Epub</w:t>
            </w:r>
            <w:proofErr w:type="spellEnd"/>
            <w:r>
              <w:rPr>
                <w:rFonts w:cs="Arial"/>
                <w:szCs w:val="20"/>
              </w:rPr>
              <w:t xml:space="preserve"> 2009 Sep 3</w:t>
            </w:r>
          </w:p>
          <w:p w:rsidR="00D05911" w:rsidRDefault="00305327" w:rsidP="00064A45">
            <w:pPr>
              <w:numPr>
                <w:ilvl w:val="0"/>
                <w:numId w:val="39"/>
              </w:numPr>
              <w:shd w:val="clear" w:color="auto" w:fill="FFFFFF"/>
              <w:spacing w:after="80"/>
              <w:jc w:val="both"/>
              <w:rPr>
                <w:rFonts w:cs="Arial"/>
                <w:szCs w:val="20"/>
              </w:rPr>
            </w:pPr>
            <w:r>
              <w:rPr>
                <w:rFonts w:cs="Arial"/>
                <w:szCs w:val="20"/>
              </w:rPr>
              <w:t>Clinical Biochemistry R</w:t>
            </w:r>
            <w:r w:rsidR="00D05911">
              <w:rPr>
                <w:rFonts w:cs="Arial"/>
                <w:szCs w:val="20"/>
              </w:rPr>
              <w:t xml:space="preserve">eference Range Handbook, </w:t>
            </w:r>
            <w:r w:rsidR="00521BA6">
              <w:rPr>
                <w:rFonts w:cs="Arial"/>
                <w:szCs w:val="20"/>
              </w:rPr>
              <w:t>East Sussex Healthcare, Paul Eaton, 7/2/2013</w:t>
            </w:r>
          </w:p>
          <w:p w:rsidR="00E225EB" w:rsidRPr="00973B44" w:rsidRDefault="00E225EB" w:rsidP="00E225EB">
            <w:pPr>
              <w:numPr>
                <w:ilvl w:val="0"/>
                <w:numId w:val="39"/>
              </w:numPr>
              <w:rPr>
                <w:rFonts w:cs="Arial"/>
              </w:rPr>
            </w:pPr>
            <w:hyperlink r:id="rId11" w:tooltip="Clinica chimica acta; international journal of clinical chemistry." w:history="1">
              <w:proofErr w:type="spellStart"/>
              <w:r>
                <w:rPr>
                  <w:rFonts w:cs="Arial"/>
                  <w:color w:val="2F4A8B"/>
                  <w:szCs w:val="20"/>
                  <w:u w:val="single"/>
                </w:rPr>
                <w:t>Clin</w:t>
              </w:r>
              <w:proofErr w:type="spellEnd"/>
              <w:r>
                <w:rPr>
                  <w:rFonts w:cs="Arial"/>
                  <w:color w:val="2F4A8B"/>
                  <w:szCs w:val="20"/>
                  <w:u w:val="single"/>
                </w:rPr>
                <w:t xml:space="preserve"> </w:t>
              </w:r>
              <w:proofErr w:type="spellStart"/>
              <w:r>
                <w:rPr>
                  <w:rFonts w:cs="Arial"/>
                  <w:color w:val="2F4A8B"/>
                  <w:szCs w:val="20"/>
                  <w:u w:val="single"/>
                </w:rPr>
                <w:t>Chim</w:t>
              </w:r>
              <w:proofErr w:type="spellEnd"/>
              <w:r>
                <w:rPr>
                  <w:rFonts w:cs="Arial"/>
                  <w:color w:val="2F4A8B"/>
                  <w:szCs w:val="20"/>
                  <w:u w:val="single"/>
                </w:rPr>
                <w:t xml:space="preserve"> </w:t>
              </w:r>
              <w:proofErr w:type="spellStart"/>
              <w:r>
                <w:rPr>
                  <w:rFonts w:cs="Arial"/>
                  <w:color w:val="2F4A8B"/>
                  <w:szCs w:val="20"/>
                  <w:u w:val="single"/>
                </w:rPr>
                <w:t>Acta</w:t>
              </w:r>
              <w:proofErr w:type="spellEnd"/>
              <w:r>
                <w:rPr>
                  <w:rFonts w:cs="Arial"/>
                  <w:color w:val="2F4A8B"/>
                  <w:szCs w:val="20"/>
                  <w:u w:val="single"/>
                </w:rPr>
                <w:t>.</w:t>
              </w:r>
            </w:hyperlink>
            <w:r>
              <w:rPr>
                <w:rFonts w:cs="Arial"/>
                <w:szCs w:val="20"/>
              </w:rPr>
              <w:t xml:space="preserve"> 2013 Nov 15</w:t>
            </w:r>
            <w:proofErr w:type="gramStart"/>
            <w:r>
              <w:rPr>
                <w:rFonts w:cs="Arial"/>
                <w:szCs w:val="20"/>
              </w:rPr>
              <w:t>;426:46</w:t>
            </w:r>
            <w:proofErr w:type="gramEnd"/>
            <w:r>
              <w:rPr>
                <w:rFonts w:cs="Arial"/>
                <w:szCs w:val="20"/>
              </w:rPr>
              <w:t xml:space="preserve">-50. </w:t>
            </w:r>
            <w:proofErr w:type="spellStart"/>
            <w:proofErr w:type="gramStart"/>
            <w:r>
              <w:rPr>
                <w:rFonts w:cs="Arial"/>
                <w:szCs w:val="20"/>
              </w:rPr>
              <w:t>doi</w:t>
            </w:r>
            <w:proofErr w:type="spellEnd"/>
            <w:proofErr w:type="gramEnd"/>
            <w:r>
              <w:rPr>
                <w:rFonts w:cs="Arial"/>
                <w:szCs w:val="20"/>
              </w:rPr>
              <w:t xml:space="preserve">: 10.1016/j.cca.2013.08.025. </w:t>
            </w:r>
            <w:proofErr w:type="spellStart"/>
            <w:r>
              <w:rPr>
                <w:rFonts w:cs="Arial"/>
                <w:szCs w:val="20"/>
              </w:rPr>
              <w:t>Epub</w:t>
            </w:r>
            <w:proofErr w:type="spellEnd"/>
            <w:r>
              <w:rPr>
                <w:rFonts w:cs="Arial"/>
                <w:szCs w:val="20"/>
              </w:rPr>
              <w:t xml:space="preserve"> 2013 Sep 5</w:t>
            </w:r>
          </w:p>
          <w:p w:rsidR="00E225EB" w:rsidRPr="00064A45" w:rsidRDefault="00E225EB" w:rsidP="00E225EB">
            <w:pPr>
              <w:numPr>
                <w:ilvl w:val="0"/>
                <w:numId w:val="39"/>
              </w:numPr>
              <w:shd w:val="clear" w:color="auto" w:fill="FFFFFF"/>
              <w:spacing w:after="80"/>
              <w:jc w:val="both"/>
              <w:rPr>
                <w:rFonts w:cs="Arial"/>
                <w:szCs w:val="20"/>
              </w:rPr>
            </w:pPr>
            <w:hyperlink r:id="rId12" w:tooltip="Clinical chemistry and laboratory medicine." w:history="1">
              <w:proofErr w:type="spellStart"/>
              <w:r>
                <w:rPr>
                  <w:rFonts w:cs="Arial"/>
                  <w:color w:val="2F4A8B"/>
                  <w:szCs w:val="20"/>
                  <w:u w:val="single"/>
                </w:rPr>
                <w:t>Clin</w:t>
              </w:r>
              <w:proofErr w:type="spellEnd"/>
              <w:r>
                <w:rPr>
                  <w:rFonts w:cs="Arial"/>
                  <w:color w:val="2F4A8B"/>
                  <w:szCs w:val="20"/>
                  <w:u w:val="single"/>
                </w:rPr>
                <w:t xml:space="preserve"> </w:t>
              </w:r>
              <w:proofErr w:type="spellStart"/>
              <w:r>
                <w:rPr>
                  <w:rFonts w:cs="Arial"/>
                  <w:color w:val="2F4A8B"/>
                  <w:szCs w:val="20"/>
                  <w:u w:val="single"/>
                </w:rPr>
                <w:t>Chem</w:t>
              </w:r>
              <w:proofErr w:type="spellEnd"/>
              <w:r>
                <w:rPr>
                  <w:rFonts w:cs="Arial"/>
                  <w:color w:val="2F4A8B"/>
                  <w:szCs w:val="20"/>
                  <w:u w:val="single"/>
                </w:rPr>
                <w:t xml:space="preserve"> Lab Med.</w:t>
              </w:r>
            </w:hyperlink>
            <w:r>
              <w:rPr>
                <w:rFonts w:cs="Arial"/>
                <w:szCs w:val="20"/>
              </w:rPr>
              <w:t xml:space="preserve"> 2016 Dec 1</w:t>
            </w:r>
            <w:proofErr w:type="gramStart"/>
            <w:r>
              <w:rPr>
                <w:rFonts w:cs="Arial"/>
                <w:szCs w:val="20"/>
              </w:rPr>
              <w:t>;54</w:t>
            </w:r>
            <w:proofErr w:type="gramEnd"/>
            <w:r>
              <w:rPr>
                <w:rFonts w:cs="Arial"/>
                <w:szCs w:val="20"/>
              </w:rPr>
              <w:t xml:space="preserve">(12):e379-e381. </w:t>
            </w:r>
            <w:proofErr w:type="spellStart"/>
            <w:r>
              <w:rPr>
                <w:rFonts w:cs="Arial"/>
                <w:szCs w:val="20"/>
              </w:rPr>
              <w:t>doi</w:t>
            </w:r>
            <w:proofErr w:type="spellEnd"/>
            <w:r>
              <w:rPr>
                <w:rFonts w:cs="Arial"/>
                <w:szCs w:val="20"/>
              </w:rPr>
              <w:t>: 10.1515/cclm-2016-0064</w:t>
            </w:r>
          </w:p>
        </w:tc>
      </w:tr>
    </w:tbl>
    <w:p w:rsidR="00521BA6" w:rsidRDefault="00521BA6">
      <w:r>
        <w:br w:type="page"/>
      </w:r>
    </w:p>
    <w:tbl>
      <w:tblPr>
        <w:tblW w:w="11160" w:type="dxa"/>
        <w:tblInd w:w="-1152" w:type="dxa"/>
        <w:tblLayout w:type="fixed"/>
        <w:tblLook w:val="0000"/>
      </w:tblPr>
      <w:tblGrid>
        <w:gridCol w:w="1800"/>
        <w:gridCol w:w="990"/>
        <w:gridCol w:w="2160"/>
        <w:gridCol w:w="1980"/>
        <w:gridCol w:w="4230"/>
      </w:tblGrid>
      <w:tr w:rsidR="003D2C62" w:rsidTr="00521BA6">
        <w:trPr>
          <w:tblHeader/>
        </w:trPr>
        <w:tc>
          <w:tcPr>
            <w:tcW w:w="1800" w:type="dxa"/>
          </w:tcPr>
          <w:p w:rsidR="003D2C62" w:rsidRDefault="003D2C62">
            <w:pPr>
              <w:ind w:right="-108"/>
              <w:rPr>
                <w:rFonts w:cs="Arial"/>
                <w:b/>
                <w:bCs/>
                <w:color w:val="0000FF"/>
              </w:rPr>
            </w:pPr>
          </w:p>
        </w:tc>
        <w:tc>
          <w:tcPr>
            <w:tcW w:w="9360" w:type="dxa"/>
            <w:gridSpan w:val="4"/>
            <w:tcBorders>
              <w:top w:val="single" w:sz="18" w:space="0" w:color="A6A6A6"/>
              <w:bottom w:val="single" w:sz="4" w:space="0" w:color="auto"/>
            </w:tcBorders>
            <w:vAlign w:val="center"/>
          </w:tcPr>
          <w:p w:rsidR="003D2C62" w:rsidRDefault="003D2C62" w:rsidP="00521BA6">
            <w:pPr>
              <w:rPr>
                <w:rFonts w:cs="Arial"/>
              </w:rPr>
            </w:pPr>
          </w:p>
        </w:tc>
      </w:tr>
      <w:tr w:rsidR="003D2C62" w:rsidTr="00D2644D">
        <w:tblPrEx>
          <w:tblBorders>
            <w:bottom w:val="single" w:sz="4" w:space="0" w:color="auto"/>
          </w:tblBorders>
        </w:tblPrEx>
        <w:trPr>
          <w:cantSplit/>
          <w:trHeight w:val="225"/>
        </w:trPr>
        <w:tc>
          <w:tcPr>
            <w:tcW w:w="1800" w:type="dxa"/>
            <w:vMerge w:val="restart"/>
            <w:tcBorders>
              <w:left w:val="nil"/>
              <w:bottom w:val="nil"/>
              <w:right w:val="single" w:sz="4" w:space="0" w:color="auto"/>
            </w:tcBorders>
          </w:tcPr>
          <w:p w:rsidR="003D2C62" w:rsidRDefault="003D2C62">
            <w:pPr>
              <w:rPr>
                <w:rFonts w:cs="Arial"/>
                <w:b/>
                <w:bCs/>
                <w:color w:val="3366FF"/>
              </w:rPr>
            </w:pPr>
            <w:r>
              <w:rPr>
                <w:rFonts w:cs="Arial"/>
                <w:b/>
                <w:bCs/>
                <w:color w:val="0000FF"/>
              </w:rPr>
              <w:t>Historical Record</w:t>
            </w:r>
          </w:p>
        </w:tc>
        <w:tc>
          <w:tcPr>
            <w:tcW w:w="99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b/>
                <w:bCs/>
              </w:rPr>
            </w:pPr>
            <w:r>
              <w:rPr>
                <w:rFonts w:cs="Arial"/>
                <w:b/>
                <w:bCs/>
              </w:rPr>
              <w:t>Version</w:t>
            </w:r>
          </w:p>
        </w:tc>
        <w:tc>
          <w:tcPr>
            <w:tcW w:w="216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b/>
                <w:bCs/>
                <w:iCs/>
              </w:rPr>
            </w:pPr>
            <w:r>
              <w:rPr>
                <w:rFonts w:cs="Arial"/>
                <w:b/>
                <w:bCs/>
                <w:iCs/>
              </w:rPr>
              <w:t>Written/Revised by:</w:t>
            </w:r>
          </w:p>
        </w:tc>
        <w:tc>
          <w:tcPr>
            <w:tcW w:w="198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b/>
                <w:bCs/>
                <w:iCs/>
              </w:rPr>
            </w:pPr>
            <w:r>
              <w:rPr>
                <w:rFonts w:cs="Arial"/>
                <w:b/>
                <w:bCs/>
                <w:iCs/>
              </w:rPr>
              <w:t>Effective Date:</w:t>
            </w:r>
          </w:p>
        </w:tc>
        <w:tc>
          <w:tcPr>
            <w:tcW w:w="423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b/>
                <w:bCs/>
                <w:iCs/>
              </w:rPr>
            </w:pPr>
            <w:r>
              <w:rPr>
                <w:rFonts w:cs="Arial"/>
                <w:b/>
                <w:bCs/>
                <w:iCs/>
              </w:rPr>
              <w:t>Summary of Revisions</w:t>
            </w:r>
          </w:p>
        </w:tc>
      </w:tr>
      <w:tr w:rsidR="003D2C62" w:rsidTr="00D2644D">
        <w:tblPrEx>
          <w:tblBorders>
            <w:bottom w:val="single" w:sz="4" w:space="0" w:color="auto"/>
          </w:tblBorders>
        </w:tblPrEx>
        <w:trPr>
          <w:cantSplit/>
          <w:trHeight w:val="135"/>
        </w:trPr>
        <w:tc>
          <w:tcPr>
            <w:tcW w:w="1800" w:type="dxa"/>
            <w:vMerge/>
            <w:tcBorders>
              <w:left w:val="nil"/>
              <w:bottom w:val="nil"/>
              <w:right w:val="single" w:sz="4" w:space="0" w:color="auto"/>
            </w:tcBorders>
          </w:tcPr>
          <w:p w:rsidR="003D2C62" w:rsidRDefault="003D2C62">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3D2C62" w:rsidRDefault="003D2C62" w:rsidP="00521BA6">
            <w:pPr>
              <w:numPr>
                <w:ilvl w:val="0"/>
                <w:numId w:val="27"/>
              </w:numPr>
              <w:spacing w:after="120"/>
              <w:jc w:val="center"/>
              <w:rPr>
                <w:rFonts w:cs="Arial"/>
              </w:rPr>
            </w:pPr>
          </w:p>
        </w:tc>
        <w:tc>
          <w:tcPr>
            <w:tcW w:w="216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Unknown</w:t>
            </w:r>
          </w:p>
        </w:tc>
        <w:tc>
          <w:tcPr>
            <w:tcW w:w="198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Unknown</w:t>
            </w:r>
          </w:p>
        </w:tc>
        <w:tc>
          <w:tcPr>
            <w:tcW w:w="423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t>Phosphorus</w:t>
            </w:r>
            <w:r>
              <w:rPr>
                <w:rFonts w:cs="Arial"/>
              </w:rPr>
              <w:t xml:space="preserve"> on Dimension AR,</w:t>
            </w:r>
            <w:r>
              <w:rPr>
                <w:rFonts w:cs="Arial"/>
                <w:iCs/>
              </w:rPr>
              <w:t xml:space="preserve"> Initial Version</w:t>
            </w:r>
          </w:p>
        </w:tc>
      </w:tr>
      <w:tr w:rsidR="003D2C62" w:rsidTr="00D2644D">
        <w:tblPrEx>
          <w:tblBorders>
            <w:bottom w:val="single" w:sz="4" w:space="0" w:color="auto"/>
          </w:tblBorders>
        </w:tblPrEx>
        <w:trPr>
          <w:cantSplit/>
          <w:trHeight w:val="143"/>
        </w:trPr>
        <w:tc>
          <w:tcPr>
            <w:tcW w:w="1800" w:type="dxa"/>
            <w:vMerge/>
            <w:tcBorders>
              <w:left w:val="nil"/>
              <w:bottom w:val="nil"/>
              <w:right w:val="single" w:sz="4" w:space="0" w:color="auto"/>
            </w:tcBorders>
          </w:tcPr>
          <w:p w:rsidR="003D2C62" w:rsidRDefault="003D2C62">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3D2C62" w:rsidRDefault="003D2C62" w:rsidP="00521BA6">
            <w:pPr>
              <w:numPr>
                <w:ilvl w:val="0"/>
                <w:numId w:val="27"/>
              </w:numPr>
              <w:spacing w:after="120"/>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rPr>
              <w:t>Deane L Riedel</w:t>
            </w:r>
          </w:p>
        </w:tc>
        <w:tc>
          <w:tcPr>
            <w:tcW w:w="198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rPr>
              <w:t>August 2000</w:t>
            </w:r>
          </w:p>
        </w:tc>
        <w:tc>
          <w:tcPr>
            <w:tcW w:w="423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p>
        </w:tc>
      </w:tr>
      <w:tr w:rsidR="003D2C62" w:rsidTr="00D2644D">
        <w:tblPrEx>
          <w:tblBorders>
            <w:bottom w:val="single" w:sz="4" w:space="0" w:color="auto"/>
          </w:tblBorders>
        </w:tblPrEx>
        <w:trPr>
          <w:cantSplit/>
          <w:trHeight w:val="165"/>
        </w:trPr>
        <w:tc>
          <w:tcPr>
            <w:tcW w:w="1800" w:type="dxa"/>
            <w:vMerge/>
            <w:tcBorders>
              <w:left w:val="nil"/>
              <w:bottom w:val="nil"/>
              <w:right w:val="single" w:sz="4" w:space="0" w:color="auto"/>
            </w:tcBorders>
          </w:tcPr>
          <w:p w:rsidR="003D2C62" w:rsidRDefault="003D2C62">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3D2C62" w:rsidRDefault="003D2C62" w:rsidP="00521BA6">
            <w:pPr>
              <w:numPr>
                <w:ilvl w:val="0"/>
                <w:numId w:val="27"/>
              </w:numPr>
              <w:spacing w:after="120"/>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rPr>
              <w:t xml:space="preserve">L. </w:t>
            </w:r>
            <w:proofErr w:type="spellStart"/>
            <w:r>
              <w:rPr>
                <w:rFonts w:cs="Arial"/>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rPr>
              <w:t>August 2003</w:t>
            </w:r>
          </w:p>
        </w:tc>
        <w:tc>
          <w:tcPr>
            <w:tcW w:w="423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rPr>
              <w:t xml:space="preserve">Phosphorus on Dimension </w:t>
            </w:r>
            <w:proofErr w:type="spellStart"/>
            <w:r>
              <w:rPr>
                <w:rFonts w:cs="Arial"/>
              </w:rPr>
              <w:t>RxL</w:t>
            </w:r>
            <w:proofErr w:type="spellEnd"/>
          </w:p>
        </w:tc>
      </w:tr>
      <w:tr w:rsidR="003D2C62" w:rsidTr="00D2644D">
        <w:tblPrEx>
          <w:tblBorders>
            <w:bottom w:val="single" w:sz="4" w:space="0" w:color="auto"/>
          </w:tblBorders>
        </w:tblPrEx>
        <w:trPr>
          <w:cantSplit/>
          <w:trHeight w:val="255"/>
        </w:trPr>
        <w:tc>
          <w:tcPr>
            <w:tcW w:w="1800" w:type="dxa"/>
            <w:vMerge/>
            <w:tcBorders>
              <w:left w:val="nil"/>
              <w:bottom w:val="nil"/>
              <w:right w:val="single" w:sz="4" w:space="0" w:color="auto"/>
            </w:tcBorders>
          </w:tcPr>
          <w:p w:rsidR="003D2C62" w:rsidRDefault="003D2C62">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3D2C62" w:rsidRDefault="003D2C62" w:rsidP="00521BA6">
            <w:pPr>
              <w:numPr>
                <w:ilvl w:val="0"/>
                <w:numId w:val="27"/>
              </w:numPr>
              <w:spacing w:after="120"/>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rPr>
              <w:t xml:space="preserve">L. </w:t>
            </w:r>
            <w:proofErr w:type="spellStart"/>
            <w:r>
              <w:rPr>
                <w:rFonts w:cs="Arial"/>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rPr>
              <w:t>July 31, 2006</w:t>
            </w:r>
          </w:p>
        </w:tc>
        <w:tc>
          <w:tcPr>
            <w:tcW w:w="423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rPr>
              <w:t>Phosphorus in Plasma, Serum or Urine</w:t>
            </w:r>
          </w:p>
        </w:tc>
      </w:tr>
      <w:tr w:rsidR="003D2C62" w:rsidTr="00D2644D">
        <w:tblPrEx>
          <w:tblBorders>
            <w:bottom w:val="single" w:sz="4" w:space="0" w:color="auto"/>
          </w:tblBorders>
        </w:tblPrEx>
        <w:trPr>
          <w:cantSplit/>
          <w:trHeight w:val="255"/>
        </w:trPr>
        <w:tc>
          <w:tcPr>
            <w:tcW w:w="1800" w:type="dxa"/>
            <w:vMerge/>
            <w:tcBorders>
              <w:left w:val="nil"/>
              <w:bottom w:val="nil"/>
              <w:right w:val="single" w:sz="4" w:space="0" w:color="auto"/>
            </w:tcBorders>
          </w:tcPr>
          <w:p w:rsidR="003D2C62" w:rsidRDefault="003D2C62">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3D2C62" w:rsidRDefault="003D2C62" w:rsidP="00521BA6">
            <w:pPr>
              <w:numPr>
                <w:ilvl w:val="0"/>
                <w:numId w:val="27"/>
              </w:numPr>
              <w:spacing w:after="120"/>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 xml:space="preserve">D. </w:t>
            </w:r>
            <w:proofErr w:type="spellStart"/>
            <w:r>
              <w:rPr>
                <w:rFonts w:cs="Arial"/>
                <w:iCs/>
              </w:rPr>
              <w:t>Helfinstine</w:t>
            </w:r>
            <w:proofErr w:type="spellEnd"/>
            <w:r>
              <w:rPr>
                <w:rFonts w:cs="Arial"/>
                <w:iCs/>
              </w:rPr>
              <w:t>/</w:t>
            </w:r>
            <w:r>
              <w:rPr>
                <w:rFonts w:cs="Arial"/>
              </w:rPr>
              <w:t xml:space="preserve"> L. </w:t>
            </w:r>
            <w:proofErr w:type="spellStart"/>
            <w:r>
              <w:rPr>
                <w:rFonts w:cs="Arial"/>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April 1, 2011</w:t>
            </w:r>
          </w:p>
        </w:tc>
        <w:tc>
          <w:tcPr>
            <w:tcW w:w="423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New Format, Updated package insert information. Renumbered from CH 3.37</w:t>
            </w:r>
          </w:p>
        </w:tc>
      </w:tr>
      <w:tr w:rsidR="003D2C62" w:rsidTr="00D2644D">
        <w:tblPrEx>
          <w:tblBorders>
            <w:bottom w:val="single" w:sz="4" w:space="0" w:color="auto"/>
          </w:tblBorders>
        </w:tblPrEx>
        <w:trPr>
          <w:cantSplit/>
          <w:trHeight w:val="255"/>
        </w:trPr>
        <w:tc>
          <w:tcPr>
            <w:tcW w:w="1800" w:type="dxa"/>
            <w:vMerge/>
            <w:tcBorders>
              <w:left w:val="nil"/>
              <w:bottom w:val="nil"/>
              <w:right w:val="single" w:sz="4" w:space="0" w:color="auto"/>
            </w:tcBorders>
          </w:tcPr>
          <w:p w:rsidR="003D2C62" w:rsidRDefault="003D2C62">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3D2C62" w:rsidRDefault="003D2C62" w:rsidP="00521BA6">
            <w:pPr>
              <w:numPr>
                <w:ilvl w:val="0"/>
                <w:numId w:val="27"/>
              </w:numPr>
              <w:spacing w:after="120"/>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 xml:space="preserve">L. </w:t>
            </w:r>
            <w:proofErr w:type="spellStart"/>
            <w:r>
              <w:rPr>
                <w:rFonts w:cs="Arial"/>
                <w:iCs/>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March 19, 2013</w:t>
            </w:r>
          </w:p>
        </w:tc>
        <w:tc>
          <w:tcPr>
            <w:tcW w:w="423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Clarify maximum dilution reporting, sample preparation</w:t>
            </w:r>
          </w:p>
        </w:tc>
      </w:tr>
      <w:tr w:rsidR="003D2C62" w:rsidTr="00D2644D">
        <w:tblPrEx>
          <w:tblBorders>
            <w:bottom w:val="single" w:sz="4" w:space="0" w:color="auto"/>
          </w:tblBorders>
        </w:tblPrEx>
        <w:trPr>
          <w:cantSplit/>
          <w:trHeight w:val="255"/>
        </w:trPr>
        <w:tc>
          <w:tcPr>
            <w:tcW w:w="1800" w:type="dxa"/>
            <w:vMerge/>
            <w:tcBorders>
              <w:left w:val="nil"/>
              <w:bottom w:val="nil"/>
              <w:right w:val="single" w:sz="4" w:space="0" w:color="auto"/>
            </w:tcBorders>
          </w:tcPr>
          <w:p w:rsidR="003D2C62" w:rsidRDefault="003D2C62">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3D2C62" w:rsidRDefault="003D2C62" w:rsidP="00521BA6">
            <w:pPr>
              <w:numPr>
                <w:ilvl w:val="0"/>
                <w:numId w:val="27"/>
              </w:numPr>
              <w:spacing w:after="120"/>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 xml:space="preserve">L. </w:t>
            </w:r>
            <w:proofErr w:type="spellStart"/>
            <w:r>
              <w:rPr>
                <w:rFonts w:cs="Arial"/>
                <w:iCs/>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12/17/2013</w:t>
            </w:r>
          </w:p>
        </w:tc>
        <w:tc>
          <w:tcPr>
            <w:tcW w:w="423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Siemens CLSI PHOS procedure for Vista, issue date 8/20/2013</w:t>
            </w:r>
          </w:p>
        </w:tc>
      </w:tr>
      <w:tr w:rsidR="003D2C62" w:rsidTr="00D2644D">
        <w:tblPrEx>
          <w:tblBorders>
            <w:bottom w:val="single" w:sz="4" w:space="0" w:color="auto"/>
          </w:tblBorders>
        </w:tblPrEx>
        <w:trPr>
          <w:cantSplit/>
          <w:trHeight w:val="255"/>
        </w:trPr>
        <w:tc>
          <w:tcPr>
            <w:tcW w:w="1800" w:type="dxa"/>
            <w:vMerge/>
            <w:tcBorders>
              <w:left w:val="nil"/>
              <w:bottom w:val="nil"/>
              <w:right w:val="single" w:sz="4" w:space="0" w:color="auto"/>
            </w:tcBorders>
          </w:tcPr>
          <w:p w:rsidR="003D2C62" w:rsidRDefault="003D2C62">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3D2C62" w:rsidRDefault="003D2C62" w:rsidP="00521BA6">
            <w:pPr>
              <w:numPr>
                <w:ilvl w:val="0"/>
                <w:numId w:val="27"/>
              </w:numPr>
              <w:spacing w:after="120"/>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 xml:space="preserve">L. </w:t>
            </w:r>
            <w:proofErr w:type="spellStart"/>
            <w:r>
              <w:rPr>
                <w:rFonts w:cs="Arial"/>
                <w:iCs/>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December 24, 2014</w:t>
            </w:r>
          </w:p>
        </w:tc>
        <w:tc>
          <w:tcPr>
            <w:tcW w:w="423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Revised for Vista</w:t>
            </w:r>
          </w:p>
        </w:tc>
      </w:tr>
      <w:tr w:rsidR="003D2C62" w:rsidTr="00D2644D">
        <w:tblPrEx>
          <w:tblBorders>
            <w:bottom w:val="single" w:sz="4" w:space="0" w:color="auto"/>
          </w:tblBorders>
        </w:tblPrEx>
        <w:trPr>
          <w:cantSplit/>
          <w:trHeight w:val="255"/>
        </w:trPr>
        <w:tc>
          <w:tcPr>
            <w:tcW w:w="1800" w:type="dxa"/>
            <w:vMerge/>
            <w:tcBorders>
              <w:left w:val="nil"/>
              <w:bottom w:val="nil"/>
              <w:right w:val="single" w:sz="4" w:space="0" w:color="auto"/>
            </w:tcBorders>
          </w:tcPr>
          <w:p w:rsidR="003D2C62" w:rsidRDefault="003D2C62">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3D2C62" w:rsidRDefault="003D2C62" w:rsidP="00521BA6">
            <w:pPr>
              <w:numPr>
                <w:ilvl w:val="0"/>
                <w:numId w:val="27"/>
              </w:numPr>
              <w:spacing w:after="120"/>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3D2C62" w:rsidRDefault="003D2C62" w:rsidP="00521BA6">
            <w:pPr>
              <w:spacing w:after="120"/>
              <w:rPr>
                <w:rFonts w:cs="Arial"/>
                <w:iCs/>
              </w:rPr>
            </w:pPr>
            <w:r>
              <w:rPr>
                <w:rFonts w:cs="Arial"/>
                <w:iCs/>
              </w:rPr>
              <w:t xml:space="preserve">L. </w:t>
            </w:r>
            <w:proofErr w:type="spellStart"/>
            <w:r>
              <w:rPr>
                <w:rFonts w:cs="Arial"/>
                <w:iCs/>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3D2C62" w:rsidRDefault="00D05911" w:rsidP="00521BA6">
            <w:pPr>
              <w:spacing w:after="120"/>
              <w:rPr>
                <w:rFonts w:cs="Arial"/>
                <w:iCs/>
              </w:rPr>
            </w:pPr>
            <w:r>
              <w:rPr>
                <w:rFonts w:cs="Arial"/>
                <w:iCs/>
              </w:rPr>
              <w:t>July 6, 2016</w:t>
            </w:r>
          </w:p>
        </w:tc>
        <w:tc>
          <w:tcPr>
            <w:tcW w:w="4230" w:type="dxa"/>
            <w:tcBorders>
              <w:top w:val="single" w:sz="4" w:space="0" w:color="auto"/>
              <w:left w:val="single" w:sz="4" w:space="0" w:color="auto"/>
              <w:bottom w:val="single" w:sz="4" w:space="0" w:color="auto"/>
              <w:right w:val="single" w:sz="4" w:space="0" w:color="auto"/>
            </w:tcBorders>
          </w:tcPr>
          <w:p w:rsidR="00D05911" w:rsidRDefault="003D2C62" w:rsidP="00521BA6">
            <w:pPr>
              <w:spacing w:after="120"/>
              <w:rPr>
                <w:rFonts w:cs="Arial"/>
                <w:iCs/>
              </w:rPr>
            </w:pPr>
            <w:r>
              <w:rPr>
                <w:rFonts w:cs="Arial"/>
                <w:iCs/>
              </w:rPr>
              <w:t>Phosphorus configured on RXL as backup</w:t>
            </w:r>
            <w:r w:rsidR="00521BA6">
              <w:rPr>
                <w:rFonts w:cs="Arial"/>
                <w:iCs/>
              </w:rPr>
              <w:t xml:space="preserve">. </w:t>
            </w:r>
            <w:r w:rsidR="00D05911">
              <w:rPr>
                <w:rFonts w:cs="Arial"/>
                <w:iCs/>
              </w:rPr>
              <w:t>Revised reference ranges</w:t>
            </w:r>
          </w:p>
        </w:tc>
      </w:tr>
      <w:tr w:rsidR="00E225EB" w:rsidTr="00D2644D">
        <w:tblPrEx>
          <w:tblBorders>
            <w:bottom w:val="single" w:sz="4" w:space="0" w:color="auto"/>
          </w:tblBorders>
        </w:tblPrEx>
        <w:trPr>
          <w:cantSplit/>
          <w:trHeight w:val="255"/>
        </w:trPr>
        <w:tc>
          <w:tcPr>
            <w:tcW w:w="1800" w:type="dxa"/>
            <w:vMerge/>
            <w:tcBorders>
              <w:left w:val="nil"/>
              <w:bottom w:val="nil"/>
              <w:right w:val="single" w:sz="4" w:space="0" w:color="auto"/>
            </w:tcBorders>
          </w:tcPr>
          <w:p w:rsidR="00E225EB" w:rsidRDefault="00E225EB">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E225EB" w:rsidRDefault="00E225EB" w:rsidP="00521BA6">
            <w:pPr>
              <w:numPr>
                <w:ilvl w:val="0"/>
                <w:numId w:val="27"/>
              </w:numPr>
              <w:spacing w:after="120"/>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E225EB" w:rsidRDefault="00E225EB" w:rsidP="00521BA6">
            <w:pPr>
              <w:spacing w:after="120"/>
              <w:rPr>
                <w:rFonts w:cs="Arial"/>
                <w:iCs/>
              </w:rPr>
            </w:pPr>
            <w:r>
              <w:rPr>
                <w:rFonts w:cs="Arial"/>
                <w:iCs/>
              </w:rPr>
              <w:t xml:space="preserve">E. </w:t>
            </w:r>
            <w:proofErr w:type="spellStart"/>
            <w:r>
              <w:rPr>
                <w:rFonts w:cs="Arial"/>
                <w:iCs/>
              </w:rPr>
              <w:t>Bartos</w:t>
            </w:r>
            <w:proofErr w:type="spellEnd"/>
          </w:p>
        </w:tc>
        <w:tc>
          <w:tcPr>
            <w:tcW w:w="1980" w:type="dxa"/>
            <w:tcBorders>
              <w:top w:val="single" w:sz="4" w:space="0" w:color="auto"/>
              <w:left w:val="single" w:sz="4" w:space="0" w:color="auto"/>
              <w:bottom w:val="single" w:sz="4" w:space="0" w:color="auto"/>
              <w:right w:val="single" w:sz="4" w:space="0" w:color="auto"/>
            </w:tcBorders>
          </w:tcPr>
          <w:p w:rsidR="00E225EB" w:rsidRDefault="00E225EB" w:rsidP="00521BA6">
            <w:pPr>
              <w:spacing w:after="120"/>
              <w:rPr>
                <w:rFonts w:cs="Arial"/>
                <w:iCs/>
              </w:rPr>
            </w:pPr>
            <w:r>
              <w:rPr>
                <w:rFonts w:cs="Arial"/>
                <w:iCs/>
              </w:rPr>
              <w:t>Sept. 19, 2017</w:t>
            </w:r>
          </w:p>
        </w:tc>
        <w:tc>
          <w:tcPr>
            <w:tcW w:w="4230" w:type="dxa"/>
            <w:tcBorders>
              <w:top w:val="single" w:sz="4" w:space="0" w:color="auto"/>
              <w:left w:val="single" w:sz="4" w:space="0" w:color="auto"/>
              <w:bottom w:val="single" w:sz="4" w:space="0" w:color="auto"/>
              <w:right w:val="single" w:sz="4" w:space="0" w:color="auto"/>
            </w:tcBorders>
          </w:tcPr>
          <w:p w:rsidR="00E225EB" w:rsidRDefault="00E225EB" w:rsidP="00521BA6">
            <w:pPr>
              <w:spacing w:after="120"/>
              <w:rPr>
                <w:rFonts w:cs="Arial"/>
                <w:iCs/>
              </w:rPr>
            </w:pPr>
            <w:r>
              <w:rPr>
                <w:rFonts w:cs="Arial"/>
                <w:iCs/>
              </w:rPr>
              <w:t>Removed acidification of urine, added references.</w:t>
            </w:r>
          </w:p>
        </w:tc>
      </w:tr>
      <w:tr w:rsidR="003D2C62" w:rsidTr="00521BA6">
        <w:tblPrEx>
          <w:tblBorders>
            <w:bottom w:val="single" w:sz="4" w:space="0" w:color="auto"/>
          </w:tblBorders>
        </w:tblPrEx>
        <w:trPr>
          <w:cantSplit/>
          <w:trHeight w:val="341"/>
        </w:trPr>
        <w:tc>
          <w:tcPr>
            <w:tcW w:w="1800" w:type="dxa"/>
            <w:vMerge/>
            <w:tcBorders>
              <w:left w:val="nil"/>
              <w:bottom w:val="nil"/>
              <w:right w:val="nil"/>
            </w:tcBorders>
          </w:tcPr>
          <w:p w:rsidR="003D2C62" w:rsidRDefault="003D2C62">
            <w:pPr>
              <w:rPr>
                <w:rFonts w:cs="Arial"/>
                <w:b/>
                <w:bCs/>
                <w:color w:val="3366FF"/>
              </w:rPr>
            </w:pPr>
          </w:p>
        </w:tc>
        <w:tc>
          <w:tcPr>
            <w:tcW w:w="9360" w:type="dxa"/>
            <w:gridSpan w:val="4"/>
            <w:tcBorders>
              <w:top w:val="single" w:sz="4" w:space="0" w:color="auto"/>
              <w:left w:val="nil"/>
              <w:bottom w:val="single" w:sz="18" w:space="0" w:color="A6A6A6"/>
              <w:right w:val="nil"/>
            </w:tcBorders>
            <w:vAlign w:val="center"/>
          </w:tcPr>
          <w:p w:rsidR="003D2C62" w:rsidRDefault="003D2C62" w:rsidP="00521BA6">
            <w:pPr>
              <w:rPr>
                <w:rFonts w:cs="Arial"/>
                <w:iCs/>
              </w:rPr>
            </w:pPr>
          </w:p>
        </w:tc>
      </w:tr>
    </w:tbl>
    <w:p w:rsidR="00B00268" w:rsidRDefault="00B00268">
      <w:pPr>
        <w:rPr>
          <w:rFonts w:cs="Arial"/>
        </w:rPr>
      </w:pPr>
    </w:p>
    <w:sectPr w:rsidR="00B00268" w:rsidSect="00C8744C">
      <w:headerReference w:type="default" r:id="rId13"/>
      <w:footerReference w:type="default" r:id="rId14"/>
      <w:pgSz w:w="12240" w:h="15840" w:code="1"/>
      <w:pgMar w:top="576" w:right="1800" w:bottom="432"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C79" w:rsidRDefault="004C4C79">
      <w:r>
        <w:separator/>
      </w:r>
    </w:p>
  </w:endnote>
  <w:endnote w:type="continuationSeparator" w:id="0">
    <w:p w:rsidR="004C4C79" w:rsidRDefault="004C4C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HelenPro-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79" w:rsidRPr="004B281A" w:rsidRDefault="004C4C79" w:rsidP="004B281A">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6"/>
      </w:rPr>
      <w:t xml:space="preserve">Page </w:t>
    </w:r>
    <w:r>
      <w:rPr>
        <w:sz w:val="16"/>
      </w:rPr>
      <w:fldChar w:fldCharType="begin"/>
    </w:r>
    <w:r>
      <w:rPr>
        <w:sz w:val="16"/>
      </w:rPr>
      <w:instrText xml:space="preserve"> PAGE </w:instrText>
    </w:r>
    <w:r>
      <w:rPr>
        <w:sz w:val="16"/>
      </w:rPr>
      <w:fldChar w:fldCharType="separate"/>
    </w:r>
    <w:r w:rsidR="00E225EB">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E225EB">
      <w:rPr>
        <w:noProof/>
        <w:sz w:val="16"/>
      </w:rPr>
      <w:t>9</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C79" w:rsidRDefault="004C4C79">
      <w:r>
        <w:separator/>
      </w:r>
    </w:p>
  </w:footnote>
  <w:footnote w:type="continuationSeparator" w:id="0">
    <w:p w:rsidR="004C4C79" w:rsidRDefault="004C4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79" w:rsidRDefault="004C4C79">
    <w:pPr>
      <w:ind w:left="-1260" w:right="-1260"/>
      <w:rPr>
        <w:rFonts w:cs="Arial"/>
        <w:sz w:val="18"/>
      </w:rPr>
    </w:pPr>
    <w:r>
      <w:rPr>
        <w:rFonts w:cs="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6.75pt;margin-top:-7.2pt;width:84.95pt;height:27.45pt;z-index:251657728">
          <v:imagedata r:id="rId1" o:title="Childrens_MN_2015_logo_RGB_of_PMS280-PMS2925_800x257"/>
        </v:shape>
      </w:pict>
    </w:r>
    <w:r>
      <w:rPr>
        <w:rFonts w:cs="Arial"/>
        <w:sz w:val="18"/>
      </w:rPr>
      <w:t>CH 6.65 Phosphorus in Plasma/Serum or Urine</w:t>
    </w:r>
  </w:p>
  <w:p w:rsidR="004C4C79" w:rsidRDefault="004C4C79">
    <w:pPr>
      <w:ind w:left="-1260" w:right="-1260"/>
      <w:rPr>
        <w:rFonts w:cs="Arial"/>
        <w:sz w:val="18"/>
      </w:rPr>
    </w:pPr>
    <w:r>
      <w:rPr>
        <w:rFonts w:cs="Arial"/>
        <w:sz w:val="18"/>
      </w:rPr>
      <w:t>Version 10</w:t>
    </w:r>
  </w:p>
  <w:p w:rsidR="004C4C79" w:rsidRDefault="004C4C79">
    <w:pPr>
      <w:ind w:left="-1260" w:right="-1260"/>
      <w:rPr>
        <w:rFonts w:cs="Arial"/>
        <w:sz w:val="18"/>
      </w:rPr>
    </w:pPr>
    <w:r>
      <w:rPr>
        <w:rFonts w:cs="Arial"/>
        <w:sz w:val="18"/>
      </w:rPr>
      <w:t>Effective Date: September 19, 2017</w:t>
    </w:r>
  </w:p>
  <w:p w:rsidR="004C4C79" w:rsidRDefault="004C4C79">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1D3"/>
    <w:multiLevelType w:val="hybridMultilevel"/>
    <w:tmpl w:val="FCDC39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0F32ABA"/>
    <w:multiLevelType w:val="hybridMultilevel"/>
    <w:tmpl w:val="DDE2C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18216AF"/>
    <w:multiLevelType w:val="hybridMultilevel"/>
    <w:tmpl w:val="D974E19C"/>
    <w:lvl w:ilvl="0" w:tplc="BDC009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3B3C1A"/>
    <w:multiLevelType w:val="hybridMultilevel"/>
    <w:tmpl w:val="FB36F8B8"/>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B3085D"/>
    <w:multiLevelType w:val="hybridMultilevel"/>
    <w:tmpl w:val="27EE2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4462B9"/>
    <w:multiLevelType w:val="hybridMultilevel"/>
    <w:tmpl w:val="19DC6F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B30913"/>
    <w:multiLevelType w:val="multilevel"/>
    <w:tmpl w:val="253490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F362220"/>
    <w:multiLevelType w:val="hybridMultilevel"/>
    <w:tmpl w:val="11869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2D2319"/>
    <w:multiLevelType w:val="hybridMultilevel"/>
    <w:tmpl w:val="44B64A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3E84180"/>
    <w:multiLevelType w:val="hybridMultilevel"/>
    <w:tmpl w:val="FA86A266"/>
    <w:lvl w:ilvl="0" w:tplc="C1D233E8">
      <w:start w:val="1"/>
      <w:numFmt w:val="bullet"/>
      <w:lvlText w:val=""/>
      <w:lvlJc w:val="left"/>
      <w:pPr>
        <w:tabs>
          <w:tab w:val="num" w:pos="495"/>
        </w:tabs>
        <w:ind w:left="49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EA2F71"/>
    <w:multiLevelType w:val="hybridMultilevel"/>
    <w:tmpl w:val="92CC2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6D61E47"/>
    <w:multiLevelType w:val="hybridMultilevel"/>
    <w:tmpl w:val="814A5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AAC4344"/>
    <w:multiLevelType w:val="hybridMultilevel"/>
    <w:tmpl w:val="50E621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3743CB"/>
    <w:multiLevelType w:val="hybridMultilevel"/>
    <w:tmpl w:val="F61AF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F46C2D"/>
    <w:multiLevelType w:val="hybridMultilevel"/>
    <w:tmpl w:val="AB742A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BCD62D5"/>
    <w:multiLevelType w:val="hybridMultilevel"/>
    <w:tmpl w:val="91DC1AF6"/>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91356B"/>
    <w:multiLevelType w:val="hybridMultilevel"/>
    <w:tmpl w:val="18CEFA84"/>
    <w:lvl w:ilvl="0" w:tplc="7204994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A06E88"/>
    <w:multiLevelType w:val="hybridMultilevel"/>
    <w:tmpl w:val="6A64F8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FE00D87"/>
    <w:multiLevelType w:val="hybridMultilevel"/>
    <w:tmpl w:val="40542192"/>
    <w:lvl w:ilvl="0" w:tplc="C1D233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4">
    <w:nsid w:val="50DC4FE8"/>
    <w:multiLevelType w:val="hybridMultilevel"/>
    <w:tmpl w:val="94DE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3B3920"/>
    <w:multiLevelType w:val="hybridMultilevel"/>
    <w:tmpl w:val="A5842E28"/>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995DA5"/>
    <w:multiLevelType w:val="hybridMultilevel"/>
    <w:tmpl w:val="2788F8A8"/>
    <w:lvl w:ilvl="0" w:tplc="12A23B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A46886"/>
    <w:multiLevelType w:val="hybridMultilevel"/>
    <w:tmpl w:val="BDEA754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9CC4284"/>
    <w:multiLevelType w:val="hybridMultilevel"/>
    <w:tmpl w:val="5276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B0202"/>
    <w:multiLevelType w:val="hybridMultilevel"/>
    <w:tmpl w:val="71C8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152869"/>
    <w:multiLevelType w:val="hybridMultilevel"/>
    <w:tmpl w:val="0DCA3E58"/>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8D3A5A"/>
    <w:multiLevelType w:val="hybridMultilevel"/>
    <w:tmpl w:val="B358D93C"/>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ED50D0"/>
    <w:multiLevelType w:val="hybridMultilevel"/>
    <w:tmpl w:val="E3B05D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72C420F"/>
    <w:multiLevelType w:val="hybridMultilevel"/>
    <w:tmpl w:val="0A3E3960"/>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347D3D"/>
    <w:multiLevelType w:val="hybridMultilevel"/>
    <w:tmpl w:val="DD06B7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FF3C46"/>
    <w:multiLevelType w:val="hybridMultilevel"/>
    <w:tmpl w:val="1D500A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51A2936"/>
    <w:multiLevelType w:val="hybridMultilevel"/>
    <w:tmpl w:val="7DB4D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53050"/>
    <w:multiLevelType w:val="hybridMultilevel"/>
    <w:tmpl w:val="30EC2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7084BEC"/>
    <w:multiLevelType w:val="hybridMultilevel"/>
    <w:tmpl w:val="5A3C38FC"/>
    <w:lvl w:ilvl="0" w:tplc="13F28968">
      <w:start w:val="1"/>
      <w:numFmt w:val="bullet"/>
      <w:lvlText w:val=""/>
      <w:lvlJc w:val="left"/>
      <w:pPr>
        <w:tabs>
          <w:tab w:val="num" w:pos="288"/>
        </w:tabs>
        <w:ind w:left="288" w:hanging="360"/>
      </w:pPr>
      <w:rPr>
        <w:rFonts w:ascii="Symbol" w:hAnsi="Symbol" w:hint="default"/>
        <w:color w:val="auto"/>
      </w:rPr>
    </w:lvl>
    <w:lvl w:ilvl="1" w:tplc="04090003" w:tentative="1">
      <w:start w:val="1"/>
      <w:numFmt w:val="bullet"/>
      <w:lvlText w:val="o"/>
      <w:lvlJc w:val="left"/>
      <w:pPr>
        <w:tabs>
          <w:tab w:val="num" w:pos="-585"/>
        </w:tabs>
        <w:ind w:left="-585" w:hanging="360"/>
      </w:pPr>
      <w:rPr>
        <w:rFonts w:ascii="Courier New" w:hAnsi="Courier New" w:hint="default"/>
      </w:rPr>
    </w:lvl>
    <w:lvl w:ilvl="2" w:tplc="04090005" w:tentative="1">
      <w:start w:val="1"/>
      <w:numFmt w:val="bullet"/>
      <w:lvlText w:val=""/>
      <w:lvlJc w:val="left"/>
      <w:pPr>
        <w:tabs>
          <w:tab w:val="num" w:pos="135"/>
        </w:tabs>
        <w:ind w:left="135" w:hanging="360"/>
      </w:pPr>
      <w:rPr>
        <w:rFonts w:ascii="Wingdings" w:hAnsi="Wingdings" w:hint="default"/>
      </w:rPr>
    </w:lvl>
    <w:lvl w:ilvl="3" w:tplc="04090001" w:tentative="1">
      <w:start w:val="1"/>
      <w:numFmt w:val="bullet"/>
      <w:lvlText w:val=""/>
      <w:lvlJc w:val="left"/>
      <w:pPr>
        <w:tabs>
          <w:tab w:val="num" w:pos="855"/>
        </w:tabs>
        <w:ind w:left="855" w:hanging="360"/>
      </w:pPr>
      <w:rPr>
        <w:rFonts w:ascii="Symbol" w:hAnsi="Symbol" w:hint="default"/>
      </w:rPr>
    </w:lvl>
    <w:lvl w:ilvl="4" w:tplc="04090003" w:tentative="1">
      <w:start w:val="1"/>
      <w:numFmt w:val="bullet"/>
      <w:lvlText w:val="o"/>
      <w:lvlJc w:val="left"/>
      <w:pPr>
        <w:tabs>
          <w:tab w:val="num" w:pos="1575"/>
        </w:tabs>
        <w:ind w:left="1575" w:hanging="360"/>
      </w:pPr>
      <w:rPr>
        <w:rFonts w:ascii="Courier New" w:hAnsi="Courier New" w:hint="default"/>
      </w:rPr>
    </w:lvl>
    <w:lvl w:ilvl="5" w:tplc="04090005" w:tentative="1">
      <w:start w:val="1"/>
      <w:numFmt w:val="bullet"/>
      <w:lvlText w:val=""/>
      <w:lvlJc w:val="left"/>
      <w:pPr>
        <w:tabs>
          <w:tab w:val="num" w:pos="2295"/>
        </w:tabs>
        <w:ind w:left="2295" w:hanging="360"/>
      </w:pPr>
      <w:rPr>
        <w:rFonts w:ascii="Wingdings" w:hAnsi="Wingdings" w:hint="default"/>
      </w:rPr>
    </w:lvl>
    <w:lvl w:ilvl="6" w:tplc="04090001" w:tentative="1">
      <w:start w:val="1"/>
      <w:numFmt w:val="bullet"/>
      <w:lvlText w:val=""/>
      <w:lvlJc w:val="left"/>
      <w:pPr>
        <w:tabs>
          <w:tab w:val="num" w:pos="3015"/>
        </w:tabs>
        <w:ind w:left="3015" w:hanging="360"/>
      </w:pPr>
      <w:rPr>
        <w:rFonts w:ascii="Symbol" w:hAnsi="Symbol" w:hint="default"/>
      </w:rPr>
    </w:lvl>
    <w:lvl w:ilvl="7" w:tplc="04090003" w:tentative="1">
      <w:start w:val="1"/>
      <w:numFmt w:val="bullet"/>
      <w:lvlText w:val="o"/>
      <w:lvlJc w:val="left"/>
      <w:pPr>
        <w:tabs>
          <w:tab w:val="num" w:pos="3735"/>
        </w:tabs>
        <w:ind w:left="3735" w:hanging="360"/>
      </w:pPr>
      <w:rPr>
        <w:rFonts w:ascii="Courier New" w:hAnsi="Courier New" w:hint="default"/>
      </w:rPr>
    </w:lvl>
    <w:lvl w:ilvl="8" w:tplc="04090005" w:tentative="1">
      <w:start w:val="1"/>
      <w:numFmt w:val="bullet"/>
      <w:lvlText w:val=""/>
      <w:lvlJc w:val="left"/>
      <w:pPr>
        <w:tabs>
          <w:tab w:val="num" w:pos="4455"/>
        </w:tabs>
        <w:ind w:left="4455" w:hanging="360"/>
      </w:pPr>
      <w:rPr>
        <w:rFonts w:ascii="Wingdings" w:hAnsi="Wingdings" w:hint="default"/>
      </w:rPr>
    </w:lvl>
  </w:abstractNum>
  <w:num w:numId="1">
    <w:abstractNumId w:val="5"/>
  </w:num>
  <w:num w:numId="2">
    <w:abstractNumId w:val="12"/>
  </w:num>
  <w:num w:numId="3">
    <w:abstractNumId w:val="28"/>
  </w:num>
  <w:num w:numId="4">
    <w:abstractNumId w:val="7"/>
  </w:num>
  <w:num w:numId="5">
    <w:abstractNumId w:val="26"/>
  </w:num>
  <w:num w:numId="6">
    <w:abstractNumId w:val="31"/>
  </w:num>
  <w:num w:numId="7">
    <w:abstractNumId w:val="36"/>
  </w:num>
  <w:num w:numId="8">
    <w:abstractNumId w:val="8"/>
  </w:num>
  <w:num w:numId="9">
    <w:abstractNumId w:val="33"/>
  </w:num>
  <w:num w:numId="10">
    <w:abstractNumId w:val="22"/>
  </w:num>
  <w:num w:numId="11">
    <w:abstractNumId w:val="20"/>
  </w:num>
  <w:num w:numId="12">
    <w:abstractNumId w:val="9"/>
  </w:num>
  <w:num w:numId="13">
    <w:abstractNumId w:val="11"/>
  </w:num>
  <w:num w:numId="14">
    <w:abstractNumId w:val="35"/>
  </w:num>
  <w:num w:numId="15">
    <w:abstractNumId w:val="34"/>
  </w:num>
  <w:num w:numId="16">
    <w:abstractNumId w:val="2"/>
  </w:num>
  <w:num w:numId="17">
    <w:abstractNumId w:val="15"/>
  </w:num>
  <w:num w:numId="18">
    <w:abstractNumId w:val="13"/>
  </w:num>
  <w:num w:numId="19">
    <w:abstractNumId w:val="23"/>
  </w:num>
  <w:num w:numId="20">
    <w:abstractNumId w:val="39"/>
  </w:num>
  <w:num w:numId="21">
    <w:abstractNumId w:val="14"/>
  </w:num>
  <w:num w:numId="22">
    <w:abstractNumId w:val="18"/>
  </w:num>
  <w:num w:numId="23">
    <w:abstractNumId w:val="0"/>
  </w:num>
  <w:num w:numId="24">
    <w:abstractNumId w:val="32"/>
  </w:num>
  <w:num w:numId="25">
    <w:abstractNumId w:val="19"/>
  </w:num>
  <w:num w:numId="26">
    <w:abstractNumId w:val="25"/>
  </w:num>
  <w:num w:numId="27">
    <w:abstractNumId w:val="6"/>
  </w:num>
  <w:num w:numId="28">
    <w:abstractNumId w:val="27"/>
  </w:num>
  <w:num w:numId="29">
    <w:abstractNumId w:val="16"/>
  </w:num>
  <w:num w:numId="30">
    <w:abstractNumId w:val="10"/>
  </w:num>
  <w:num w:numId="31">
    <w:abstractNumId w:val="3"/>
  </w:num>
  <w:num w:numId="32">
    <w:abstractNumId w:val="29"/>
  </w:num>
  <w:num w:numId="33">
    <w:abstractNumId w:val="1"/>
  </w:num>
  <w:num w:numId="34">
    <w:abstractNumId w:val="24"/>
  </w:num>
  <w:num w:numId="35">
    <w:abstractNumId w:val="21"/>
  </w:num>
  <w:num w:numId="36">
    <w:abstractNumId w:val="38"/>
  </w:num>
  <w:num w:numId="37">
    <w:abstractNumId w:val="30"/>
  </w:num>
  <w:num w:numId="38">
    <w:abstractNumId w:val="37"/>
  </w:num>
  <w:num w:numId="39">
    <w:abstractNumId w:val="17"/>
  </w:num>
  <w:num w:numId="40">
    <w:abstractNumId w:val="4"/>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oNotTrackMoves/>
  <w:defaultTabStop w:val="720"/>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8BA"/>
    <w:rsid w:val="0002006F"/>
    <w:rsid w:val="00026818"/>
    <w:rsid w:val="00027BAF"/>
    <w:rsid w:val="00064A45"/>
    <w:rsid w:val="000C19A6"/>
    <w:rsid w:val="00115906"/>
    <w:rsid w:val="00131052"/>
    <w:rsid w:val="0015185B"/>
    <w:rsid w:val="00165172"/>
    <w:rsid w:val="0018120F"/>
    <w:rsid w:val="001A0262"/>
    <w:rsid w:val="001D0C86"/>
    <w:rsid w:val="002211A7"/>
    <w:rsid w:val="00262CF2"/>
    <w:rsid w:val="002E2E27"/>
    <w:rsid w:val="00305327"/>
    <w:rsid w:val="003420F0"/>
    <w:rsid w:val="00362E3D"/>
    <w:rsid w:val="00395FA0"/>
    <w:rsid w:val="003B37D4"/>
    <w:rsid w:val="003B7EAE"/>
    <w:rsid w:val="003D2C62"/>
    <w:rsid w:val="003F07C7"/>
    <w:rsid w:val="004034CB"/>
    <w:rsid w:val="004038BA"/>
    <w:rsid w:val="00417F6E"/>
    <w:rsid w:val="00422F71"/>
    <w:rsid w:val="004468E2"/>
    <w:rsid w:val="00487F87"/>
    <w:rsid w:val="004A1B60"/>
    <w:rsid w:val="004A6B9D"/>
    <w:rsid w:val="004A73E9"/>
    <w:rsid w:val="004B281A"/>
    <w:rsid w:val="004B33E4"/>
    <w:rsid w:val="004C4C79"/>
    <w:rsid w:val="00521BA6"/>
    <w:rsid w:val="005248A1"/>
    <w:rsid w:val="0055325A"/>
    <w:rsid w:val="005621C0"/>
    <w:rsid w:val="0056573C"/>
    <w:rsid w:val="0058083A"/>
    <w:rsid w:val="005A6FB3"/>
    <w:rsid w:val="005C4C5B"/>
    <w:rsid w:val="005C63D7"/>
    <w:rsid w:val="006027B3"/>
    <w:rsid w:val="00613D5B"/>
    <w:rsid w:val="006233F7"/>
    <w:rsid w:val="00684697"/>
    <w:rsid w:val="006C6C61"/>
    <w:rsid w:val="006E268B"/>
    <w:rsid w:val="006E7572"/>
    <w:rsid w:val="00725C69"/>
    <w:rsid w:val="0075539C"/>
    <w:rsid w:val="00761EE8"/>
    <w:rsid w:val="007639EB"/>
    <w:rsid w:val="007D603C"/>
    <w:rsid w:val="007E1014"/>
    <w:rsid w:val="00805947"/>
    <w:rsid w:val="00815666"/>
    <w:rsid w:val="00896884"/>
    <w:rsid w:val="008B0F46"/>
    <w:rsid w:val="008C0BBB"/>
    <w:rsid w:val="008C17C4"/>
    <w:rsid w:val="008D565F"/>
    <w:rsid w:val="00900518"/>
    <w:rsid w:val="00907FEB"/>
    <w:rsid w:val="00983A12"/>
    <w:rsid w:val="009F21F2"/>
    <w:rsid w:val="00A21575"/>
    <w:rsid w:val="00A36920"/>
    <w:rsid w:val="00A71915"/>
    <w:rsid w:val="00A833CB"/>
    <w:rsid w:val="00AA3B28"/>
    <w:rsid w:val="00AC1880"/>
    <w:rsid w:val="00AC2EC1"/>
    <w:rsid w:val="00AD5F53"/>
    <w:rsid w:val="00AE086F"/>
    <w:rsid w:val="00AE795E"/>
    <w:rsid w:val="00B00268"/>
    <w:rsid w:val="00B16236"/>
    <w:rsid w:val="00B25AE2"/>
    <w:rsid w:val="00B47E93"/>
    <w:rsid w:val="00B5767A"/>
    <w:rsid w:val="00BA10A1"/>
    <w:rsid w:val="00BB5B30"/>
    <w:rsid w:val="00BE7CE5"/>
    <w:rsid w:val="00C14698"/>
    <w:rsid w:val="00C56BDD"/>
    <w:rsid w:val="00C577E4"/>
    <w:rsid w:val="00C64C2F"/>
    <w:rsid w:val="00C8744C"/>
    <w:rsid w:val="00CA6C54"/>
    <w:rsid w:val="00CD6185"/>
    <w:rsid w:val="00CE319B"/>
    <w:rsid w:val="00D024CB"/>
    <w:rsid w:val="00D05911"/>
    <w:rsid w:val="00D136C7"/>
    <w:rsid w:val="00D23634"/>
    <w:rsid w:val="00D2644D"/>
    <w:rsid w:val="00D4786B"/>
    <w:rsid w:val="00D631B9"/>
    <w:rsid w:val="00D921AE"/>
    <w:rsid w:val="00D96173"/>
    <w:rsid w:val="00DC252D"/>
    <w:rsid w:val="00DC52B1"/>
    <w:rsid w:val="00E22299"/>
    <w:rsid w:val="00E225EB"/>
    <w:rsid w:val="00E5168A"/>
    <w:rsid w:val="00E70858"/>
    <w:rsid w:val="00FC66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44C"/>
    <w:rPr>
      <w:rFonts w:ascii="Arial" w:hAnsi="Arial"/>
      <w:szCs w:val="24"/>
    </w:rPr>
  </w:style>
  <w:style w:type="paragraph" w:styleId="Heading1">
    <w:name w:val="heading 1"/>
    <w:basedOn w:val="Normal"/>
    <w:next w:val="Normal"/>
    <w:qFormat/>
    <w:rsid w:val="00C8744C"/>
    <w:pPr>
      <w:keepNext/>
      <w:numPr>
        <w:numId w:val="16"/>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C8744C"/>
    <w:pPr>
      <w:keepNext/>
      <w:numPr>
        <w:ilvl w:val="1"/>
        <w:numId w:val="16"/>
      </w:numPr>
      <w:jc w:val="both"/>
      <w:outlineLvl w:val="1"/>
    </w:pPr>
    <w:rPr>
      <w:rFonts w:ascii="Times New Roman" w:hAnsi="Times New Roman" w:cs="Arial"/>
      <w:b/>
      <w:bCs/>
      <w:iCs/>
      <w:sz w:val="24"/>
      <w:szCs w:val="28"/>
    </w:rPr>
  </w:style>
  <w:style w:type="paragraph" w:styleId="Heading3">
    <w:name w:val="heading 3"/>
    <w:basedOn w:val="Normal"/>
    <w:next w:val="Normal"/>
    <w:qFormat/>
    <w:rsid w:val="00C8744C"/>
    <w:pPr>
      <w:keepNext/>
      <w:numPr>
        <w:ilvl w:val="2"/>
        <w:numId w:val="16"/>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C8744C"/>
    <w:pPr>
      <w:keepNext/>
      <w:numPr>
        <w:ilvl w:val="3"/>
        <w:numId w:val="16"/>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C8744C"/>
    <w:pPr>
      <w:keepNext/>
      <w:numPr>
        <w:ilvl w:val="4"/>
        <w:numId w:val="16"/>
      </w:numPr>
      <w:spacing w:before="20"/>
      <w:jc w:val="both"/>
      <w:outlineLvl w:val="4"/>
    </w:pPr>
    <w:rPr>
      <w:rFonts w:ascii="Times New Roman" w:hAnsi="Times New Roman"/>
      <w:sz w:val="22"/>
    </w:rPr>
  </w:style>
  <w:style w:type="paragraph" w:styleId="Heading6">
    <w:name w:val="heading 6"/>
    <w:basedOn w:val="Normal"/>
    <w:next w:val="Normal"/>
    <w:qFormat/>
    <w:rsid w:val="00C8744C"/>
    <w:pPr>
      <w:keepNext/>
      <w:numPr>
        <w:ilvl w:val="5"/>
        <w:numId w:val="16"/>
      </w:numPr>
      <w:jc w:val="both"/>
      <w:outlineLvl w:val="5"/>
    </w:pPr>
    <w:rPr>
      <w:rFonts w:ascii="Times New Roman" w:hAnsi="Times New Roman"/>
      <w:b/>
      <w:bCs/>
      <w:sz w:val="18"/>
    </w:rPr>
  </w:style>
  <w:style w:type="paragraph" w:styleId="Heading7">
    <w:name w:val="heading 7"/>
    <w:basedOn w:val="Normal"/>
    <w:next w:val="Normal"/>
    <w:qFormat/>
    <w:rsid w:val="00C8744C"/>
    <w:pPr>
      <w:keepNext/>
      <w:numPr>
        <w:ilvl w:val="6"/>
        <w:numId w:val="16"/>
      </w:numPr>
      <w:jc w:val="both"/>
      <w:outlineLvl w:val="6"/>
    </w:pPr>
    <w:rPr>
      <w:rFonts w:ascii="Times New Roman" w:hAnsi="Times New Roman"/>
      <w:sz w:val="28"/>
    </w:rPr>
  </w:style>
  <w:style w:type="paragraph" w:styleId="Heading8">
    <w:name w:val="heading 8"/>
    <w:basedOn w:val="Normal"/>
    <w:next w:val="Normal"/>
    <w:qFormat/>
    <w:rsid w:val="00C8744C"/>
    <w:pPr>
      <w:keepNext/>
      <w:numPr>
        <w:ilvl w:val="7"/>
        <w:numId w:val="16"/>
      </w:numPr>
      <w:jc w:val="center"/>
      <w:outlineLvl w:val="7"/>
    </w:pPr>
    <w:rPr>
      <w:rFonts w:ascii="Times New Roman" w:hAnsi="Times New Roman"/>
      <w:b/>
      <w:bCs/>
      <w:sz w:val="22"/>
    </w:rPr>
  </w:style>
  <w:style w:type="paragraph" w:styleId="Heading9">
    <w:name w:val="heading 9"/>
    <w:basedOn w:val="Normal"/>
    <w:next w:val="Normal"/>
    <w:qFormat/>
    <w:rsid w:val="00C8744C"/>
    <w:pPr>
      <w:keepNext/>
      <w:numPr>
        <w:ilvl w:val="8"/>
        <w:numId w:val="16"/>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8744C"/>
    <w:pPr>
      <w:tabs>
        <w:tab w:val="center" w:pos="4320"/>
        <w:tab w:val="right" w:pos="8640"/>
      </w:tabs>
    </w:pPr>
  </w:style>
  <w:style w:type="paragraph" w:styleId="Footer">
    <w:name w:val="footer"/>
    <w:basedOn w:val="Normal"/>
    <w:semiHidden/>
    <w:rsid w:val="00C8744C"/>
    <w:pPr>
      <w:tabs>
        <w:tab w:val="center" w:pos="4320"/>
        <w:tab w:val="right" w:pos="8640"/>
      </w:tabs>
    </w:pPr>
  </w:style>
  <w:style w:type="paragraph" w:customStyle="1" w:styleId="CalVerTable">
    <w:name w:val="CalVerTable"/>
    <w:basedOn w:val="BodyText"/>
    <w:rsid w:val="00C8744C"/>
    <w:pPr>
      <w:spacing w:after="40" w:line="160" w:lineRule="atLeast"/>
      <w:ind w:left="3240" w:hanging="3240"/>
    </w:pPr>
    <w:rPr>
      <w:rFonts w:ascii="Times New Roman" w:hAnsi="Times New Roman"/>
      <w:szCs w:val="20"/>
    </w:rPr>
  </w:style>
  <w:style w:type="paragraph" w:styleId="BodyText">
    <w:name w:val="Body Text"/>
    <w:basedOn w:val="Normal"/>
    <w:semiHidden/>
    <w:rsid w:val="00C8744C"/>
    <w:pPr>
      <w:spacing w:after="120"/>
    </w:pPr>
  </w:style>
  <w:style w:type="paragraph" w:customStyle="1" w:styleId="Reagents">
    <w:name w:val="Reagents"/>
    <w:basedOn w:val="Normal"/>
    <w:rsid w:val="00C8744C"/>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Bullets">
    <w:name w:val="Bullets"/>
    <w:basedOn w:val="Normal"/>
    <w:rsid w:val="00C8744C"/>
    <w:pPr>
      <w:spacing w:after="40" w:line="160" w:lineRule="atLeast"/>
      <w:ind w:left="274" w:hanging="274"/>
    </w:pPr>
    <w:rPr>
      <w:rFonts w:ascii="Times New Roman" w:hAnsi="Times New Roman"/>
      <w:szCs w:val="20"/>
    </w:rPr>
  </w:style>
  <w:style w:type="paragraph" w:styleId="BodyText2">
    <w:name w:val="Body Text 2"/>
    <w:basedOn w:val="Normal"/>
    <w:semiHidden/>
    <w:rsid w:val="00C8744C"/>
    <w:pPr>
      <w:widowControl w:val="0"/>
    </w:pPr>
    <w:rPr>
      <w:rFonts w:cs="Arial"/>
      <w:i/>
      <w:snapToGrid w:val="0"/>
      <w:sz w:val="24"/>
      <w:szCs w:val="20"/>
    </w:rPr>
  </w:style>
  <w:style w:type="paragraph" w:styleId="BodyText3">
    <w:name w:val="Body Text 3"/>
    <w:basedOn w:val="Normal"/>
    <w:semiHidden/>
    <w:rsid w:val="00C8744C"/>
    <w:rPr>
      <w:sz w:val="18"/>
    </w:rPr>
  </w:style>
  <w:style w:type="paragraph" w:customStyle="1" w:styleId="Pa5">
    <w:name w:val="Pa5"/>
    <w:basedOn w:val="Normal"/>
    <w:next w:val="Normal"/>
    <w:uiPriority w:val="99"/>
    <w:rsid w:val="00C8744C"/>
    <w:pPr>
      <w:autoSpaceDE w:val="0"/>
      <w:autoSpaceDN w:val="0"/>
      <w:adjustRightInd w:val="0"/>
      <w:spacing w:line="151" w:lineRule="atLeast"/>
    </w:pPr>
    <w:rPr>
      <w:rFonts w:ascii="Helen Pro Cond" w:hAnsi="Helen Pro Cond"/>
      <w:sz w:val="24"/>
    </w:rPr>
  </w:style>
  <w:style w:type="character" w:customStyle="1" w:styleId="A12">
    <w:name w:val="A12"/>
    <w:rsid w:val="00C8744C"/>
    <w:rPr>
      <w:color w:val="000000"/>
      <w:sz w:val="14"/>
      <w:szCs w:val="14"/>
    </w:rPr>
  </w:style>
  <w:style w:type="paragraph" w:customStyle="1" w:styleId="TableText">
    <w:name w:val="Table Text"/>
    <w:basedOn w:val="Normal"/>
    <w:rsid w:val="00C8744C"/>
    <w:pPr>
      <w:autoSpaceDE w:val="0"/>
      <w:autoSpaceDN w:val="0"/>
    </w:pPr>
    <w:rPr>
      <w:rFonts w:ascii="Times New Roman" w:hAnsi="Times New Roman"/>
    </w:rPr>
  </w:style>
  <w:style w:type="paragraph" w:customStyle="1" w:styleId="Pa4">
    <w:name w:val="Pa4"/>
    <w:basedOn w:val="Normal"/>
    <w:next w:val="Normal"/>
    <w:rsid w:val="00C8744C"/>
    <w:pPr>
      <w:autoSpaceDE w:val="0"/>
      <w:autoSpaceDN w:val="0"/>
      <w:adjustRightInd w:val="0"/>
      <w:spacing w:line="151" w:lineRule="atLeast"/>
    </w:pPr>
    <w:rPr>
      <w:rFonts w:ascii="Helen Pro Cond" w:hAnsi="Helen Pro Cond"/>
      <w:sz w:val="24"/>
    </w:rPr>
  </w:style>
  <w:style w:type="character" w:customStyle="1" w:styleId="A7">
    <w:name w:val="A7"/>
    <w:rsid w:val="00C8744C"/>
    <w:rPr>
      <w:color w:val="000000"/>
      <w:sz w:val="15"/>
      <w:szCs w:val="15"/>
    </w:rPr>
  </w:style>
  <w:style w:type="paragraph" w:customStyle="1" w:styleId="Pa18">
    <w:name w:val="Pa18"/>
    <w:basedOn w:val="Normal"/>
    <w:next w:val="Normal"/>
    <w:rsid w:val="00C8744C"/>
    <w:pPr>
      <w:autoSpaceDE w:val="0"/>
      <w:autoSpaceDN w:val="0"/>
      <w:adjustRightInd w:val="0"/>
      <w:spacing w:line="151" w:lineRule="atLeast"/>
    </w:pPr>
    <w:rPr>
      <w:rFonts w:ascii="Helen Pro Cond" w:hAnsi="Helen Pro Cond"/>
      <w:sz w:val="24"/>
    </w:rPr>
  </w:style>
  <w:style w:type="character" w:customStyle="1" w:styleId="A14">
    <w:name w:val="A14"/>
    <w:rsid w:val="00C8744C"/>
    <w:rPr>
      <w:color w:val="000000"/>
      <w:sz w:val="15"/>
      <w:szCs w:val="15"/>
      <w:u w:val="single"/>
    </w:rPr>
  </w:style>
  <w:style w:type="character" w:customStyle="1" w:styleId="A10">
    <w:name w:val="A10"/>
    <w:uiPriority w:val="99"/>
    <w:rsid w:val="00C8744C"/>
    <w:rPr>
      <w:color w:val="000000"/>
      <w:sz w:val="15"/>
      <w:szCs w:val="15"/>
    </w:rPr>
  </w:style>
  <w:style w:type="paragraph" w:customStyle="1" w:styleId="Default">
    <w:name w:val="Default"/>
    <w:rsid w:val="00C8744C"/>
    <w:pPr>
      <w:autoSpaceDE w:val="0"/>
      <w:autoSpaceDN w:val="0"/>
      <w:adjustRightInd w:val="0"/>
    </w:pPr>
    <w:rPr>
      <w:rFonts w:ascii="Helen Pro Cond" w:hAnsi="Helen Pro Cond"/>
      <w:color w:val="000000"/>
      <w:sz w:val="24"/>
      <w:szCs w:val="24"/>
    </w:rPr>
  </w:style>
  <w:style w:type="character" w:customStyle="1" w:styleId="A11">
    <w:name w:val="A11"/>
    <w:rsid w:val="00C8744C"/>
    <w:rPr>
      <w:color w:val="000000"/>
      <w:sz w:val="8"/>
      <w:szCs w:val="8"/>
    </w:rPr>
  </w:style>
  <w:style w:type="paragraph" w:customStyle="1" w:styleId="Pa21">
    <w:name w:val="Pa21"/>
    <w:basedOn w:val="Default"/>
    <w:next w:val="Default"/>
    <w:uiPriority w:val="99"/>
    <w:rsid w:val="00C8744C"/>
    <w:pPr>
      <w:spacing w:line="151" w:lineRule="atLeast"/>
    </w:pPr>
    <w:rPr>
      <w:color w:val="auto"/>
    </w:rPr>
  </w:style>
  <w:style w:type="paragraph" w:customStyle="1" w:styleId="Pa10">
    <w:name w:val="Pa10"/>
    <w:basedOn w:val="Default"/>
    <w:next w:val="Default"/>
    <w:rsid w:val="00C8744C"/>
    <w:pPr>
      <w:spacing w:line="151" w:lineRule="atLeast"/>
    </w:pPr>
    <w:rPr>
      <w:color w:val="auto"/>
    </w:rPr>
  </w:style>
  <w:style w:type="character" w:styleId="Hyperlink">
    <w:name w:val="Hyperlink"/>
    <w:basedOn w:val="DefaultParagraphFont"/>
    <w:semiHidden/>
    <w:rsid w:val="00C8744C"/>
    <w:rPr>
      <w:color w:val="0000FF"/>
      <w:u w:val="single"/>
    </w:rPr>
  </w:style>
  <w:style w:type="character" w:customStyle="1" w:styleId="A5">
    <w:name w:val="A5"/>
    <w:uiPriority w:val="99"/>
    <w:rsid w:val="00CA6C54"/>
    <w:rPr>
      <w:rFonts w:cs="Helvetica Condensed"/>
      <w:color w:val="000000"/>
      <w:sz w:val="7"/>
      <w:szCs w:val="7"/>
    </w:rPr>
  </w:style>
  <w:style w:type="character" w:customStyle="1" w:styleId="A1">
    <w:name w:val="A1"/>
    <w:uiPriority w:val="99"/>
    <w:rsid w:val="00684697"/>
    <w:rPr>
      <w:rFonts w:cs="Helen Pro Cond"/>
      <w:color w:val="000000"/>
      <w:sz w:val="15"/>
      <w:szCs w:val="15"/>
      <w:u w:val="single"/>
    </w:rPr>
  </w:style>
  <w:style w:type="character" w:customStyle="1" w:styleId="A13">
    <w:name w:val="A13"/>
    <w:uiPriority w:val="99"/>
    <w:rsid w:val="00684697"/>
    <w:rPr>
      <w:rFonts w:cs="Helen Pro Cond"/>
      <w:color w:val="000000"/>
      <w:sz w:val="8"/>
      <w:szCs w:val="8"/>
      <w:u w:val="single"/>
    </w:rPr>
  </w:style>
  <w:style w:type="paragraph" w:customStyle="1" w:styleId="Pa16">
    <w:name w:val="Pa16"/>
    <w:basedOn w:val="Default"/>
    <w:next w:val="Default"/>
    <w:uiPriority w:val="99"/>
    <w:rsid w:val="001A0262"/>
    <w:pPr>
      <w:spacing w:line="151" w:lineRule="atLeast"/>
    </w:pPr>
    <w:rPr>
      <w:color w:val="auto"/>
    </w:rPr>
  </w:style>
  <w:style w:type="table" w:styleId="TableGrid">
    <w:name w:val="Table Grid"/>
    <w:basedOn w:val="TableNormal"/>
    <w:uiPriority w:val="59"/>
    <w:rsid w:val="007D6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Normal"/>
    <w:next w:val="Normal"/>
    <w:rsid w:val="000C19A6"/>
    <w:pPr>
      <w:autoSpaceDE w:val="0"/>
      <w:autoSpaceDN w:val="0"/>
      <w:adjustRightInd w:val="0"/>
      <w:spacing w:line="151" w:lineRule="atLeast"/>
    </w:pPr>
    <w:rPr>
      <w:rFonts w:ascii="Helen Pro Cond" w:hAnsi="Helen Pro Cond"/>
      <w:sz w:val="24"/>
    </w:rPr>
  </w:style>
  <w:style w:type="paragraph" w:customStyle="1" w:styleId="Bodytext0">
    <w:name w:val="Body text"/>
    <w:basedOn w:val="Normal"/>
    <w:rsid w:val="006E268B"/>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s>
</file>

<file path=word/webSettings.xml><?xml version="1.0" encoding="utf-8"?>
<w:webSettings xmlns:r="http://schemas.openxmlformats.org/officeDocument/2006/relationships" xmlns:w="http://schemas.openxmlformats.org/wordprocessingml/2006/main">
  <w:divs>
    <w:div w:id="479930828">
      <w:bodyDiv w:val="1"/>
      <w:marLeft w:val="0"/>
      <w:marRight w:val="0"/>
      <w:marTop w:val="0"/>
      <w:marBottom w:val="0"/>
      <w:divBdr>
        <w:top w:val="none" w:sz="0" w:space="0" w:color="auto"/>
        <w:left w:val="none" w:sz="0" w:space="0" w:color="auto"/>
        <w:bottom w:val="none" w:sz="0" w:space="0" w:color="auto"/>
        <w:right w:val="none" w:sz="0" w:space="0" w:color="auto"/>
      </w:divBdr>
      <w:divsChild>
        <w:div w:id="1585185473">
          <w:marLeft w:val="0"/>
          <w:marRight w:val="1"/>
          <w:marTop w:val="0"/>
          <w:marBottom w:val="0"/>
          <w:divBdr>
            <w:top w:val="none" w:sz="0" w:space="0" w:color="auto"/>
            <w:left w:val="none" w:sz="0" w:space="0" w:color="auto"/>
            <w:bottom w:val="none" w:sz="0" w:space="0" w:color="auto"/>
            <w:right w:val="none" w:sz="0" w:space="0" w:color="auto"/>
          </w:divBdr>
          <w:divsChild>
            <w:div w:id="396166237">
              <w:marLeft w:val="0"/>
              <w:marRight w:val="0"/>
              <w:marTop w:val="0"/>
              <w:marBottom w:val="0"/>
              <w:divBdr>
                <w:top w:val="none" w:sz="0" w:space="0" w:color="auto"/>
                <w:left w:val="none" w:sz="0" w:space="0" w:color="auto"/>
                <w:bottom w:val="none" w:sz="0" w:space="0" w:color="auto"/>
                <w:right w:val="none" w:sz="0" w:space="0" w:color="auto"/>
              </w:divBdr>
              <w:divsChild>
                <w:div w:id="1514952834">
                  <w:marLeft w:val="0"/>
                  <w:marRight w:val="1"/>
                  <w:marTop w:val="0"/>
                  <w:marBottom w:val="0"/>
                  <w:divBdr>
                    <w:top w:val="none" w:sz="0" w:space="0" w:color="auto"/>
                    <w:left w:val="none" w:sz="0" w:space="0" w:color="auto"/>
                    <w:bottom w:val="none" w:sz="0" w:space="0" w:color="auto"/>
                    <w:right w:val="none" w:sz="0" w:space="0" w:color="auto"/>
                  </w:divBdr>
                  <w:divsChild>
                    <w:div w:id="482502832">
                      <w:marLeft w:val="0"/>
                      <w:marRight w:val="0"/>
                      <w:marTop w:val="0"/>
                      <w:marBottom w:val="0"/>
                      <w:divBdr>
                        <w:top w:val="none" w:sz="0" w:space="0" w:color="auto"/>
                        <w:left w:val="none" w:sz="0" w:space="0" w:color="auto"/>
                        <w:bottom w:val="none" w:sz="0" w:space="0" w:color="auto"/>
                        <w:right w:val="none" w:sz="0" w:space="0" w:color="auto"/>
                      </w:divBdr>
                      <w:divsChild>
                        <w:div w:id="13311606">
                          <w:marLeft w:val="0"/>
                          <w:marRight w:val="0"/>
                          <w:marTop w:val="0"/>
                          <w:marBottom w:val="0"/>
                          <w:divBdr>
                            <w:top w:val="none" w:sz="0" w:space="0" w:color="auto"/>
                            <w:left w:val="none" w:sz="0" w:space="0" w:color="auto"/>
                            <w:bottom w:val="none" w:sz="0" w:space="0" w:color="auto"/>
                            <w:right w:val="none" w:sz="0" w:space="0" w:color="auto"/>
                          </w:divBdr>
                          <w:divsChild>
                            <w:div w:id="106282609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024912">
      <w:bodyDiv w:val="1"/>
      <w:marLeft w:val="0"/>
      <w:marRight w:val="0"/>
      <w:marTop w:val="0"/>
      <w:marBottom w:val="0"/>
      <w:divBdr>
        <w:top w:val="none" w:sz="0" w:space="0" w:color="auto"/>
        <w:left w:val="none" w:sz="0" w:space="0" w:color="auto"/>
        <w:bottom w:val="none" w:sz="0" w:space="0" w:color="auto"/>
        <w:right w:val="none" w:sz="0" w:space="0" w:color="auto"/>
      </w:divBdr>
      <w:divsChild>
        <w:div w:id="1863933804">
          <w:marLeft w:val="0"/>
          <w:marRight w:val="1"/>
          <w:marTop w:val="0"/>
          <w:marBottom w:val="0"/>
          <w:divBdr>
            <w:top w:val="none" w:sz="0" w:space="0" w:color="auto"/>
            <w:left w:val="none" w:sz="0" w:space="0" w:color="auto"/>
            <w:bottom w:val="none" w:sz="0" w:space="0" w:color="auto"/>
            <w:right w:val="none" w:sz="0" w:space="0" w:color="auto"/>
          </w:divBdr>
          <w:divsChild>
            <w:div w:id="1073428764">
              <w:marLeft w:val="0"/>
              <w:marRight w:val="0"/>
              <w:marTop w:val="0"/>
              <w:marBottom w:val="0"/>
              <w:divBdr>
                <w:top w:val="none" w:sz="0" w:space="0" w:color="auto"/>
                <w:left w:val="none" w:sz="0" w:space="0" w:color="auto"/>
                <w:bottom w:val="none" w:sz="0" w:space="0" w:color="auto"/>
                <w:right w:val="none" w:sz="0" w:space="0" w:color="auto"/>
              </w:divBdr>
              <w:divsChild>
                <w:div w:id="1161434952">
                  <w:marLeft w:val="0"/>
                  <w:marRight w:val="1"/>
                  <w:marTop w:val="0"/>
                  <w:marBottom w:val="0"/>
                  <w:divBdr>
                    <w:top w:val="none" w:sz="0" w:space="0" w:color="auto"/>
                    <w:left w:val="none" w:sz="0" w:space="0" w:color="auto"/>
                    <w:bottom w:val="none" w:sz="0" w:space="0" w:color="auto"/>
                    <w:right w:val="none" w:sz="0" w:space="0" w:color="auto"/>
                  </w:divBdr>
                  <w:divsChild>
                    <w:div w:id="808281824">
                      <w:marLeft w:val="0"/>
                      <w:marRight w:val="0"/>
                      <w:marTop w:val="0"/>
                      <w:marBottom w:val="0"/>
                      <w:divBdr>
                        <w:top w:val="none" w:sz="0" w:space="0" w:color="auto"/>
                        <w:left w:val="none" w:sz="0" w:space="0" w:color="auto"/>
                        <w:bottom w:val="none" w:sz="0" w:space="0" w:color="auto"/>
                        <w:right w:val="none" w:sz="0" w:space="0" w:color="auto"/>
                      </w:divBdr>
                      <w:divsChild>
                        <w:div w:id="808788795">
                          <w:marLeft w:val="0"/>
                          <w:marRight w:val="0"/>
                          <w:marTop w:val="0"/>
                          <w:marBottom w:val="0"/>
                          <w:divBdr>
                            <w:top w:val="none" w:sz="0" w:space="0" w:color="auto"/>
                            <w:left w:val="none" w:sz="0" w:space="0" w:color="auto"/>
                            <w:bottom w:val="none" w:sz="0" w:space="0" w:color="auto"/>
                            <w:right w:val="none" w:sz="0" w:space="0" w:color="auto"/>
                          </w:divBdr>
                          <w:divsChild>
                            <w:div w:id="27948592">
                              <w:marLeft w:val="0"/>
                              <w:marRight w:val="0"/>
                              <w:marTop w:val="120"/>
                              <w:marBottom w:val="360"/>
                              <w:divBdr>
                                <w:top w:val="none" w:sz="0" w:space="0" w:color="auto"/>
                                <w:left w:val="none" w:sz="0" w:space="0" w:color="auto"/>
                                <w:bottom w:val="none" w:sz="0" w:space="0" w:color="auto"/>
                                <w:right w:val="none" w:sz="0" w:space="0" w:color="auto"/>
                              </w:divBdr>
                              <w:divsChild>
                                <w:div w:id="9951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Chem/Procedure/20682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271550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40128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pubmed/19729500" TargetMode="External"/><Relationship Id="rId4" Type="http://schemas.openxmlformats.org/officeDocument/2006/relationships/settings" Target="settings.xml"/><Relationship Id="rId9" Type="http://schemas.openxmlformats.org/officeDocument/2006/relationships/hyperlink" Target="http://www.ncbi.nlm.nih.gov/pubmed/2401282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224B-F457-4195-92BD-9BF9FCF1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2893</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Phosphorus</vt:lpstr>
    </vt:vector>
  </TitlesOfParts>
  <Company>Authorized User</Company>
  <LinksUpToDate>false</LinksUpToDate>
  <CharactersWithSpaces>19261</CharactersWithSpaces>
  <SharedDoc>false</SharedDoc>
  <HLinks>
    <vt:vector size="18" baseType="variant">
      <vt:variant>
        <vt:i4>4128808</vt:i4>
      </vt:variant>
      <vt:variant>
        <vt:i4>6</vt:i4>
      </vt:variant>
      <vt:variant>
        <vt:i4>0</vt:i4>
      </vt:variant>
      <vt:variant>
        <vt:i4>5</vt:i4>
      </vt:variant>
      <vt:variant>
        <vt:lpwstr>http://www.ncbi.nlm.nih.gov/pubmed/19729500</vt:lpwstr>
      </vt:variant>
      <vt:variant>
        <vt:lpwstr/>
      </vt:variant>
      <vt:variant>
        <vt:i4>3276843</vt:i4>
      </vt:variant>
      <vt:variant>
        <vt:i4>3</vt:i4>
      </vt:variant>
      <vt:variant>
        <vt:i4>0</vt:i4>
      </vt:variant>
      <vt:variant>
        <vt:i4>5</vt:i4>
      </vt:variant>
      <vt:variant>
        <vt:lpwstr>http://www.ncbi.nlm.nih.gov/pubmed/24012827</vt:lpwstr>
      </vt:variant>
      <vt:variant>
        <vt:lpwstr/>
      </vt: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Phosphorus</dc:title>
  <dc:creator>CE080372</dc:creator>
  <cp:lastModifiedBy>CE155076</cp:lastModifiedBy>
  <cp:revision>2</cp:revision>
  <cp:lastPrinted>2016-06-17T20:56:00Z</cp:lastPrinted>
  <dcterms:created xsi:type="dcterms:W3CDTF">2017-09-19T14:20:00Z</dcterms:created>
  <dcterms:modified xsi:type="dcterms:W3CDTF">2017-09-19T14:20:00Z</dcterms:modified>
</cp:coreProperties>
</file>