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Layout w:type="fixed"/>
        <w:tblLook w:val="0000"/>
      </w:tblPr>
      <w:tblGrid>
        <w:gridCol w:w="1800"/>
        <w:gridCol w:w="1080"/>
        <w:gridCol w:w="2340"/>
        <w:gridCol w:w="1620"/>
        <w:gridCol w:w="4320"/>
      </w:tblGrid>
      <w:tr w:rsidR="00016ADF" w:rsidTr="00101F15">
        <w:trPr>
          <w:cantSplit/>
          <w:tblHeader/>
        </w:trPr>
        <w:tc>
          <w:tcPr>
            <w:tcW w:w="11160" w:type="dxa"/>
            <w:gridSpan w:val="5"/>
          </w:tcPr>
          <w:p w:rsidR="00016ADF" w:rsidRDefault="00016ADF" w:rsidP="00101F15">
            <w:pPr>
              <w:pStyle w:val="Header"/>
              <w:tabs>
                <w:tab w:val="clear" w:pos="4320"/>
                <w:tab w:val="clear" w:pos="8640"/>
                <w:tab w:val="left" w:pos="11520"/>
              </w:tabs>
              <w:jc w:val="both"/>
              <w:rPr>
                <w:rFonts w:cs="Arial"/>
                <w:b/>
                <w:bCs/>
                <w:color w:val="0000FF"/>
                <w:sz w:val="36"/>
              </w:rPr>
            </w:pPr>
            <w:r>
              <w:rPr>
                <w:rFonts w:cs="Arial"/>
                <w:b/>
                <w:bCs/>
                <w:color w:val="0000FF"/>
                <w:sz w:val="36"/>
              </w:rPr>
              <w:t>Magnesium in Plasma/Serum or Urine</w:t>
            </w:r>
          </w:p>
          <w:p w:rsidR="00016ADF" w:rsidRDefault="00016ADF" w:rsidP="00101F15">
            <w:pPr>
              <w:pStyle w:val="Header"/>
              <w:tabs>
                <w:tab w:val="clear" w:pos="4320"/>
                <w:tab w:val="clear" w:pos="8640"/>
                <w:tab w:val="left" w:pos="11520"/>
              </w:tabs>
              <w:jc w:val="both"/>
              <w:rPr>
                <w:rFonts w:cs="Arial"/>
                <w:color w:val="0000FF"/>
              </w:rPr>
            </w:pPr>
          </w:p>
        </w:tc>
      </w:tr>
      <w:tr w:rsidR="00016ADF" w:rsidTr="00101F15">
        <w:trPr>
          <w:trHeight w:val="620"/>
          <w:tblHeader/>
        </w:trPr>
        <w:tc>
          <w:tcPr>
            <w:tcW w:w="1800" w:type="dxa"/>
            <w:vAlign w:val="center"/>
          </w:tcPr>
          <w:p w:rsidR="00016ADF" w:rsidRDefault="00016ADF" w:rsidP="00101F15">
            <w:pPr>
              <w:rPr>
                <w:rFonts w:cs="Arial"/>
                <w:b/>
                <w:bCs/>
                <w:color w:val="0000FF"/>
              </w:rPr>
            </w:pPr>
            <w:r>
              <w:rPr>
                <w:rFonts w:cs="Arial"/>
                <w:b/>
                <w:bCs/>
                <w:color w:val="0000FF"/>
              </w:rPr>
              <w:t>Purpose</w:t>
            </w:r>
          </w:p>
        </w:tc>
        <w:tc>
          <w:tcPr>
            <w:tcW w:w="9360" w:type="dxa"/>
            <w:gridSpan w:val="4"/>
            <w:tcBorders>
              <w:top w:val="single" w:sz="18" w:space="0" w:color="A6A6A6"/>
              <w:bottom w:val="single" w:sz="18" w:space="0" w:color="A6A6A6"/>
            </w:tcBorders>
            <w:vAlign w:val="center"/>
          </w:tcPr>
          <w:p w:rsidR="00EA53DA" w:rsidRDefault="00EA53DA" w:rsidP="00101F15">
            <w:pPr>
              <w:pStyle w:val="Header"/>
              <w:tabs>
                <w:tab w:val="clear" w:pos="4320"/>
                <w:tab w:val="clear" w:pos="8640"/>
              </w:tabs>
              <w:rPr>
                <w:rFonts w:cs="Arial"/>
              </w:rPr>
            </w:pPr>
          </w:p>
          <w:p w:rsidR="00EA53DA" w:rsidRDefault="00EA53DA" w:rsidP="00101F15">
            <w:pPr>
              <w:pStyle w:val="Header"/>
              <w:tabs>
                <w:tab w:val="clear" w:pos="4320"/>
                <w:tab w:val="clear" w:pos="8640"/>
              </w:tabs>
              <w:rPr>
                <w:rFonts w:cs="Arial"/>
              </w:rPr>
            </w:pPr>
          </w:p>
          <w:p w:rsidR="00016ADF" w:rsidRDefault="00016ADF" w:rsidP="00101F15">
            <w:pPr>
              <w:pStyle w:val="Header"/>
              <w:tabs>
                <w:tab w:val="clear" w:pos="4320"/>
                <w:tab w:val="clear" w:pos="8640"/>
              </w:tabs>
              <w:rPr>
                <w:rFonts w:cs="Arial"/>
              </w:rPr>
            </w:pPr>
            <w:r>
              <w:rPr>
                <w:rFonts w:cs="Arial"/>
              </w:rPr>
              <w:t>This procedure provides instructions for performing Magnesium in Plasma/Serum or Urine.</w:t>
            </w:r>
          </w:p>
          <w:p w:rsidR="00EA53DA" w:rsidRDefault="00EA53DA" w:rsidP="00101F15">
            <w:pPr>
              <w:pStyle w:val="Header"/>
              <w:tabs>
                <w:tab w:val="clear" w:pos="4320"/>
                <w:tab w:val="clear" w:pos="8640"/>
              </w:tabs>
              <w:rPr>
                <w:rFonts w:cs="Arial"/>
              </w:rPr>
            </w:pPr>
          </w:p>
          <w:p w:rsidR="00EA53DA" w:rsidRDefault="00EA53DA" w:rsidP="00101F15">
            <w:pPr>
              <w:pStyle w:val="Header"/>
              <w:tabs>
                <w:tab w:val="clear" w:pos="4320"/>
                <w:tab w:val="clear" w:pos="8640"/>
              </w:tabs>
              <w:rPr>
                <w:rFonts w:cs="Arial"/>
              </w:rPr>
            </w:pPr>
          </w:p>
        </w:tc>
      </w:tr>
      <w:tr w:rsidR="00016ADF" w:rsidTr="00101F15">
        <w:trPr>
          <w:trHeight w:val="710"/>
          <w:tblHeader/>
        </w:trPr>
        <w:tc>
          <w:tcPr>
            <w:tcW w:w="1800" w:type="dxa"/>
            <w:vAlign w:val="center"/>
          </w:tcPr>
          <w:p w:rsidR="00016ADF" w:rsidRDefault="00016ADF" w:rsidP="00101F15">
            <w:pPr>
              <w:rPr>
                <w:rFonts w:cs="Arial"/>
                <w:b/>
                <w:bCs/>
                <w:color w:val="0000FF"/>
              </w:rPr>
            </w:pPr>
            <w:r>
              <w:rPr>
                <w:rFonts w:cs="Arial"/>
                <w:b/>
                <w:bCs/>
                <w:color w:val="0000FF"/>
              </w:rPr>
              <w:t>Policy Statements</w:t>
            </w:r>
          </w:p>
        </w:tc>
        <w:tc>
          <w:tcPr>
            <w:tcW w:w="9360" w:type="dxa"/>
            <w:gridSpan w:val="4"/>
            <w:tcBorders>
              <w:top w:val="single" w:sz="18" w:space="0" w:color="A6A6A6"/>
              <w:bottom w:val="single" w:sz="18" w:space="0" w:color="A6A6A6"/>
            </w:tcBorders>
            <w:vAlign w:val="center"/>
          </w:tcPr>
          <w:p w:rsidR="00EA53DA" w:rsidRDefault="00EA53DA" w:rsidP="00101F15">
            <w:pPr>
              <w:pStyle w:val="BodyText3"/>
              <w:autoSpaceDE w:val="0"/>
              <w:autoSpaceDN w:val="0"/>
              <w:adjustRightInd w:val="0"/>
            </w:pPr>
          </w:p>
          <w:p w:rsidR="00EA53DA" w:rsidRDefault="00EA53DA" w:rsidP="00101F15">
            <w:pPr>
              <w:pStyle w:val="BodyText3"/>
              <w:autoSpaceDE w:val="0"/>
              <w:autoSpaceDN w:val="0"/>
              <w:adjustRightInd w:val="0"/>
            </w:pPr>
          </w:p>
          <w:p w:rsidR="00016ADF" w:rsidRDefault="00016ADF" w:rsidP="00101F15">
            <w:pPr>
              <w:pStyle w:val="BodyText3"/>
              <w:autoSpaceDE w:val="0"/>
              <w:autoSpaceDN w:val="0"/>
              <w:adjustRightInd w:val="0"/>
            </w:pPr>
            <w:r>
              <w:t>This procedure applies to all personnel running the Siemens Dimension Vista</w:t>
            </w:r>
          </w:p>
          <w:p w:rsidR="00EA53DA" w:rsidRDefault="00EA53DA" w:rsidP="00101F15">
            <w:pPr>
              <w:pStyle w:val="BodyText3"/>
              <w:autoSpaceDE w:val="0"/>
              <w:autoSpaceDN w:val="0"/>
              <w:adjustRightInd w:val="0"/>
            </w:pPr>
          </w:p>
          <w:p w:rsidR="00EA53DA" w:rsidRDefault="00EA53DA" w:rsidP="00101F15">
            <w:pPr>
              <w:pStyle w:val="BodyText3"/>
              <w:autoSpaceDE w:val="0"/>
              <w:autoSpaceDN w:val="0"/>
              <w:adjustRightInd w:val="0"/>
            </w:pPr>
          </w:p>
        </w:tc>
      </w:tr>
      <w:tr w:rsidR="00016ADF" w:rsidTr="00101F15">
        <w:trPr>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Principle</w:t>
            </w:r>
          </w:p>
          <w:p w:rsidR="00016ADF" w:rsidRDefault="00016ADF" w:rsidP="00101F15">
            <w:pPr>
              <w:pStyle w:val="Header"/>
              <w:tabs>
                <w:tab w:val="clear" w:pos="4320"/>
                <w:tab w:val="clear" w:pos="8640"/>
              </w:tabs>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pStyle w:val="BodyText3"/>
              <w:rPr>
                <w:rFonts w:cs="Arial"/>
              </w:rPr>
            </w:pPr>
          </w:p>
          <w:p w:rsidR="00EA53DA" w:rsidRDefault="00EA53DA" w:rsidP="00101F15">
            <w:pPr>
              <w:pStyle w:val="BodyText3"/>
              <w:rPr>
                <w:rFonts w:cs="Arial"/>
              </w:rPr>
            </w:pPr>
          </w:p>
          <w:p w:rsidR="00EA53DA" w:rsidRDefault="00EA53DA" w:rsidP="00101F15">
            <w:pPr>
              <w:pStyle w:val="BodyText3"/>
              <w:rPr>
                <w:rFonts w:cs="Arial"/>
              </w:rPr>
            </w:pPr>
          </w:p>
          <w:p w:rsidR="00016ADF" w:rsidRDefault="00016ADF" w:rsidP="00101F15">
            <w:pPr>
              <w:pStyle w:val="BodyText"/>
            </w:pPr>
            <w:r>
              <w:t>The MG method used on the Dimension Vista</w:t>
            </w:r>
            <w:r>
              <w:rPr>
                <w:position w:val="2"/>
              </w:rPr>
              <w:t xml:space="preserve"> </w:t>
            </w:r>
            <w:r>
              <w:t xml:space="preserve">clinical chemistry system is an </w:t>
            </w:r>
            <w:r>
              <w:rPr>
                <w:i/>
                <w:iCs/>
              </w:rPr>
              <w:t>in vitro</w:t>
            </w:r>
            <w:r>
              <w:t xml:space="preserve"> diagnostic test intended for the quantitative determination of magnesium in </w:t>
            </w:r>
            <w:r>
              <w:rPr>
                <w:b/>
              </w:rPr>
              <w:t>serum</w:t>
            </w:r>
            <w:r>
              <w:t xml:space="preserve">, </w:t>
            </w:r>
            <w:proofErr w:type="spellStart"/>
            <w:r>
              <w:rPr>
                <w:b/>
              </w:rPr>
              <w:t>heparinized</w:t>
            </w:r>
            <w:proofErr w:type="spellEnd"/>
            <w:r>
              <w:rPr>
                <w:b/>
              </w:rPr>
              <w:t xml:space="preserve"> plasma</w:t>
            </w:r>
            <w:r>
              <w:t xml:space="preserve"> and </w:t>
            </w:r>
            <w:r>
              <w:rPr>
                <w:b/>
              </w:rPr>
              <w:t>urine</w:t>
            </w:r>
            <w:r>
              <w:t>.</w:t>
            </w:r>
          </w:p>
          <w:p w:rsidR="00016ADF" w:rsidRDefault="00016ADF" w:rsidP="00101F15">
            <w:pPr>
              <w:pStyle w:val="BodyText"/>
              <w:rPr>
                <w:position w:val="2"/>
              </w:rPr>
            </w:pPr>
            <w:r>
              <w:t xml:space="preserve">The magnesium method is a modification of the </w:t>
            </w:r>
            <w:proofErr w:type="spellStart"/>
            <w:r>
              <w:t>methylthymol</w:t>
            </w:r>
            <w:proofErr w:type="spellEnd"/>
            <w:r>
              <w:t xml:space="preserve"> blue (MTB) </w:t>
            </w:r>
            <w:proofErr w:type="spellStart"/>
            <w:r>
              <w:t>complexometric</w:t>
            </w:r>
            <w:proofErr w:type="spellEnd"/>
            <w:r>
              <w:t xml:space="preserve"> procedure described by </w:t>
            </w:r>
            <w:proofErr w:type="spellStart"/>
            <w:r>
              <w:t>Connerty</w:t>
            </w:r>
            <w:proofErr w:type="spellEnd"/>
            <w:r>
              <w:t xml:space="preserve">, Lau, and Briggs. The barium salt of </w:t>
            </w:r>
            <w:proofErr w:type="spellStart"/>
            <w:r>
              <w:t>ethylenebis</w:t>
            </w:r>
            <w:proofErr w:type="spellEnd"/>
            <w:r>
              <w:t xml:space="preserve"> (</w:t>
            </w:r>
            <w:proofErr w:type="spellStart"/>
            <w:r>
              <w:t>oxyethylenenitrilo</w:t>
            </w:r>
            <w:proofErr w:type="spellEnd"/>
            <w:r>
              <w:t xml:space="preserve">) </w:t>
            </w:r>
            <w:proofErr w:type="spellStart"/>
            <w:r>
              <w:t>tetraacetic</w:t>
            </w:r>
            <w:proofErr w:type="spellEnd"/>
            <w:r>
              <w:t xml:space="preserve"> acid (</w:t>
            </w:r>
            <w:proofErr w:type="spellStart"/>
            <w:r>
              <w:t>Ba</w:t>
            </w:r>
            <w:proofErr w:type="spellEnd"/>
            <w:r>
              <w:t>-EGTA) is used to reduce interference due to calcium that also reacts with MTB.</w:t>
            </w:r>
          </w:p>
          <w:p w:rsidR="00016ADF" w:rsidRDefault="00016ADF" w:rsidP="00101F15">
            <w:r>
              <w:t xml:space="preserve">MTB forms a blue complex with magnesium. Calcium interference is minimized by forming a complex between calcium and </w:t>
            </w:r>
            <w:proofErr w:type="spellStart"/>
            <w:r>
              <w:t>Ba</w:t>
            </w:r>
            <w:proofErr w:type="spellEnd"/>
            <w:r>
              <w:t xml:space="preserve">-EGTA (chelating agent). The amount of MG-MTB complex formed is proportional to the magnesium concentration and is measured using a </w:t>
            </w:r>
            <w:proofErr w:type="spellStart"/>
            <w:r>
              <w:t>bichromatic</w:t>
            </w:r>
            <w:proofErr w:type="spellEnd"/>
            <w:r>
              <w:t xml:space="preserve"> (600 and 510 nm) endpoint technique. A sample blank is used to minimize </w:t>
            </w:r>
            <w:proofErr w:type="spellStart"/>
            <w:r>
              <w:t>bilirubin</w:t>
            </w:r>
            <w:proofErr w:type="spellEnd"/>
            <w:r>
              <w:t xml:space="preserve"> interference.</w:t>
            </w:r>
          </w:p>
          <w:p w:rsidR="00EA53DA" w:rsidRDefault="00EA53DA" w:rsidP="00101F15"/>
          <w:p w:rsidR="00EA53DA" w:rsidRDefault="00EA53DA" w:rsidP="00101F15">
            <w:pPr>
              <w:rPr>
                <w:rFonts w:cs="Arial"/>
                <w:sz w:val="18"/>
              </w:rPr>
            </w:pPr>
          </w:p>
          <w:p w:rsidR="00016ADF" w:rsidRDefault="00016ADF" w:rsidP="00101F15">
            <w:pPr>
              <w:rPr>
                <w:rFonts w:cs="Arial"/>
                <w:sz w:val="18"/>
              </w:rPr>
            </w:pPr>
          </w:p>
        </w:tc>
      </w:tr>
      <w:tr w:rsidR="00016ADF" w:rsidTr="00101F15">
        <w:trPr>
          <w:tblHeader/>
        </w:trPr>
        <w:tc>
          <w:tcPr>
            <w:tcW w:w="1800" w:type="dxa"/>
          </w:tcPr>
          <w:p w:rsidR="00016ADF" w:rsidRDefault="00016ADF" w:rsidP="00101F15">
            <w:pPr>
              <w:rPr>
                <w:rFonts w:cs="Arial"/>
                <w:b/>
                <w:bCs/>
                <w:color w:val="0000FF"/>
              </w:rPr>
            </w:pPr>
          </w:p>
          <w:p w:rsidR="00EA53DA" w:rsidRDefault="00EA53DA" w:rsidP="00101F15">
            <w:pPr>
              <w:rPr>
                <w:rFonts w:cs="Arial"/>
                <w:b/>
                <w:bCs/>
                <w:color w:val="0000FF"/>
              </w:rPr>
            </w:pPr>
          </w:p>
          <w:p w:rsidR="00EA53DA" w:rsidRDefault="00EA53DA" w:rsidP="00101F15">
            <w:pPr>
              <w:rPr>
                <w:rFonts w:cs="Arial"/>
                <w:b/>
                <w:bCs/>
                <w:color w:val="0000FF"/>
              </w:rPr>
            </w:pPr>
          </w:p>
          <w:p w:rsidR="00016ADF" w:rsidRDefault="00016ADF" w:rsidP="00101F15">
            <w:pPr>
              <w:rPr>
                <w:rFonts w:cs="Arial"/>
                <w:b/>
                <w:bCs/>
                <w:color w:val="0000FF"/>
              </w:rPr>
            </w:pPr>
            <w:r>
              <w:rPr>
                <w:rFonts w:cs="Arial"/>
                <w:b/>
                <w:bCs/>
                <w:color w:val="0000FF"/>
              </w:rPr>
              <w:t>Clinical Significance</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autoSpaceDE w:val="0"/>
              <w:autoSpaceDN w:val="0"/>
              <w:adjustRightInd w:val="0"/>
              <w:rPr>
                <w:rFonts w:cs="Arial"/>
                <w:sz w:val="18"/>
              </w:rPr>
            </w:pPr>
          </w:p>
          <w:p w:rsidR="00EA53DA" w:rsidRDefault="00EA53DA" w:rsidP="00101F15">
            <w:pPr>
              <w:autoSpaceDE w:val="0"/>
              <w:autoSpaceDN w:val="0"/>
              <w:adjustRightInd w:val="0"/>
              <w:rPr>
                <w:rFonts w:cs="Arial"/>
                <w:sz w:val="18"/>
              </w:rPr>
            </w:pPr>
          </w:p>
          <w:p w:rsidR="00EA53DA" w:rsidRDefault="00EA53DA" w:rsidP="00101F15">
            <w:pPr>
              <w:autoSpaceDE w:val="0"/>
              <w:autoSpaceDN w:val="0"/>
              <w:adjustRightInd w:val="0"/>
              <w:rPr>
                <w:rFonts w:cs="Arial"/>
                <w:sz w:val="18"/>
              </w:rPr>
            </w:pPr>
          </w:p>
          <w:p w:rsidR="00016ADF" w:rsidRDefault="00016ADF" w:rsidP="00101F15">
            <w:r>
              <w:t xml:space="preserve">Magnesium is, next to potassium, the most prevalent intracellular ion. Although the need for such high intracellular MG concentrations has not been definitely explained, many enzymes involved in lipid, carbohydrate, and protein metabolism require MG as an activating ion. In general, low serum MG levels produce muscle irritability, which if not corrected will cause </w:t>
            </w:r>
            <w:proofErr w:type="spellStart"/>
            <w:r>
              <w:t>tetany</w:t>
            </w:r>
            <w:proofErr w:type="spellEnd"/>
            <w:r>
              <w:t xml:space="preserve"> (prolonged involuntary muscle spasms). In this respect, magnesium resembles calcium. High MG levels reduce muscle and nerve irritability, and very high levels result in anesthesia (loss of sensations of touch, temperature, pain, etc.) and cardiac arrest. Up to 40% of </w:t>
            </w:r>
            <w:proofErr w:type="spellStart"/>
            <w:r>
              <w:t>hypokalemic</w:t>
            </w:r>
            <w:proofErr w:type="spellEnd"/>
            <w:r>
              <w:t xml:space="preserve"> patients are also </w:t>
            </w:r>
            <w:proofErr w:type="spellStart"/>
            <w:r>
              <w:t>hypomagnesemic</w:t>
            </w:r>
            <w:proofErr w:type="spellEnd"/>
          </w:p>
          <w:p w:rsidR="00016ADF" w:rsidRDefault="00016ADF" w:rsidP="00101F15"/>
          <w:p w:rsidR="00016ADF" w:rsidRDefault="00016ADF" w:rsidP="00101F15">
            <w:r>
              <w:rPr>
                <w:b/>
              </w:rPr>
              <w:t>Increased MG Levels:</w:t>
            </w:r>
            <w:r>
              <w:t xml:space="preserve"> may occur in kidney failure.</w:t>
            </w:r>
          </w:p>
          <w:p w:rsidR="00016ADF" w:rsidRDefault="00016ADF" w:rsidP="00101F15">
            <w:r>
              <w:rPr>
                <w:b/>
              </w:rPr>
              <w:t>Decreased MG Levels:</w:t>
            </w:r>
            <w:r>
              <w:t xml:space="preserve"> may be found in prolonged intravenous feeding, acute alcohol intoxication, </w:t>
            </w:r>
            <w:proofErr w:type="gramStart"/>
            <w:r>
              <w:t>primary</w:t>
            </w:r>
            <w:proofErr w:type="gramEnd"/>
            <w:r>
              <w:t xml:space="preserve"> </w:t>
            </w:r>
            <w:proofErr w:type="spellStart"/>
            <w:r>
              <w:t>hyperaldosteronism</w:t>
            </w:r>
            <w:proofErr w:type="spellEnd"/>
            <w:r>
              <w:t xml:space="preserve"> (increased production of the hormone </w:t>
            </w:r>
            <w:proofErr w:type="spellStart"/>
            <w:r>
              <w:t>aldosterone</w:t>
            </w:r>
            <w:proofErr w:type="spellEnd"/>
            <w:r>
              <w:t xml:space="preserve"> by the adrenals. This hormone regulates electrolyte metabolism.), </w:t>
            </w:r>
            <w:proofErr w:type="spellStart"/>
            <w:r>
              <w:t>malabsorption</w:t>
            </w:r>
            <w:proofErr w:type="spellEnd"/>
            <w:r>
              <w:t xml:space="preserve"> syndromes (diseases of the small intestine which produce inadequate absorption of various nutrients, vitamins, minerals, etc.), diabetic coma, hyperparathyroidism, alcoholic cirrhosis, - especially when associated with delirium tremens (the "DTs").</w:t>
            </w:r>
          </w:p>
          <w:p w:rsidR="00EA53DA" w:rsidRDefault="00EA53DA" w:rsidP="00101F15"/>
          <w:p w:rsidR="00EA53DA" w:rsidRDefault="00EA53DA" w:rsidP="00101F15"/>
          <w:p w:rsidR="00EA53DA" w:rsidRDefault="00EA53DA" w:rsidP="00101F15"/>
          <w:p w:rsidR="00EA53DA" w:rsidRDefault="00EA53DA" w:rsidP="00101F15"/>
          <w:p w:rsidR="00016ADF" w:rsidRDefault="00016ADF" w:rsidP="00101F15">
            <w:pPr>
              <w:rPr>
                <w:rFonts w:cs="Arial"/>
                <w:sz w:val="18"/>
              </w:rPr>
            </w:pPr>
          </w:p>
        </w:tc>
      </w:tr>
      <w:tr w:rsidR="00016ADF" w:rsidTr="00101F15">
        <w:trPr>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Analyzer</w:t>
            </w:r>
          </w:p>
        </w:tc>
        <w:tc>
          <w:tcPr>
            <w:tcW w:w="9360" w:type="dxa"/>
            <w:gridSpan w:val="4"/>
            <w:tcBorders>
              <w:top w:val="single" w:sz="18" w:space="0" w:color="A6A6A6"/>
              <w:bottom w:val="single" w:sz="18" w:space="0" w:color="A6A6A6"/>
            </w:tcBorders>
          </w:tcPr>
          <w:p w:rsidR="00016ADF" w:rsidRDefault="00016ADF" w:rsidP="00101F15">
            <w:pPr>
              <w:autoSpaceDE w:val="0"/>
              <w:autoSpaceDN w:val="0"/>
              <w:adjustRightInd w:val="0"/>
              <w:rPr>
                <w:rFonts w:cs="Arial"/>
              </w:rPr>
            </w:pPr>
          </w:p>
          <w:p w:rsidR="00016ADF" w:rsidRPr="001E6473" w:rsidRDefault="00016ADF" w:rsidP="00101F15">
            <w:pPr>
              <w:pStyle w:val="BodyText2"/>
              <w:spacing w:after="120"/>
              <w:rPr>
                <w:sz w:val="20"/>
              </w:rPr>
            </w:pPr>
            <w:r w:rsidRPr="001E6473">
              <w:rPr>
                <w:b/>
                <w:bCs/>
                <w:color w:val="5F497A"/>
                <w:sz w:val="20"/>
              </w:rPr>
              <w:t>PRIMARY METHOD:</w:t>
            </w:r>
            <w:r w:rsidRPr="001E6473">
              <w:rPr>
                <w:b/>
                <w:bCs/>
                <w:sz w:val="20"/>
              </w:rPr>
              <w:t xml:space="preserve"> </w:t>
            </w:r>
            <w:r w:rsidRPr="001E6473">
              <w:rPr>
                <w:sz w:val="20"/>
              </w:rPr>
              <w:t>Siemens Dimension Vista 500</w:t>
            </w:r>
          </w:p>
          <w:p w:rsidR="00016ADF" w:rsidRDefault="00016ADF" w:rsidP="00101F15">
            <w:pPr>
              <w:autoSpaceDE w:val="0"/>
              <w:autoSpaceDN w:val="0"/>
              <w:adjustRightInd w:val="0"/>
              <w:rPr>
                <w:rFonts w:cs="Arial"/>
                <w:sz w:val="18"/>
              </w:rPr>
            </w:pPr>
            <w:r w:rsidRPr="001E6473">
              <w:rPr>
                <w:b/>
                <w:bCs/>
                <w:color w:val="76923C"/>
                <w:szCs w:val="20"/>
              </w:rPr>
              <w:t>SECONDARY (BACKUP) METHOD</w:t>
            </w:r>
            <w:r w:rsidRPr="001E6473">
              <w:rPr>
                <w:b/>
                <w:bCs/>
                <w:szCs w:val="20"/>
              </w:rPr>
              <w:t xml:space="preserve">: </w:t>
            </w:r>
            <w:r w:rsidRPr="001E6473">
              <w:rPr>
                <w:szCs w:val="20"/>
              </w:rPr>
              <w:t>Siemens</w:t>
            </w:r>
            <w:r>
              <w:rPr>
                <w:szCs w:val="20"/>
              </w:rPr>
              <w:t xml:space="preserve"> RXL Max</w:t>
            </w:r>
          </w:p>
          <w:p w:rsidR="00016ADF" w:rsidRDefault="00016ADF" w:rsidP="00101F15">
            <w:pPr>
              <w:autoSpaceDE w:val="0"/>
              <w:autoSpaceDN w:val="0"/>
              <w:adjustRightInd w:val="0"/>
              <w:rPr>
                <w:rFonts w:cs="Arial"/>
                <w:sz w:val="18"/>
              </w:rPr>
            </w:pPr>
          </w:p>
        </w:tc>
      </w:tr>
      <w:tr w:rsidR="00016ADF" w:rsidTr="00101F15">
        <w:trPr>
          <w:trHeight w:val="834"/>
          <w:tblHeader/>
        </w:trPr>
        <w:tc>
          <w:tcPr>
            <w:tcW w:w="1800" w:type="dxa"/>
            <w:vAlign w:val="center"/>
          </w:tcPr>
          <w:p w:rsidR="00016ADF" w:rsidRDefault="00016ADF" w:rsidP="00101F15">
            <w:pPr>
              <w:rPr>
                <w:rFonts w:cs="Arial"/>
                <w:b/>
                <w:bCs/>
                <w:color w:val="0000FF"/>
              </w:rPr>
            </w:pPr>
            <w:proofErr w:type="spellStart"/>
            <w:r>
              <w:rPr>
                <w:rFonts w:cs="Arial"/>
                <w:b/>
                <w:bCs/>
                <w:color w:val="0000FF"/>
              </w:rPr>
              <w:t>Sunquest</w:t>
            </w:r>
            <w:proofErr w:type="spellEnd"/>
            <w:r>
              <w:rPr>
                <w:rFonts w:cs="Arial"/>
                <w:b/>
                <w:bCs/>
                <w:color w:val="0000FF"/>
              </w:rPr>
              <w:t xml:space="preserve"> Test Codes</w:t>
            </w:r>
          </w:p>
        </w:tc>
        <w:tc>
          <w:tcPr>
            <w:tcW w:w="9360" w:type="dxa"/>
            <w:gridSpan w:val="4"/>
            <w:tcBorders>
              <w:top w:val="single" w:sz="18" w:space="0" w:color="A6A6A6"/>
              <w:bottom w:val="single" w:sz="18" w:space="0" w:color="A6A6A6"/>
            </w:tcBorders>
            <w:vAlign w:val="center"/>
          </w:tcPr>
          <w:p w:rsidR="00EA53DA" w:rsidRDefault="00EA53DA" w:rsidP="00101F15">
            <w:pPr>
              <w:rPr>
                <w:rFonts w:cs="Arial"/>
                <w:b/>
                <w:bCs/>
              </w:rPr>
            </w:pPr>
          </w:p>
          <w:p w:rsidR="00EA53DA" w:rsidRDefault="00EA53DA" w:rsidP="00101F15">
            <w:pPr>
              <w:rPr>
                <w:rFonts w:cs="Arial"/>
                <w:b/>
                <w:bCs/>
              </w:rPr>
            </w:pPr>
          </w:p>
          <w:p w:rsidR="00016ADF" w:rsidRDefault="00016ADF" w:rsidP="00101F15">
            <w:pPr>
              <w:rPr>
                <w:rFonts w:cs="Arial"/>
                <w:sz w:val="18"/>
              </w:rPr>
            </w:pPr>
            <w:r>
              <w:rPr>
                <w:rFonts w:cs="Arial"/>
                <w:b/>
                <w:bCs/>
              </w:rPr>
              <w:t>MG</w:t>
            </w:r>
            <w:r>
              <w:rPr>
                <w:rFonts w:cs="Arial"/>
                <w:sz w:val="18"/>
              </w:rPr>
              <w:t>: Magnesium in plasma or serum in mg/</w:t>
            </w:r>
            <w:proofErr w:type="spellStart"/>
            <w:r>
              <w:rPr>
                <w:rFonts w:cs="Arial"/>
                <w:sz w:val="18"/>
              </w:rPr>
              <w:t>dL</w:t>
            </w:r>
            <w:proofErr w:type="spellEnd"/>
          </w:p>
          <w:p w:rsidR="00016ADF" w:rsidRDefault="00016ADF" w:rsidP="00101F15">
            <w:pPr>
              <w:rPr>
                <w:rFonts w:cs="Arial"/>
                <w:sz w:val="18"/>
              </w:rPr>
            </w:pPr>
            <w:r>
              <w:rPr>
                <w:rFonts w:cs="Arial"/>
                <w:b/>
                <w:bCs/>
              </w:rPr>
              <w:t>UMGR</w:t>
            </w:r>
            <w:r>
              <w:rPr>
                <w:rFonts w:cs="Arial"/>
              </w:rPr>
              <w:t xml:space="preserve">: </w:t>
            </w:r>
            <w:r>
              <w:rPr>
                <w:rFonts w:cs="Arial"/>
                <w:sz w:val="18"/>
              </w:rPr>
              <w:t>Magnesium in urine in mg/</w:t>
            </w:r>
            <w:proofErr w:type="spellStart"/>
            <w:r>
              <w:rPr>
                <w:rFonts w:cs="Arial"/>
                <w:sz w:val="18"/>
              </w:rPr>
              <w:t>dL</w:t>
            </w:r>
            <w:proofErr w:type="spellEnd"/>
          </w:p>
          <w:p w:rsidR="00016ADF" w:rsidRDefault="00016ADF" w:rsidP="00101F15">
            <w:pPr>
              <w:rPr>
                <w:rFonts w:cs="Arial"/>
                <w:sz w:val="18"/>
              </w:rPr>
            </w:pPr>
            <w:r>
              <w:rPr>
                <w:rFonts w:cs="Arial"/>
                <w:b/>
                <w:bCs/>
              </w:rPr>
              <w:t>UMGQ</w:t>
            </w:r>
            <w:r>
              <w:rPr>
                <w:rFonts w:cs="Arial"/>
              </w:rPr>
              <w:t xml:space="preserve">: </w:t>
            </w:r>
            <w:r>
              <w:rPr>
                <w:rFonts w:cs="Arial"/>
                <w:sz w:val="18"/>
              </w:rPr>
              <w:t>Quantitative urine magnesium, timed collection</w:t>
            </w:r>
          </w:p>
          <w:p w:rsidR="00EA53DA" w:rsidRDefault="00EA53DA" w:rsidP="00101F15">
            <w:pPr>
              <w:rPr>
                <w:rFonts w:cs="Arial"/>
                <w:sz w:val="18"/>
              </w:rPr>
            </w:pPr>
          </w:p>
          <w:p w:rsidR="00EA53DA" w:rsidRDefault="00EA53DA" w:rsidP="00101F15">
            <w:pPr>
              <w:rPr>
                <w:rFonts w:cs="Arial"/>
                <w:sz w:val="18"/>
              </w:rPr>
            </w:pPr>
          </w:p>
        </w:tc>
      </w:tr>
      <w:tr w:rsidR="00016ADF" w:rsidTr="00101F15">
        <w:trPr>
          <w:cantSplit/>
          <w:trHeight w:val="5800"/>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Specimen</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 w:rsidR="00016ADF" w:rsidRDefault="00016ADF" w:rsidP="00101F15">
            <w:r>
              <w:t>Plasma (lithium heparin) preferred</w:t>
            </w:r>
          </w:p>
          <w:p w:rsidR="00016ADF" w:rsidRDefault="00016ADF" w:rsidP="00101F15">
            <w:r>
              <w:t xml:space="preserve">Serum </w:t>
            </w:r>
          </w:p>
          <w:p w:rsidR="00016ADF" w:rsidRDefault="00016ADF" w:rsidP="00101F15">
            <w:pPr>
              <w:pStyle w:val="Header"/>
              <w:tabs>
                <w:tab w:val="clear" w:pos="4320"/>
                <w:tab w:val="clear" w:pos="8640"/>
              </w:tabs>
              <w:rPr>
                <w:rFonts w:cs="Arial"/>
              </w:rPr>
            </w:pPr>
            <w:r>
              <w:t>Urine: Timed (24 hour) or Random collection no preser</w:t>
            </w:r>
            <w:r w:rsidR="00621E19">
              <w:t>vatives.</w:t>
            </w:r>
          </w:p>
          <w:p w:rsidR="00016ADF" w:rsidRDefault="00016ADF" w:rsidP="00101F15">
            <w:pPr>
              <w:rPr>
                <w:rFonts w:cs="Arial"/>
                <w:b/>
                <w:bCs/>
              </w:rPr>
            </w:pPr>
          </w:p>
          <w:p w:rsidR="00016ADF" w:rsidRDefault="00016ADF" w:rsidP="00101F15">
            <w:pPr>
              <w:rPr>
                <w:rFonts w:cs="Arial"/>
              </w:rPr>
            </w:pPr>
            <w:r>
              <w:rPr>
                <w:rFonts w:cs="Arial"/>
                <w:b/>
                <w:bCs/>
              </w:rPr>
              <w:t>Minimum volume:</w:t>
            </w:r>
            <w:r>
              <w:rPr>
                <w:rFonts w:cs="Arial"/>
              </w:rPr>
              <w:t xml:space="preserve"> 0.2 </w:t>
            </w:r>
            <w:proofErr w:type="spellStart"/>
            <w:r>
              <w:rPr>
                <w:rFonts w:cs="Arial"/>
              </w:rPr>
              <w:t>mL</w:t>
            </w:r>
            <w:proofErr w:type="spellEnd"/>
          </w:p>
          <w:p w:rsidR="00016ADF" w:rsidRDefault="00016ADF" w:rsidP="00101F15">
            <w:pPr>
              <w:pStyle w:val="Header"/>
              <w:tabs>
                <w:tab w:val="clear" w:pos="4320"/>
                <w:tab w:val="clear" w:pos="8640"/>
              </w:tabs>
              <w:rPr>
                <w:rFonts w:cs="Arial"/>
                <w:b/>
                <w:bCs/>
              </w:rPr>
            </w:pPr>
          </w:p>
          <w:p w:rsidR="00016ADF" w:rsidRDefault="00016ADF" w:rsidP="00101F15">
            <w:pPr>
              <w:pStyle w:val="Header"/>
              <w:tabs>
                <w:tab w:val="clear" w:pos="4320"/>
                <w:tab w:val="clear" w:pos="8640"/>
              </w:tabs>
              <w:rPr>
                <w:rFonts w:cs="Arial"/>
                <w:szCs w:val="14"/>
              </w:rPr>
            </w:pPr>
            <w:r>
              <w:rPr>
                <w:rFonts w:cs="Arial"/>
                <w:b/>
                <w:bCs/>
              </w:rPr>
              <w:t>Stability:</w:t>
            </w:r>
            <w:r>
              <w:rPr>
                <w:rFonts w:cs="Arial"/>
              </w:rPr>
              <w:t xml:space="preserve"> </w:t>
            </w:r>
            <w:r>
              <w:t xml:space="preserve">RT / 7 days, 2-8 </w:t>
            </w:r>
            <w:r>
              <w:sym w:font="Symbol" w:char="F0B0"/>
            </w:r>
            <w:r>
              <w:t>C / 7 days, &lt; -20</w:t>
            </w:r>
            <w:r>
              <w:sym w:font="Symbol" w:char="F0B0"/>
            </w:r>
            <w:r w:rsidR="00621E19">
              <w:t>C / 1 year, Urines stable 2-8</w:t>
            </w:r>
            <w:r>
              <w:sym w:font="Symbol" w:char="F0B0"/>
            </w:r>
            <w:r>
              <w:t>C / 7 days</w:t>
            </w:r>
          </w:p>
          <w:p w:rsidR="00016ADF" w:rsidRDefault="00016ADF" w:rsidP="00101F15">
            <w:pPr>
              <w:pStyle w:val="Header"/>
              <w:tabs>
                <w:tab w:val="clear" w:pos="4320"/>
                <w:tab w:val="clear" w:pos="8640"/>
                <w:tab w:val="left" w:pos="1181"/>
              </w:tabs>
              <w:rPr>
                <w:rFonts w:cs="Arial"/>
                <w:b/>
                <w:bCs/>
              </w:rPr>
            </w:pPr>
          </w:p>
          <w:p w:rsidR="00016ADF" w:rsidRDefault="00016ADF" w:rsidP="00101F15">
            <w:pPr>
              <w:pStyle w:val="Header"/>
              <w:tabs>
                <w:tab w:val="clear" w:pos="4320"/>
                <w:tab w:val="clear" w:pos="8640"/>
              </w:tabs>
              <w:rPr>
                <w:rFonts w:cs="Arial"/>
              </w:rPr>
            </w:pPr>
            <w:r>
              <w:rPr>
                <w:rFonts w:cs="Arial"/>
                <w:b/>
                <w:bCs/>
              </w:rPr>
              <w:t>Rejection criteria:</w:t>
            </w:r>
            <w:r>
              <w:rPr>
                <w:rFonts w:cs="Arial"/>
              </w:rPr>
              <w:t xml:space="preserve"> Unlabelled specimens.</w:t>
            </w:r>
          </w:p>
          <w:p w:rsidR="00016ADF" w:rsidRDefault="00016ADF" w:rsidP="00101F15">
            <w:pPr>
              <w:rPr>
                <w:rFonts w:cs="Arial"/>
                <w:b/>
                <w:bCs/>
              </w:rPr>
            </w:pPr>
          </w:p>
          <w:p w:rsidR="00016ADF" w:rsidRDefault="00016ADF" w:rsidP="00101F15">
            <w:pPr>
              <w:rPr>
                <w:rFonts w:cs="Arial"/>
              </w:rPr>
            </w:pPr>
            <w:r>
              <w:rPr>
                <w:rFonts w:cs="Arial"/>
                <w:b/>
                <w:bCs/>
              </w:rPr>
              <w:t>Preparation:</w:t>
            </w:r>
          </w:p>
          <w:p w:rsidR="00621E19" w:rsidRPr="00621E19" w:rsidRDefault="00016ADF" w:rsidP="00016ADF">
            <w:pPr>
              <w:numPr>
                <w:ilvl w:val="0"/>
                <w:numId w:val="4"/>
              </w:numPr>
              <w:spacing w:after="120"/>
              <w:jc w:val="both"/>
              <w:rPr>
                <w:rFonts w:cs="Arial"/>
                <w:szCs w:val="20"/>
              </w:rPr>
            </w:pPr>
            <w:r>
              <w:t xml:space="preserve">Timed urine collections are measured for total volume, and the collection date and time recorded for the start and end of the collection.  Enter this information into </w:t>
            </w:r>
            <w:proofErr w:type="spellStart"/>
            <w:r>
              <w:t>Sunquest</w:t>
            </w:r>
            <w:proofErr w:type="spellEnd"/>
            <w:r>
              <w:t xml:space="preserve"> by ordering the test PV on the same accession number.</w:t>
            </w:r>
          </w:p>
          <w:p w:rsidR="00621E19" w:rsidRDefault="00016ADF" w:rsidP="00016ADF">
            <w:pPr>
              <w:numPr>
                <w:ilvl w:val="0"/>
                <w:numId w:val="4"/>
              </w:numPr>
              <w:autoSpaceDE w:val="0"/>
              <w:autoSpaceDN w:val="0"/>
              <w:adjustRightInd w:val="0"/>
              <w:spacing w:after="120"/>
              <w:jc w:val="both"/>
              <w:rPr>
                <w:rFonts w:cs="Arial"/>
                <w:szCs w:val="20"/>
              </w:rPr>
            </w:pPr>
            <w:r w:rsidRPr="00621E19">
              <w:rPr>
                <w:rFonts w:cs="Arial"/>
                <w:szCs w:val="20"/>
              </w:rPr>
              <w:t xml:space="preserve">Whole blood </w:t>
            </w:r>
            <w:r w:rsidR="00621E19">
              <w:rPr>
                <w:rFonts w:cs="Arial"/>
                <w:szCs w:val="20"/>
              </w:rPr>
              <w:t xml:space="preserve">serum </w:t>
            </w:r>
            <w:r w:rsidRPr="00621E19">
              <w:rPr>
                <w:rFonts w:cs="Arial"/>
                <w:szCs w:val="20"/>
              </w:rPr>
              <w:t>specimens should be centrifuged following complete clot formation, according to Specimen Processing procedures prior to analysis.</w:t>
            </w:r>
          </w:p>
          <w:p w:rsidR="00621E19" w:rsidRDefault="00621E19" w:rsidP="00016ADF">
            <w:pPr>
              <w:numPr>
                <w:ilvl w:val="0"/>
                <w:numId w:val="4"/>
              </w:numPr>
              <w:autoSpaceDE w:val="0"/>
              <w:autoSpaceDN w:val="0"/>
              <w:adjustRightInd w:val="0"/>
              <w:spacing w:after="120"/>
              <w:jc w:val="both"/>
              <w:rPr>
                <w:rFonts w:cs="Arial"/>
                <w:szCs w:val="20"/>
              </w:rPr>
            </w:pPr>
            <w:r>
              <w:rPr>
                <w:rFonts w:cs="Arial"/>
                <w:szCs w:val="20"/>
              </w:rPr>
              <w:t>Serum/</w:t>
            </w:r>
            <w:r w:rsidR="00016ADF" w:rsidRPr="00621E19">
              <w:rPr>
                <w:rFonts w:cs="Arial"/>
                <w:szCs w:val="20"/>
              </w:rPr>
              <w:t>plasma should be physically separated from cells as soon as possible with a maximum limit of two hours from the time of collection.</w:t>
            </w:r>
          </w:p>
          <w:p w:rsidR="00621E19" w:rsidRDefault="00016ADF" w:rsidP="00016ADF">
            <w:pPr>
              <w:numPr>
                <w:ilvl w:val="0"/>
                <w:numId w:val="4"/>
              </w:numPr>
              <w:autoSpaceDE w:val="0"/>
              <w:autoSpaceDN w:val="0"/>
              <w:adjustRightInd w:val="0"/>
              <w:spacing w:after="120"/>
              <w:jc w:val="both"/>
              <w:rPr>
                <w:rFonts w:cs="Arial"/>
                <w:szCs w:val="20"/>
              </w:rPr>
            </w:pPr>
            <w:proofErr w:type="spellStart"/>
            <w:r w:rsidRPr="00621E19">
              <w:rPr>
                <w:rFonts w:cs="Arial"/>
                <w:szCs w:val="20"/>
              </w:rPr>
              <w:t>Lipemic</w:t>
            </w:r>
            <w:proofErr w:type="spellEnd"/>
            <w:r w:rsidRPr="00621E19">
              <w:rPr>
                <w:rFonts w:cs="Arial"/>
                <w:szCs w:val="20"/>
              </w:rPr>
              <w:t xml:space="preserve"> </w:t>
            </w:r>
            <w:r w:rsidR="00621E19">
              <w:rPr>
                <w:rFonts w:cs="Arial"/>
                <w:szCs w:val="20"/>
              </w:rPr>
              <w:t xml:space="preserve">serum/plasma </w:t>
            </w:r>
            <w:r w:rsidRPr="00621E19">
              <w:rPr>
                <w:rFonts w:cs="Arial"/>
                <w:szCs w:val="20"/>
              </w:rPr>
              <w:t xml:space="preserve">samples should be </w:t>
            </w:r>
            <w:proofErr w:type="spellStart"/>
            <w:r w:rsidRPr="00621E19">
              <w:rPr>
                <w:rFonts w:cs="Arial"/>
                <w:szCs w:val="20"/>
              </w:rPr>
              <w:t>ultrafuged</w:t>
            </w:r>
            <w:proofErr w:type="spellEnd"/>
            <w:r w:rsidRPr="00621E19">
              <w:rPr>
                <w:rFonts w:cs="Arial"/>
                <w:szCs w:val="20"/>
              </w:rPr>
              <w:t>.</w:t>
            </w:r>
          </w:p>
          <w:p w:rsidR="00016ADF" w:rsidRPr="00621E19" w:rsidRDefault="00016ADF" w:rsidP="00621E19">
            <w:pPr>
              <w:pStyle w:val="ListParagraph"/>
              <w:numPr>
                <w:ilvl w:val="0"/>
                <w:numId w:val="4"/>
              </w:numPr>
              <w:autoSpaceDE w:val="0"/>
              <w:autoSpaceDN w:val="0"/>
              <w:adjustRightInd w:val="0"/>
              <w:spacing w:after="120"/>
              <w:jc w:val="both"/>
              <w:rPr>
                <w:rFonts w:cs="Arial"/>
                <w:szCs w:val="20"/>
              </w:rPr>
            </w:pPr>
            <w:r w:rsidRPr="00621E19">
              <w:rPr>
                <w:rFonts w:cs="Arial"/>
                <w:szCs w:val="20"/>
              </w:rPr>
              <w:t xml:space="preserve">Specimens should be free of particulate matter. </w:t>
            </w:r>
          </w:p>
          <w:p w:rsidR="00016ADF" w:rsidRDefault="00621E19" w:rsidP="00016ADF">
            <w:pPr>
              <w:numPr>
                <w:ilvl w:val="0"/>
                <w:numId w:val="4"/>
              </w:numPr>
              <w:rPr>
                <w:rFonts w:cs="Arial"/>
              </w:rPr>
            </w:pPr>
            <w:r>
              <w:rPr>
                <w:rFonts w:cs="Arial"/>
                <w:szCs w:val="14"/>
              </w:rPr>
              <w:t>Transfer serum/</w:t>
            </w:r>
            <w:r w:rsidR="00016ADF">
              <w:rPr>
                <w:rFonts w:cs="Arial"/>
                <w:szCs w:val="14"/>
              </w:rPr>
              <w:t>plasma or prepared urine to a properly labeled RXL SSC or tube. Minimum labeling includes sample accession ID, and/ or patient name, medical record number, collection date and time.</w:t>
            </w:r>
          </w:p>
          <w:p w:rsidR="00016ADF" w:rsidRDefault="00016ADF" w:rsidP="00101F15">
            <w:pPr>
              <w:pStyle w:val="Header"/>
              <w:tabs>
                <w:tab w:val="clear" w:pos="4320"/>
                <w:tab w:val="clear" w:pos="8640"/>
              </w:tabs>
              <w:rPr>
                <w:rFonts w:cs="Arial"/>
              </w:rPr>
            </w:pPr>
          </w:p>
        </w:tc>
      </w:tr>
      <w:tr w:rsidR="00016ADF" w:rsidTr="00101F15">
        <w:trPr>
          <w:trHeight w:val="5690"/>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Reagents</w:t>
            </w:r>
          </w:p>
        </w:tc>
        <w:tc>
          <w:tcPr>
            <w:tcW w:w="9360" w:type="dxa"/>
            <w:gridSpan w:val="4"/>
            <w:tcBorders>
              <w:top w:val="single" w:sz="18" w:space="0" w:color="A6A6A6"/>
              <w:bottom w:val="single" w:sz="18" w:space="0" w:color="A6A6A6"/>
            </w:tcBorders>
          </w:tcPr>
          <w:p w:rsidR="00016ADF" w:rsidRDefault="00016ADF" w:rsidP="00101F15">
            <w:pPr>
              <w:rPr>
                <w:rFonts w:cs="Arial"/>
              </w:rPr>
            </w:pPr>
          </w:p>
          <w:p w:rsidR="00016ADF" w:rsidRPr="006D1E54" w:rsidRDefault="00016ADF" w:rsidP="00101F15">
            <w:pPr>
              <w:pStyle w:val="Reagents"/>
              <w:rPr>
                <w:rFonts w:ascii="Arial" w:hAnsi="Arial" w:cs="Arial"/>
                <w:b/>
                <w:bCs/>
                <w:color w:val="365F91"/>
              </w:rPr>
            </w:pPr>
            <w:r w:rsidRPr="006D1E54">
              <w:rPr>
                <w:rFonts w:ascii="Arial" w:hAnsi="Arial" w:cs="Arial"/>
                <w:b/>
                <w:bCs/>
                <w:color w:val="365F91"/>
              </w:rPr>
              <w:t>PRIMARY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43"/>
              <w:gridCol w:w="1524"/>
              <w:gridCol w:w="4562"/>
            </w:tblGrid>
            <w:tr w:rsidR="00016ADF" w:rsidTr="00101F15">
              <w:tc>
                <w:tcPr>
                  <w:tcW w:w="3043" w:type="dxa"/>
                </w:tcPr>
                <w:p w:rsidR="00016ADF" w:rsidRPr="00916308" w:rsidRDefault="00016ADF" w:rsidP="00101F15">
                  <w:pPr>
                    <w:pStyle w:val="Reagents"/>
                    <w:rPr>
                      <w:rFonts w:ascii="Arial" w:hAnsi="Arial" w:cs="Arial"/>
                      <w:b/>
                      <w:bCs/>
                    </w:rPr>
                  </w:pPr>
                  <w:r w:rsidRPr="00916308">
                    <w:rPr>
                      <w:rFonts w:ascii="Arial" w:hAnsi="Arial" w:cs="Arial"/>
                      <w:b/>
                      <w:bCs/>
                      <w:i/>
                      <w:iCs/>
                    </w:rPr>
                    <w:t>Product Description</w:t>
                  </w:r>
                </w:p>
              </w:tc>
              <w:tc>
                <w:tcPr>
                  <w:tcW w:w="1524" w:type="dxa"/>
                </w:tcPr>
                <w:p w:rsidR="00016ADF" w:rsidRPr="00916308" w:rsidRDefault="00016ADF" w:rsidP="00101F15">
                  <w:pPr>
                    <w:pStyle w:val="Reagents"/>
                    <w:rPr>
                      <w:rFonts w:ascii="Arial" w:hAnsi="Arial" w:cs="Arial"/>
                      <w:b/>
                      <w:bCs/>
                    </w:rPr>
                  </w:pPr>
                  <w:r w:rsidRPr="00916308">
                    <w:rPr>
                      <w:rFonts w:ascii="Arial" w:hAnsi="Arial" w:cs="Arial"/>
                      <w:b/>
                      <w:bCs/>
                      <w:i/>
                      <w:iCs/>
                    </w:rPr>
                    <w:t>Product Code</w:t>
                  </w:r>
                </w:p>
              </w:tc>
              <w:tc>
                <w:tcPr>
                  <w:tcW w:w="4562" w:type="dxa"/>
                </w:tcPr>
                <w:p w:rsidR="00016ADF" w:rsidRPr="00916308" w:rsidRDefault="00016ADF" w:rsidP="00101F15">
                  <w:pPr>
                    <w:pStyle w:val="Reagents"/>
                    <w:rPr>
                      <w:rFonts w:ascii="Arial" w:hAnsi="Arial" w:cs="Arial"/>
                      <w:b/>
                      <w:bCs/>
                    </w:rPr>
                  </w:pPr>
                  <w:r w:rsidRPr="00916308">
                    <w:rPr>
                      <w:rFonts w:ascii="Arial" w:hAnsi="Arial" w:cs="Arial"/>
                      <w:b/>
                      <w:bCs/>
                      <w:i/>
                      <w:iCs/>
                    </w:rPr>
                    <w:t>Stability</w:t>
                  </w:r>
                </w:p>
              </w:tc>
            </w:tr>
            <w:tr w:rsidR="00016ADF" w:rsidRPr="00F16A81" w:rsidTr="00101F15">
              <w:tc>
                <w:tcPr>
                  <w:tcW w:w="3043" w:type="dxa"/>
                </w:tcPr>
                <w:p w:rsidR="00016ADF" w:rsidRPr="00F16A81" w:rsidRDefault="00016ADF" w:rsidP="00101F15">
                  <w:pPr>
                    <w:pStyle w:val="BodyText"/>
                    <w:jc w:val="both"/>
                  </w:pPr>
                  <w:r>
                    <w:t>MG</w:t>
                  </w:r>
                  <w:r w:rsidRPr="00F16A81">
                    <w:t xml:space="preserve"> Flex® reagent cartridge, </w:t>
                  </w:r>
                </w:p>
                <w:p w:rsidR="00016ADF" w:rsidRPr="00F16A81" w:rsidRDefault="00016ADF" w:rsidP="00101F15">
                  <w:pPr>
                    <w:pStyle w:val="BodyText"/>
                    <w:jc w:val="both"/>
                  </w:pPr>
                  <w:r w:rsidRPr="00F16A81">
                    <w:t>All reagents are liquid and ready to use.</w:t>
                  </w:r>
                </w:p>
                <w:p w:rsidR="00016ADF" w:rsidRPr="00F16A81" w:rsidRDefault="00016ADF" w:rsidP="00101F15">
                  <w:pPr>
                    <w:pStyle w:val="BodyText"/>
                    <w:spacing w:after="72"/>
                    <w:jc w:val="both"/>
                  </w:pPr>
                </w:p>
              </w:tc>
              <w:tc>
                <w:tcPr>
                  <w:tcW w:w="1524" w:type="dxa"/>
                </w:tcPr>
                <w:p w:rsidR="00016ADF" w:rsidRPr="00F16A81" w:rsidRDefault="00016ADF" w:rsidP="00101F15">
                  <w:pPr>
                    <w:pStyle w:val="Reagents"/>
                    <w:jc w:val="both"/>
                    <w:rPr>
                      <w:rFonts w:ascii="Arial" w:hAnsi="Arial" w:cs="Arial"/>
                      <w:bCs/>
                    </w:rPr>
                  </w:pPr>
                  <w:r w:rsidRPr="00F16A81">
                    <w:rPr>
                      <w:rFonts w:ascii="Arial" w:hAnsi="Arial"/>
                    </w:rPr>
                    <w:t>K</w:t>
                  </w:r>
                  <w:r>
                    <w:rPr>
                      <w:rFonts w:ascii="Arial" w:hAnsi="Arial"/>
                    </w:rPr>
                    <w:t>3057</w:t>
                  </w:r>
                </w:p>
              </w:tc>
              <w:tc>
                <w:tcPr>
                  <w:tcW w:w="4562" w:type="dxa"/>
                </w:tcPr>
                <w:p w:rsidR="00016ADF" w:rsidRPr="00F16A81" w:rsidRDefault="00016ADF" w:rsidP="00101F15">
                  <w:pPr>
                    <w:pStyle w:val="Reagents"/>
                    <w:spacing w:after="120"/>
                    <w:jc w:val="both"/>
                    <w:rPr>
                      <w:rFonts w:ascii="Arial" w:hAnsi="Arial" w:cs="Arial"/>
                      <w:bCs/>
                    </w:rPr>
                  </w:pPr>
                  <w:r w:rsidRPr="00FA023E">
                    <w:rPr>
                      <w:rFonts w:ascii="Arial" w:hAnsi="Arial" w:cs="Arial"/>
                      <w:b/>
                      <w:bCs/>
                    </w:rPr>
                    <w:t>Store at:</w:t>
                  </w:r>
                  <w:r w:rsidRPr="00F16A81">
                    <w:rPr>
                      <w:rFonts w:ascii="Arial" w:hAnsi="Arial" w:cs="Arial"/>
                      <w:bCs/>
                    </w:rPr>
                    <w:t xml:space="preserve"> 2 – 8 °C</w:t>
                  </w:r>
                </w:p>
                <w:p w:rsidR="00016ADF" w:rsidRPr="00F16A81" w:rsidRDefault="00016ADF" w:rsidP="00101F15">
                  <w:pPr>
                    <w:pStyle w:val="Reagents"/>
                    <w:spacing w:after="120"/>
                    <w:jc w:val="both"/>
                    <w:rPr>
                      <w:rFonts w:ascii="Arial" w:hAnsi="Arial" w:cs="Arial"/>
                      <w:bCs/>
                    </w:rPr>
                  </w:pPr>
                  <w:r w:rsidRPr="00F16A81">
                    <w:rPr>
                      <w:rFonts w:ascii="Arial" w:hAnsi="Arial" w:cs="Arial"/>
                      <w:b/>
                      <w:bCs/>
                    </w:rPr>
                    <w:t xml:space="preserve">Unopened: </w:t>
                  </w:r>
                  <w:r w:rsidRPr="00F16A81">
                    <w:rPr>
                      <w:rFonts w:ascii="Arial" w:hAnsi="Arial" w:cs="Arial"/>
                      <w:bCs/>
                    </w:rPr>
                    <w:t>Refer to carton for expiration date.</w:t>
                  </w:r>
                </w:p>
                <w:p w:rsidR="00016ADF" w:rsidRPr="00F16A81" w:rsidRDefault="00016ADF" w:rsidP="00101F15">
                  <w:pPr>
                    <w:autoSpaceDE w:val="0"/>
                    <w:autoSpaceDN w:val="0"/>
                    <w:adjustRightInd w:val="0"/>
                    <w:spacing w:after="120"/>
                    <w:jc w:val="both"/>
                    <w:rPr>
                      <w:rFonts w:cs="Arial"/>
                      <w:szCs w:val="20"/>
                    </w:rPr>
                  </w:pPr>
                  <w:r w:rsidRPr="00F16A81">
                    <w:rPr>
                      <w:rFonts w:cs="Arial"/>
                      <w:b/>
                      <w:bCs/>
                      <w:szCs w:val="20"/>
                    </w:rPr>
                    <w:t xml:space="preserve">On-board: </w:t>
                  </w:r>
                  <w:r w:rsidRPr="00F16A81">
                    <w:rPr>
                      <w:rFonts w:cs="Arial"/>
                      <w:szCs w:val="20"/>
                    </w:rPr>
                    <w:t>Sealed wells on the instrument are stable for 30 days.</w:t>
                  </w:r>
                </w:p>
                <w:p w:rsidR="00016ADF" w:rsidRDefault="00016ADF" w:rsidP="00101F15">
                  <w:pPr>
                    <w:pStyle w:val="Reagents"/>
                    <w:jc w:val="both"/>
                    <w:rPr>
                      <w:rFonts w:ascii="Arial" w:hAnsi="Arial"/>
                    </w:rPr>
                  </w:pPr>
                  <w:r w:rsidRPr="00F16A81">
                    <w:rPr>
                      <w:rFonts w:ascii="Arial" w:hAnsi="Arial" w:cs="Arial"/>
                      <w:b/>
                      <w:bCs/>
                    </w:rPr>
                    <w:t xml:space="preserve">Open well stability: </w:t>
                  </w:r>
                  <w:r>
                    <w:rPr>
                      <w:rFonts w:ascii="Arial" w:hAnsi="Arial"/>
                    </w:rPr>
                    <w:t>7 days for wells 1-12</w:t>
                  </w:r>
                </w:p>
                <w:p w:rsidR="00016ADF" w:rsidRPr="00F16A81" w:rsidRDefault="00016ADF" w:rsidP="00101F15">
                  <w:pPr>
                    <w:pStyle w:val="Reagents"/>
                    <w:jc w:val="both"/>
                    <w:rPr>
                      <w:rFonts w:ascii="Arial" w:hAnsi="Arial" w:cs="Arial"/>
                      <w:bCs/>
                    </w:rPr>
                  </w:pPr>
                </w:p>
              </w:tc>
            </w:tr>
            <w:tr w:rsidR="00016ADF" w:rsidRPr="00C64A90" w:rsidTr="00101F15">
              <w:trPr>
                <w:trHeight w:val="2600"/>
              </w:trPr>
              <w:tc>
                <w:tcPr>
                  <w:tcW w:w="3043" w:type="dxa"/>
                </w:tcPr>
                <w:p w:rsidR="00016ADF" w:rsidRPr="00EA53DA" w:rsidRDefault="00016ADF" w:rsidP="00101F15">
                  <w:pPr>
                    <w:pStyle w:val="Reagents"/>
                    <w:jc w:val="both"/>
                    <w:rPr>
                      <w:rFonts w:ascii="Arial" w:hAnsi="Arial" w:cs="Arial"/>
                      <w:bCs/>
                    </w:rPr>
                  </w:pPr>
                  <w:r w:rsidRPr="00EA53DA">
                    <w:rPr>
                      <w:rStyle w:val="ShadeBodyTextCondensed"/>
                      <w:rFonts w:ascii="Arial" w:eastAsiaTheme="majorEastAsia" w:hAnsi="Arial"/>
                      <w:u w:val="none"/>
                    </w:rPr>
                    <w:t>CHEM 1 CAL</w:t>
                  </w:r>
                </w:p>
                <w:p w:rsidR="00016ADF" w:rsidRPr="00EA53DA" w:rsidRDefault="00016ADF" w:rsidP="00101F15">
                  <w:pPr>
                    <w:pStyle w:val="BodyText"/>
                    <w:spacing w:after="0"/>
                    <w:jc w:val="both"/>
                  </w:pPr>
                </w:p>
                <w:p w:rsidR="00016ADF" w:rsidRPr="00EA53DA" w:rsidRDefault="00016ADF" w:rsidP="00101F15">
                  <w:pPr>
                    <w:pStyle w:val="Reagents"/>
                    <w:jc w:val="both"/>
                    <w:rPr>
                      <w:rFonts w:ascii="Arial" w:hAnsi="Arial" w:cs="Arial"/>
                      <w:bCs/>
                    </w:rPr>
                  </w:pPr>
                </w:p>
              </w:tc>
              <w:tc>
                <w:tcPr>
                  <w:tcW w:w="1524" w:type="dxa"/>
                </w:tcPr>
                <w:p w:rsidR="00016ADF" w:rsidRPr="00EA53DA" w:rsidRDefault="00016ADF" w:rsidP="00101F15">
                  <w:pPr>
                    <w:pStyle w:val="Reagents"/>
                    <w:jc w:val="both"/>
                    <w:rPr>
                      <w:rFonts w:ascii="Arial" w:hAnsi="Arial" w:cs="Arial"/>
                      <w:bCs/>
                    </w:rPr>
                  </w:pPr>
                  <w:r w:rsidRPr="00EA53DA">
                    <w:rPr>
                      <w:rStyle w:val="ShadeBodyTextCondensed"/>
                      <w:rFonts w:ascii="Arial" w:eastAsiaTheme="majorEastAsia" w:hAnsi="Arial"/>
                      <w:u w:val="none"/>
                    </w:rPr>
                    <w:t>KC110</w:t>
                  </w:r>
                </w:p>
              </w:tc>
              <w:tc>
                <w:tcPr>
                  <w:tcW w:w="4562" w:type="dxa"/>
                </w:tcPr>
                <w:p w:rsidR="00016ADF" w:rsidRPr="00C64A90" w:rsidRDefault="00016ADF" w:rsidP="00101F15">
                  <w:pPr>
                    <w:autoSpaceDE w:val="0"/>
                    <w:autoSpaceDN w:val="0"/>
                    <w:adjustRightInd w:val="0"/>
                    <w:spacing w:after="120"/>
                    <w:jc w:val="both"/>
                    <w:rPr>
                      <w:rFonts w:cs="Arial"/>
                      <w:szCs w:val="20"/>
                    </w:rPr>
                  </w:pPr>
                  <w:r w:rsidRPr="00C64A90">
                    <w:rPr>
                      <w:rFonts w:cs="Arial"/>
                      <w:b/>
                      <w:bCs/>
                      <w:szCs w:val="20"/>
                    </w:rPr>
                    <w:t xml:space="preserve">Store at: </w:t>
                  </w:r>
                  <w:r w:rsidRPr="00C64A90">
                    <w:rPr>
                      <w:rFonts w:cs="Arial"/>
                      <w:szCs w:val="20"/>
                    </w:rPr>
                    <w:t>2 - 8 °C.</w:t>
                  </w:r>
                </w:p>
                <w:p w:rsidR="00016ADF" w:rsidRPr="00C64A90" w:rsidRDefault="00016ADF" w:rsidP="00101F15">
                  <w:pPr>
                    <w:autoSpaceDE w:val="0"/>
                    <w:autoSpaceDN w:val="0"/>
                    <w:adjustRightInd w:val="0"/>
                    <w:spacing w:after="120"/>
                    <w:jc w:val="both"/>
                    <w:rPr>
                      <w:rFonts w:cs="Arial"/>
                      <w:szCs w:val="20"/>
                    </w:rPr>
                  </w:pPr>
                  <w:r w:rsidRPr="00C64A90">
                    <w:rPr>
                      <w:rFonts w:cs="Arial"/>
                      <w:b/>
                      <w:bCs/>
                      <w:szCs w:val="20"/>
                    </w:rPr>
                    <w:t xml:space="preserve">Unopened: </w:t>
                  </w:r>
                  <w:r w:rsidRPr="00C64A90">
                    <w:rPr>
                      <w:rFonts w:cs="Arial"/>
                      <w:szCs w:val="20"/>
                    </w:rPr>
                    <w:t>Refer to carton for expiration date.</w:t>
                  </w:r>
                </w:p>
                <w:p w:rsidR="00016ADF" w:rsidRPr="00C64A90" w:rsidRDefault="00016ADF" w:rsidP="00101F15">
                  <w:pPr>
                    <w:autoSpaceDE w:val="0"/>
                    <w:autoSpaceDN w:val="0"/>
                    <w:adjustRightInd w:val="0"/>
                    <w:spacing w:after="120"/>
                    <w:jc w:val="both"/>
                    <w:rPr>
                      <w:rFonts w:cs="Arial"/>
                      <w:szCs w:val="20"/>
                    </w:rPr>
                  </w:pPr>
                  <w:r w:rsidRPr="00C64A90">
                    <w:rPr>
                      <w:rFonts w:cs="Arial"/>
                      <w:b/>
                      <w:bCs/>
                      <w:szCs w:val="20"/>
                    </w:rPr>
                    <w:t xml:space="preserve">On-board: </w:t>
                  </w:r>
                  <w:r w:rsidRPr="00C64A90">
                    <w:rPr>
                      <w:rFonts w:cs="Arial"/>
                      <w:szCs w:val="20"/>
                    </w:rPr>
                    <w:t xml:space="preserve">Once the vial stopper is punctured, </w:t>
                  </w:r>
                  <w:r>
                    <w:rPr>
                      <w:rFonts w:cs="Arial"/>
                      <w:szCs w:val="20"/>
                    </w:rPr>
                    <w:t>assigned values are stable for 7</w:t>
                  </w:r>
                  <w:r w:rsidRPr="00C64A90">
                    <w:rPr>
                      <w:rFonts w:cs="Arial"/>
                      <w:szCs w:val="20"/>
                    </w:rPr>
                    <w:t xml:space="preserve"> days when stored </w:t>
                  </w:r>
                  <w:r w:rsidRPr="00C64A90">
                    <w:rPr>
                      <w:rFonts w:cs="Arial"/>
                    </w:rPr>
                    <w:t>on board</w:t>
                  </w:r>
                  <w:r w:rsidRPr="00C64A90">
                    <w:rPr>
                      <w:rFonts w:cs="Arial"/>
                      <w:szCs w:val="20"/>
                    </w:rPr>
                    <w:t xml:space="preserve"> the Dimension Vista® System.</w:t>
                  </w:r>
                </w:p>
                <w:p w:rsidR="00016ADF" w:rsidRPr="00C64A90" w:rsidRDefault="00016ADF" w:rsidP="00101F15">
                  <w:pPr>
                    <w:autoSpaceDE w:val="0"/>
                    <w:autoSpaceDN w:val="0"/>
                    <w:adjustRightInd w:val="0"/>
                    <w:jc w:val="both"/>
                    <w:rPr>
                      <w:rFonts w:cs="Arial"/>
                      <w:b/>
                      <w:szCs w:val="20"/>
                    </w:rPr>
                  </w:pPr>
                  <w:r w:rsidRPr="00C64A90">
                    <w:rPr>
                      <w:rFonts w:cs="Arial"/>
                      <w:b/>
                      <w:szCs w:val="20"/>
                    </w:rPr>
                    <w:t>Opened</w:t>
                  </w:r>
                  <w:r w:rsidRPr="00C64A90">
                    <w:rPr>
                      <w:rFonts w:cs="Arial"/>
                      <w:szCs w:val="20"/>
                    </w:rPr>
                    <w:t xml:space="preserve">: Once the cap is removed, assigned values are stable </w:t>
                  </w:r>
                  <w:r>
                    <w:rPr>
                      <w:rFonts w:cs="Arial"/>
                      <w:szCs w:val="20"/>
                    </w:rPr>
                    <w:t>for 7</w:t>
                  </w:r>
                  <w:r w:rsidRPr="00C64A90">
                    <w:rPr>
                      <w:rFonts w:cs="Arial"/>
                      <w:szCs w:val="20"/>
                    </w:rPr>
                    <w:t xml:space="preserve"> days when recapped and stored at 2-8 C. Do not use on board the Vista. Exposure to light will degrade </w:t>
                  </w:r>
                  <w:proofErr w:type="spellStart"/>
                  <w:r w:rsidRPr="00C64A90">
                    <w:rPr>
                      <w:rFonts w:cs="Arial"/>
                      <w:szCs w:val="20"/>
                    </w:rPr>
                    <w:t>bilirubin</w:t>
                  </w:r>
                  <w:proofErr w:type="spellEnd"/>
                  <w:r w:rsidRPr="00C64A90">
                    <w:rPr>
                      <w:rFonts w:cs="Arial"/>
                      <w:szCs w:val="20"/>
                    </w:rPr>
                    <w:t xml:space="preserve">. </w:t>
                  </w:r>
                </w:p>
              </w:tc>
            </w:tr>
          </w:tbl>
          <w:p w:rsidR="00016ADF" w:rsidRDefault="00016ADF" w:rsidP="00101F15">
            <w:pPr>
              <w:pStyle w:val="BodyText"/>
              <w:rPr>
                <w:rFonts w:cs="Arial"/>
              </w:rPr>
            </w:pPr>
          </w:p>
        </w:tc>
      </w:tr>
      <w:tr w:rsidR="00016ADF" w:rsidTr="00101F15">
        <w:trPr>
          <w:trHeight w:val="4581"/>
          <w:tblHeader/>
        </w:trPr>
        <w:tc>
          <w:tcPr>
            <w:tcW w:w="1800" w:type="dxa"/>
          </w:tcPr>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rPr>
                <w:b/>
                <w:bCs/>
                <w:color w:val="76923C"/>
                <w:szCs w:val="20"/>
              </w:rPr>
            </w:pPr>
            <w:r w:rsidRPr="001E6473">
              <w:rPr>
                <w:b/>
                <w:bCs/>
                <w:color w:val="76923C"/>
                <w:szCs w:val="20"/>
              </w:rPr>
              <w:t>SECONDARY (BACKUP) METHOD</w:t>
            </w:r>
          </w:p>
          <w:p w:rsidR="00016ADF" w:rsidRDefault="00016ADF" w:rsidP="00101F15">
            <w:pPr>
              <w:rPr>
                <w:b/>
                <w:bCs/>
                <w:color w:val="76923C"/>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43"/>
              <w:gridCol w:w="1524"/>
              <w:gridCol w:w="4562"/>
            </w:tblGrid>
            <w:tr w:rsidR="00016ADF" w:rsidRPr="00916308" w:rsidTr="00101F15">
              <w:tc>
                <w:tcPr>
                  <w:tcW w:w="3043" w:type="dxa"/>
                </w:tcPr>
                <w:p w:rsidR="00016ADF" w:rsidRPr="00916308" w:rsidRDefault="00016ADF" w:rsidP="00101F15">
                  <w:pPr>
                    <w:pStyle w:val="Reagents"/>
                    <w:rPr>
                      <w:rFonts w:ascii="Arial" w:hAnsi="Arial" w:cs="Arial"/>
                      <w:b/>
                      <w:bCs/>
                    </w:rPr>
                  </w:pPr>
                  <w:r w:rsidRPr="00916308">
                    <w:rPr>
                      <w:rFonts w:ascii="Arial" w:hAnsi="Arial" w:cs="Arial"/>
                      <w:b/>
                      <w:bCs/>
                      <w:i/>
                      <w:iCs/>
                    </w:rPr>
                    <w:t>Product Description</w:t>
                  </w:r>
                </w:p>
              </w:tc>
              <w:tc>
                <w:tcPr>
                  <w:tcW w:w="1524" w:type="dxa"/>
                </w:tcPr>
                <w:p w:rsidR="00016ADF" w:rsidRPr="00916308" w:rsidRDefault="00016ADF" w:rsidP="00101F15">
                  <w:pPr>
                    <w:pStyle w:val="Reagents"/>
                    <w:rPr>
                      <w:rFonts w:ascii="Arial" w:hAnsi="Arial" w:cs="Arial"/>
                      <w:b/>
                      <w:bCs/>
                    </w:rPr>
                  </w:pPr>
                  <w:r w:rsidRPr="00916308">
                    <w:rPr>
                      <w:rFonts w:ascii="Arial" w:hAnsi="Arial" w:cs="Arial"/>
                      <w:b/>
                      <w:bCs/>
                      <w:i/>
                      <w:iCs/>
                    </w:rPr>
                    <w:t>Product Code</w:t>
                  </w:r>
                </w:p>
              </w:tc>
              <w:tc>
                <w:tcPr>
                  <w:tcW w:w="4562" w:type="dxa"/>
                </w:tcPr>
                <w:p w:rsidR="00016ADF" w:rsidRPr="00916308" w:rsidRDefault="00016ADF" w:rsidP="00101F15">
                  <w:pPr>
                    <w:pStyle w:val="Reagents"/>
                    <w:rPr>
                      <w:rFonts w:ascii="Arial" w:hAnsi="Arial" w:cs="Arial"/>
                      <w:b/>
                      <w:bCs/>
                    </w:rPr>
                  </w:pPr>
                  <w:r w:rsidRPr="00916308">
                    <w:rPr>
                      <w:rFonts w:ascii="Arial" w:hAnsi="Arial" w:cs="Arial"/>
                      <w:b/>
                      <w:bCs/>
                      <w:i/>
                      <w:iCs/>
                    </w:rPr>
                    <w:t>Stability</w:t>
                  </w:r>
                </w:p>
              </w:tc>
            </w:tr>
            <w:tr w:rsidR="00016ADF" w:rsidRPr="00F16A81" w:rsidTr="00101F15">
              <w:tc>
                <w:tcPr>
                  <w:tcW w:w="3043" w:type="dxa"/>
                </w:tcPr>
                <w:p w:rsidR="00016ADF" w:rsidRPr="00F16A81" w:rsidRDefault="00016ADF" w:rsidP="00101F15">
                  <w:pPr>
                    <w:pStyle w:val="BodyText"/>
                    <w:jc w:val="both"/>
                  </w:pPr>
                  <w:r>
                    <w:t>MG</w:t>
                  </w:r>
                  <w:r w:rsidRPr="00F16A81">
                    <w:t xml:space="preserve"> Flex® reagent cartridge, </w:t>
                  </w:r>
                </w:p>
                <w:p w:rsidR="00016ADF" w:rsidRPr="00F16A81" w:rsidRDefault="00016ADF" w:rsidP="00101F15">
                  <w:pPr>
                    <w:pStyle w:val="BodyText"/>
                    <w:jc w:val="both"/>
                  </w:pPr>
                  <w:r w:rsidRPr="00F16A81">
                    <w:t>All reagents are liquid and ready to use.</w:t>
                  </w:r>
                </w:p>
                <w:p w:rsidR="00016ADF" w:rsidRPr="00F16A81" w:rsidRDefault="00016ADF" w:rsidP="00101F15">
                  <w:pPr>
                    <w:pStyle w:val="BodyText"/>
                    <w:spacing w:after="72"/>
                    <w:jc w:val="both"/>
                  </w:pPr>
                </w:p>
              </w:tc>
              <w:tc>
                <w:tcPr>
                  <w:tcW w:w="1524" w:type="dxa"/>
                </w:tcPr>
                <w:p w:rsidR="00016ADF" w:rsidRPr="00F16A81" w:rsidRDefault="00016ADF" w:rsidP="00101F15">
                  <w:pPr>
                    <w:pStyle w:val="Reagents"/>
                    <w:jc w:val="both"/>
                    <w:rPr>
                      <w:rFonts w:ascii="Arial" w:hAnsi="Arial" w:cs="Arial"/>
                      <w:bCs/>
                    </w:rPr>
                  </w:pPr>
                  <w:r>
                    <w:rPr>
                      <w:rFonts w:ascii="Arial" w:hAnsi="Arial"/>
                    </w:rPr>
                    <w:t>DF57</w:t>
                  </w:r>
                </w:p>
              </w:tc>
              <w:tc>
                <w:tcPr>
                  <w:tcW w:w="4562" w:type="dxa"/>
                </w:tcPr>
                <w:p w:rsidR="00016ADF" w:rsidRPr="00F16A81" w:rsidRDefault="00016ADF" w:rsidP="00101F15">
                  <w:pPr>
                    <w:pStyle w:val="Reagents"/>
                    <w:spacing w:after="120"/>
                    <w:jc w:val="both"/>
                    <w:rPr>
                      <w:rFonts w:ascii="Arial" w:hAnsi="Arial" w:cs="Arial"/>
                      <w:bCs/>
                    </w:rPr>
                  </w:pPr>
                  <w:r w:rsidRPr="00FA023E">
                    <w:rPr>
                      <w:rFonts w:ascii="Arial" w:hAnsi="Arial" w:cs="Arial"/>
                      <w:b/>
                      <w:bCs/>
                    </w:rPr>
                    <w:t>Store at:</w:t>
                  </w:r>
                  <w:r w:rsidRPr="00F16A81">
                    <w:rPr>
                      <w:rFonts w:ascii="Arial" w:hAnsi="Arial" w:cs="Arial"/>
                      <w:bCs/>
                    </w:rPr>
                    <w:t xml:space="preserve"> 2 – 8 °C</w:t>
                  </w:r>
                </w:p>
                <w:p w:rsidR="00016ADF" w:rsidRPr="00F16A81" w:rsidRDefault="00016ADF" w:rsidP="00101F15">
                  <w:pPr>
                    <w:pStyle w:val="Reagents"/>
                    <w:spacing w:after="120"/>
                    <w:jc w:val="both"/>
                    <w:rPr>
                      <w:rFonts w:ascii="Arial" w:hAnsi="Arial" w:cs="Arial"/>
                      <w:bCs/>
                    </w:rPr>
                  </w:pPr>
                  <w:r w:rsidRPr="00F16A81">
                    <w:rPr>
                      <w:rFonts w:ascii="Arial" w:hAnsi="Arial" w:cs="Arial"/>
                      <w:b/>
                      <w:bCs/>
                    </w:rPr>
                    <w:t xml:space="preserve">Unopened: </w:t>
                  </w:r>
                  <w:r w:rsidRPr="00F16A81">
                    <w:rPr>
                      <w:rFonts w:ascii="Arial" w:hAnsi="Arial" w:cs="Arial"/>
                      <w:bCs/>
                    </w:rPr>
                    <w:t>Refer to carton for expiration date.</w:t>
                  </w:r>
                </w:p>
                <w:p w:rsidR="00016ADF" w:rsidRPr="00F16A81" w:rsidRDefault="00016ADF" w:rsidP="00101F15">
                  <w:pPr>
                    <w:autoSpaceDE w:val="0"/>
                    <w:autoSpaceDN w:val="0"/>
                    <w:adjustRightInd w:val="0"/>
                    <w:spacing w:after="120"/>
                    <w:jc w:val="both"/>
                    <w:rPr>
                      <w:rFonts w:cs="Arial"/>
                      <w:szCs w:val="20"/>
                    </w:rPr>
                  </w:pPr>
                  <w:r w:rsidRPr="00F16A81">
                    <w:rPr>
                      <w:rFonts w:cs="Arial"/>
                      <w:b/>
                      <w:bCs/>
                      <w:szCs w:val="20"/>
                    </w:rPr>
                    <w:t xml:space="preserve">On-board: </w:t>
                  </w:r>
                  <w:r w:rsidRPr="00F16A81">
                    <w:rPr>
                      <w:rFonts w:cs="Arial"/>
                      <w:szCs w:val="20"/>
                    </w:rPr>
                    <w:t>Sealed wells on the instrument are stable for 30 days.</w:t>
                  </w:r>
                </w:p>
                <w:p w:rsidR="00016ADF" w:rsidRDefault="00016ADF" w:rsidP="00101F15">
                  <w:pPr>
                    <w:pStyle w:val="Reagents"/>
                    <w:jc w:val="both"/>
                    <w:rPr>
                      <w:rFonts w:ascii="Arial" w:hAnsi="Arial"/>
                    </w:rPr>
                  </w:pPr>
                  <w:r w:rsidRPr="00F16A81">
                    <w:rPr>
                      <w:rFonts w:ascii="Arial" w:hAnsi="Arial" w:cs="Arial"/>
                      <w:b/>
                      <w:bCs/>
                    </w:rPr>
                    <w:t xml:space="preserve">Open well stability: </w:t>
                  </w:r>
                  <w:r>
                    <w:rPr>
                      <w:rFonts w:ascii="Arial" w:hAnsi="Arial"/>
                    </w:rPr>
                    <w:t>2 days for wells 1-8</w:t>
                  </w:r>
                </w:p>
                <w:p w:rsidR="00016ADF" w:rsidRPr="00F16A81" w:rsidRDefault="00016ADF" w:rsidP="00101F15">
                  <w:pPr>
                    <w:pStyle w:val="Reagents"/>
                    <w:jc w:val="both"/>
                    <w:rPr>
                      <w:rFonts w:ascii="Arial" w:hAnsi="Arial" w:cs="Arial"/>
                      <w:bCs/>
                    </w:rPr>
                  </w:pPr>
                </w:p>
              </w:tc>
            </w:tr>
            <w:tr w:rsidR="00016ADF" w:rsidRPr="00C64A90" w:rsidTr="00101F15">
              <w:trPr>
                <w:trHeight w:val="1214"/>
              </w:trPr>
              <w:tc>
                <w:tcPr>
                  <w:tcW w:w="3043" w:type="dxa"/>
                </w:tcPr>
                <w:p w:rsidR="00016ADF" w:rsidRPr="00016ADF" w:rsidRDefault="00016ADF" w:rsidP="00101F15">
                  <w:pPr>
                    <w:pStyle w:val="Reagents"/>
                    <w:jc w:val="both"/>
                    <w:rPr>
                      <w:rFonts w:ascii="Arial" w:hAnsi="Arial" w:cs="Arial"/>
                      <w:bCs/>
                    </w:rPr>
                  </w:pPr>
                  <w:r w:rsidRPr="00016ADF">
                    <w:rPr>
                      <w:rStyle w:val="ShadeBodyTextCondensed"/>
                      <w:rFonts w:ascii="Arial" w:eastAsiaTheme="majorEastAsia" w:hAnsi="Arial"/>
                      <w:u w:val="none"/>
                    </w:rPr>
                    <w:t>CHEM 2 CAL</w:t>
                  </w:r>
                </w:p>
                <w:p w:rsidR="00016ADF" w:rsidRPr="00016ADF" w:rsidRDefault="00016ADF" w:rsidP="00101F15">
                  <w:pPr>
                    <w:pStyle w:val="BodyText"/>
                    <w:spacing w:after="0"/>
                    <w:jc w:val="both"/>
                  </w:pPr>
                </w:p>
                <w:p w:rsidR="00016ADF" w:rsidRPr="00016ADF" w:rsidRDefault="00016ADF" w:rsidP="00101F15">
                  <w:pPr>
                    <w:pStyle w:val="Reagents"/>
                    <w:jc w:val="both"/>
                    <w:rPr>
                      <w:rFonts w:ascii="Arial" w:hAnsi="Arial" w:cs="Arial"/>
                      <w:bCs/>
                    </w:rPr>
                  </w:pPr>
                </w:p>
              </w:tc>
              <w:tc>
                <w:tcPr>
                  <w:tcW w:w="1524" w:type="dxa"/>
                </w:tcPr>
                <w:p w:rsidR="00016ADF" w:rsidRPr="00016ADF" w:rsidRDefault="00016ADF" w:rsidP="00101F15">
                  <w:pPr>
                    <w:pStyle w:val="Reagents"/>
                    <w:jc w:val="both"/>
                    <w:rPr>
                      <w:rFonts w:ascii="Arial" w:hAnsi="Arial" w:cs="Arial"/>
                      <w:bCs/>
                    </w:rPr>
                  </w:pPr>
                  <w:r w:rsidRPr="00016ADF">
                    <w:rPr>
                      <w:rStyle w:val="ShadeBodyTextCondensed"/>
                      <w:rFonts w:ascii="Arial" w:eastAsiaTheme="majorEastAsia" w:hAnsi="Arial"/>
                      <w:u w:val="none"/>
                    </w:rPr>
                    <w:t>DC20</w:t>
                  </w:r>
                </w:p>
              </w:tc>
              <w:tc>
                <w:tcPr>
                  <w:tcW w:w="4562" w:type="dxa"/>
                </w:tcPr>
                <w:p w:rsidR="00016ADF" w:rsidRPr="00F16A81" w:rsidRDefault="00016ADF" w:rsidP="00101F15">
                  <w:pPr>
                    <w:pStyle w:val="Reagents"/>
                    <w:spacing w:after="120"/>
                    <w:jc w:val="both"/>
                    <w:rPr>
                      <w:rFonts w:ascii="Arial" w:hAnsi="Arial" w:cs="Arial"/>
                      <w:bCs/>
                    </w:rPr>
                  </w:pPr>
                  <w:r w:rsidRPr="00FA023E">
                    <w:rPr>
                      <w:rFonts w:ascii="Arial" w:hAnsi="Arial" w:cs="Arial"/>
                      <w:b/>
                      <w:bCs/>
                    </w:rPr>
                    <w:t>Store at:</w:t>
                  </w:r>
                  <w:r w:rsidRPr="00F16A81">
                    <w:rPr>
                      <w:rFonts w:ascii="Arial" w:hAnsi="Arial" w:cs="Arial"/>
                      <w:bCs/>
                    </w:rPr>
                    <w:t xml:space="preserve"> 2 – 8 °C</w:t>
                  </w:r>
                </w:p>
                <w:p w:rsidR="00016ADF" w:rsidRPr="00F16A81" w:rsidRDefault="00016ADF" w:rsidP="00101F15">
                  <w:pPr>
                    <w:pStyle w:val="Reagents"/>
                    <w:spacing w:after="120"/>
                    <w:jc w:val="both"/>
                    <w:rPr>
                      <w:rFonts w:ascii="Arial" w:hAnsi="Arial" w:cs="Arial"/>
                      <w:bCs/>
                    </w:rPr>
                  </w:pPr>
                  <w:r w:rsidRPr="00F16A81">
                    <w:rPr>
                      <w:rFonts w:ascii="Arial" w:hAnsi="Arial" w:cs="Arial"/>
                      <w:b/>
                      <w:bCs/>
                    </w:rPr>
                    <w:t xml:space="preserve">Unopened: </w:t>
                  </w:r>
                  <w:r w:rsidRPr="00F16A81">
                    <w:rPr>
                      <w:rFonts w:ascii="Arial" w:hAnsi="Arial" w:cs="Arial"/>
                      <w:bCs/>
                    </w:rPr>
                    <w:t>Refer to carton for expiration date.</w:t>
                  </w:r>
                </w:p>
                <w:p w:rsidR="00016ADF" w:rsidRPr="009947E1" w:rsidRDefault="00016ADF" w:rsidP="00101F15">
                  <w:pPr>
                    <w:pStyle w:val="Reagents"/>
                    <w:jc w:val="both"/>
                    <w:rPr>
                      <w:rFonts w:ascii="Arial" w:hAnsi="Arial"/>
                    </w:rPr>
                  </w:pPr>
                  <w:r w:rsidRPr="00F16A81">
                    <w:rPr>
                      <w:rFonts w:ascii="Arial" w:hAnsi="Arial" w:cs="Arial"/>
                      <w:b/>
                      <w:bCs/>
                    </w:rPr>
                    <w:t>Open</w:t>
                  </w:r>
                  <w:r>
                    <w:rPr>
                      <w:rFonts w:ascii="Arial" w:hAnsi="Arial" w:cs="Arial"/>
                      <w:b/>
                      <w:bCs/>
                    </w:rPr>
                    <w:t xml:space="preserve">ed: </w:t>
                  </w:r>
                  <w:r>
                    <w:rPr>
                      <w:rFonts w:ascii="Arial" w:hAnsi="Arial" w:cs="Arial"/>
                      <w:bCs/>
                    </w:rPr>
                    <w:t xml:space="preserve">Use Immediately. </w:t>
                  </w:r>
                </w:p>
                <w:p w:rsidR="00016ADF" w:rsidRPr="00C64A90" w:rsidRDefault="00016ADF" w:rsidP="00101F15">
                  <w:pPr>
                    <w:autoSpaceDE w:val="0"/>
                    <w:autoSpaceDN w:val="0"/>
                    <w:adjustRightInd w:val="0"/>
                    <w:spacing w:after="120"/>
                    <w:jc w:val="both"/>
                    <w:rPr>
                      <w:rFonts w:cs="Arial"/>
                      <w:b/>
                      <w:szCs w:val="20"/>
                    </w:rPr>
                  </w:pPr>
                </w:p>
              </w:tc>
            </w:tr>
          </w:tbl>
          <w:p w:rsidR="00016ADF" w:rsidRDefault="00016ADF" w:rsidP="00101F15">
            <w:pPr>
              <w:rPr>
                <w:rFonts w:cs="Arial"/>
              </w:rPr>
            </w:pPr>
          </w:p>
        </w:tc>
      </w:tr>
      <w:tr w:rsidR="00016ADF" w:rsidTr="00101F15">
        <w:trPr>
          <w:trHeight w:val="1259"/>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Risk and Safety</w:t>
            </w:r>
          </w:p>
        </w:tc>
        <w:tc>
          <w:tcPr>
            <w:tcW w:w="9360" w:type="dxa"/>
            <w:gridSpan w:val="4"/>
            <w:tcBorders>
              <w:top w:val="single" w:sz="18" w:space="0" w:color="A6A6A6"/>
              <w:bottom w:val="single" w:sz="18" w:space="0" w:color="A6A6A6"/>
            </w:tcBorders>
          </w:tcPr>
          <w:p w:rsidR="00016ADF" w:rsidRDefault="00016ADF" w:rsidP="00101F15">
            <w:pPr>
              <w:pStyle w:val="Pa5"/>
              <w:rPr>
                <w:rFonts w:ascii="Arial" w:hAnsi="Arial" w:cs="Arial"/>
                <w:sz w:val="20"/>
              </w:rPr>
            </w:pPr>
          </w:p>
          <w:p w:rsidR="00016ADF" w:rsidRDefault="00016ADF" w:rsidP="00101F15">
            <w:pPr>
              <w:pStyle w:val="Pa5"/>
              <w:rPr>
                <w:rFonts w:ascii="Arial" w:hAnsi="Arial" w:cs="Arial"/>
                <w:sz w:val="20"/>
              </w:rPr>
            </w:pPr>
            <w:r>
              <w:rPr>
                <w:rFonts w:ascii="Arial" w:hAnsi="Arial" w:cs="Arial"/>
                <w:sz w:val="20"/>
              </w:rPr>
              <w:t>Follow laboratory safety policies and procedures.</w:t>
            </w:r>
          </w:p>
          <w:p w:rsidR="00016ADF" w:rsidRPr="00F1508F" w:rsidRDefault="00016ADF" w:rsidP="00101F15">
            <w:r>
              <w:t>Dispose of used MG reagent cartridges in the caustic waste provided by Children’s Safety department</w:t>
            </w:r>
          </w:p>
          <w:p w:rsidR="00016ADF" w:rsidRDefault="00016ADF" w:rsidP="00101F15">
            <w:pPr>
              <w:pStyle w:val="Reagents"/>
              <w:rPr>
                <w:rFonts w:ascii="Arial" w:hAnsi="Arial" w:cs="Arial"/>
              </w:rPr>
            </w:pPr>
            <w:r>
              <w:rPr>
                <w:rFonts w:ascii="Arial" w:hAnsi="Arial" w:cs="Arial"/>
              </w:rPr>
              <w:t xml:space="preserve">Safety data sheets (MSDS/SDS) available on </w:t>
            </w:r>
            <w:hyperlink r:id="rId7" w:history="1">
              <w:r>
                <w:rPr>
                  <w:rStyle w:val="Hyperlink"/>
                  <w:rFonts w:ascii="Arial" w:hAnsi="Arial" w:cs="Arial"/>
                </w:rPr>
                <w:t>www.siemens.com/diagnostics</w:t>
              </w:r>
            </w:hyperlink>
          </w:p>
          <w:p w:rsidR="00016ADF" w:rsidRDefault="00016ADF" w:rsidP="00101F15">
            <w:pPr>
              <w:pStyle w:val="Reagents"/>
              <w:rPr>
                <w:rFonts w:ascii="Arial" w:hAnsi="Arial" w:cs="Arial"/>
              </w:rPr>
            </w:pPr>
          </w:p>
        </w:tc>
      </w:tr>
      <w:tr w:rsidR="00016ADF" w:rsidTr="00101F15">
        <w:trPr>
          <w:trHeight w:val="7263"/>
          <w:tblHeader/>
        </w:trPr>
        <w:tc>
          <w:tcPr>
            <w:tcW w:w="1800" w:type="dxa"/>
          </w:tcPr>
          <w:p w:rsidR="00016ADF" w:rsidRDefault="00016ADF" w:rsidP="00101F15">
            <w:pPr>
              <w:ind w:right="-108"/>
              <w:rPr>
                <w:rFonts w:cs="Arial"/>
                <w:b/>
                <w:bCs/>
                <w:color w:val="0000FF"/>
              </w:rPr>
            </w:pPr>
          </w:p>
          <w:p w:rsidR="00016ADF" w:rsidRDefault="00016ADF" w:rsidP="00101F15">
            <w:pPr>
              <w:ind w:right="-108"/>
              <w:rPr>
                <w:rFonts w:cs="Arial"/>
                <w:b/>
                <w:bCs/>
                <w:color w:val="0000FF"/>
              </w:rPr>
            </w:pPr>
          </w:p>
          <w:p w:rsidR="00016ADF" w:rsidRDefault="00016ADF" w:rsidP="00101F15">
            <w:pPr>
              <w:ind w:right="-108"/>
              <w:rPr>
                <w:rFonts w:cs="Arial"/>
                <w:b/>
                <w:bCs/>
                <w:color w:val="0000FF"/>
              </w:rPr>
            </w:pPr>
            <w:r>
              <w:rPr>
                <w:rFonts w:cs="Arial"/>
                <w:b/>
                <w:bCs/>
                <w:color w:val="0000FF"/>
              </w:rPr>
              <w:t>Calibration</w:t>
            </w:r>
          </w:p>
          <w:p w:rsidR="00016ADF" w:rsidRDefault="00016ADF" w:rsidP="00101F15">
            <w:pPr>
              <w:ind w:right="-108"/>
              <w:rPr>
                <w:rFonts w:cs="Arial"/>
                <w:b/>
                <w:bCs/>
                <w:color w:val="0000FF"/>
              </w:rPr>
            </w:pPr>
          </w:p>
        </w:tc>
        <w:tc>
          <w:tcPr>
            <w:tcW w:w="9360" w:type="dxa"/>
            <w:gridSpan w:val="4"/>
            <w:vMerge w:val="restart"/>
            <w:tcBorders>
              <w:top w:val="single" w:sz="18" w:space="0" w:color="A6A6A6"/>
            </w:tcBorders>
          </w:tcPr>
          <w:p w:rsidR="00016ADF" w:rsidRDefault="00016ADF" w:rsidP="00101F15">
            <w:pPr>
              <w:pStyle w:val="Reagents"/>
              <w:rPr>
                <w:rFonts w:ascii="Arial" w:hAnsi="Arial" w:cs="Arial"/>
                <w:b/>
                <w:bCs/>
                <w:color w:val="365F91"/>
              </w:rPr>
            </w:pPr>
          </w:p>
          <w:p w:rsidR="00016ADF" w:rsidRPr="004E1CF6" w:rsidRDefault="00016ADF" w:rsidP="00101F15">
            <w:pPr>
              <w:pStyle w:val="Reagents"/>
              <w:rPr>
                <w:rFonts w:ascii="Arial" w:hAnsi="Arial" w:cs="Arial"/>
                <w:b/>
                <w:bCs/>
                <w:color w:val="365F91"/>
              </w:rPr>
            </w:pPr>
            <w:r w:rsidRPr="006D1E54">
              <w:rPr>
                <w:rFonts w:ascii="Arial" w:hAnsi="Arial" w:cs="Arial"/>
                <w:b/>
                <w:bCs/>
                <w:color w:val="365F91"/>
              </w:rPr>
              <w:t>PRIMARY METHOD:</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2"/>
              <w:gridCol w:w="6454"/>
            </w:tblGrid>
            <w:tr w:rsidR="00016ADF" w:rsidTr="00101F15">
              <w:tc>
                <w:tcPr>
                  <w:tcW w:w="2762" w:type="dxa"/>
                </w:tcPr>
                <w:p w:rsidR="00016ADF" w:rsidRPr="00AD5C03" w:rsidRDefault="00016ADF" w:rsidP="00101F15">
                  <w:pPr>
                    <w:pStyle w:val="CalVerTable"/>
                    <w:ind w:left="0" w:firstLine="0"/>
                    <w:rPr>
                      <w:rFonts w:ascii="Arial" w:hAnsi="Arial" w:cs="Arial"/>
                    </w:rPr>
                  </w:pPr>
                  <w:r w:rsidRPr="00AD5C03">
                    <w:rPr>
                      <w:rFonts w:ascii="Arial" w:hAnsi="Arial" w:cs="Arial"/>
                    </w:rPr>
                    <w:t>Analytical Measuring Range</w:t>
                  </w:r>
                </w:p>
              </w:tc>
              <w:tc>
                <w:tcPr>
                  <w:tcW w:w="6454" w:type="dxa"/>
                </w:tcPr>
                <w:p w:rsidR="00016ADF" w:rsidRPr="00AD5C03" w:rsidRDefault="00016ADF" w:rsidP="00101F15">
                  <w:pPr>
                    <w:pStyle w:val="CalVerTable"/>
                    <w:ind w:left="0" w:firstLine="0"/>
                    <w:rPr>
                      <w:rFonts w:ascii="Arial" w:hAnsi="Arial" w:cs="Arial"/>
                    </w:rPr>
                  </w:pPr>
                  <w:r>
                    <w:rPr>
                      <w:rFonts w:ascii="Arial" w:hAnsi="Arial" w:cs="Arial"/>
                    </w:rPr>
                    <w:t>0.2–20</w:t>
                  </w:r>
                  <w:r w:rsidRPr="00AD5C03">
                    <w:rPr>
                      <w:rFonts w:ascii="Arial" w:hAnsi="Arial" w:cs="Arial"/>
                    </w:rPr>
                    <w:t>.0 mg/</w:t>
                  </w:r>
                  <w:proofErr w:type="spellStart"/>
                  <w:r w:rsidRPr="00AD5C03">
                    <w:rPr>
                      <w:rFonts w:ascii="Arial" w:hAnsi="Arial" w:cs="Arial"/>
                    </w:rPr>
                    <w:t>dL</w:t>
                  </w:r>
                  <w:proofErr w:type="spellEnd"/>
                </w:p>
              </w:tc>
            </w:tr>
            <w:tr w:rsidR="00016ADF" w:rsidTr="00101F15">
              <w:tc>
                <w:tcPr>
                  <w:tcW w:w="2762" w:type="dxa"/>
                </w:tcPr>
                <w:p w:rsidR="00016ADF" w:rsidRPr="00AD5C03" w:rsidRDefault="00016ADF" w:rsidP="00101F15">
                  <w:pPr>
                    <w:pStyle w:val="CalVerTable"/>
                    <w:ind w:left="0" w:firstLine="0"/>
                    <w:rPr>
                      <w:rFonts w:ascii="Arial" w:hAnsi="Arial" w:cs="Arial"/>
                    </w:rPr>
                  </w:pPr>
                  <w:r w:rsidRPr="00AD5C03">
                    <w:rPr>
                      <w:rFonts w:ascii="Arial" w:hAnsi="Arial" w:cs="Arial"/>
                    </w:rPr>
                    <w:t>Reference Material:</w:t>
                  </w:r>
                </w:p>
              </w:tc>
              <w:tc>
                <w:tcPr>
                  <w:tcW w:w="6454" w:type="dxa"/>
                </w:tcPr>
                <w:p w:rsidR="00016ADF" w:rsidRPr="00AD5C03" w:rsidRDefault="00016ADF" w:rsidP="00101F15">
                  <w:pPr>
                    <w:pStyle w:val="BodyText"/>
                    <w:ind w:left="2610" w:hanging="2610"/>
                    <w:rPr>
                      <w:rFonts w:cs="Arial"/>
                      <w:szCs w:val="20"/>
                    </w:rPr>
                  </w:pPr>
                  <w:r>
                    <w:rPr>
                      <w:rFonts w:cs="Arial"/>
                      <w:szCs w:val="20"/>
                    </w:rPr>
                    <w:t>CHEM 1 CAL</w:t>
                  </w:r>
                  <w:r w:rsidRPr="00AD5C03">
                    <w:rPr>
                      <w:rFonts w:cs="Arial"/>
                      <w:szCs w:val="20"/>
                    </w:rPr>
                    <w:t xml:space="preserve"> (KC</w:t>
                  </w:r>
                  <w:r>
                    <w:rPr>
                      <w:rFonts w:cs="Arial"/>
                      <w:szCs w:val="20"/>
                    </w:rPr>
                    <w:t>1</w:t>
                  </w:r>
                  <w:r w:rsidRPr="00AD5C03">
                    <w:rPr>
                      <w:rFonts w:cs="Arial"/>
                      <w:szCs w:val="20"/>
                    </w:rPr>
                    <w:t>10)</w:t>
                  </w:r>
                </w:p>
              </w:tc>
            </w:tr>
            <w:tr w:rsidR="00016ADF" w:rsidTr="00101F15">
              <w:tc>
                <w:tcPr>
                  <w:tcW w:w="2762" w:type="dxa"/>
                </w:tcPr>
                <w:p w:rsidR="00016ADF" w:rsidRPr="00AD5C03" w:rsidRDefault="00016ADF" w:rsidP="00101F15">
                  <w:pPr>
                    <w:pStyle w:val="CalVerTable"/>
                    <w:ind w:left="0" w:firstLine="0"/>
                    <w:rPr>
                      <w:rFonts w:ascii="Arial" w:hAnsi="Arial" w:cs="Arial"/>
                    </w:rPr>
                  </w:pPr>
                  <w:r w:rsidRPr="00AD5C03">
                    <w:rPr>
                      <w:rFonts w:ascii="Arial" w:hAnsi="Arial" w:cs="Arial"/>
                    </w:rPr>
                    <w:t>Suggested Calibration Levels:</w:t>
                  </w:r>
                </w:p>
              </w:tc>
              <w:tc>
                <w:tcPr>
                  <w:tcW w:w="6454" w:type="dxa"/>
                </w:tcPr>
                <w:p w:rsidR="00016ADF" w:rsidRDefault="00016ADF" w:rsidP="00101F15">
                  <w:pPr>
                    <w:pStyle w:val="CalVerTable"/>
                    <w:ind w:left="0" w:firstLine="0"/>
                    <w:rPr>
                      <w:rFonts w:ascii="Arial" w:hAnsi="Arial" w:cs="Arial"/>
                    </w:rPr>
                  </w:pPr>
                  <w:r w:rsidRPr="00AD5C03">
                    <w:rPr>
                      <w:rFonts w:ascii="Arial" w:hAnsi="Arial" w:cs="Arial"/>
                    </w:rPr>
                    <w:t>Level 1 (</w:t>
                  </w:r>
                  <w:r>
                    <w:rPr>
                      <w:rFonts w:ascii="Arial" w:hAnsi="Arial" w:cs="Arial"/>
                    </w:rPr>
                    <w:t>Calibrator A</w:t>
                  </w:r>
                  <w:r w:rsidRPr="00AD5C03">
                    <w:rPr>
                      <w:rFonts w:ascii="Arial" w:hAnsi="Arial" w:cs="Arial"/>
                    </w:rPr>
                    <w:t xml:space="preserve">): </w:t>
                  </w:r>
                  <w:r>
                    <w:rPr>
                      <w:rFonts w:ascii="Arial" w:hAnsi="Arial" w:cs="Arial"/>
                    </w:rPr>
                    <w:t>0.3 mg/</w:t>
                  </w:r>
                  <w:proofErr w:type="spellStart"/>
                  <w:r>
                    <w:rPr>
                      <w:rFonts w:ascii="Arial" w:hAnsi="Arial" w:cs="Arial"/>
                    </w:rPr>
                    <w:t>dL</w:t>
                  </w:r>
                  <w:proofErr w:type="spellEnd"/>
                </w:p>
                <w:p w:rsidR="00016ADF" w:rsidRPr="00AD5C03" w:rsidRDefault="00016ADF" w:rsidP="00101F15">
                  <w:pPr>
                    <w:pStyle w:val="CalVerTable"/>
                    <w:ind w:left="0" w:firstLine="0"/>
                    <w:rPr>
                      <w:rFonts w:ascii="Arial" w:hAnsi="Arial" w:cs="Arial"/>
                    </w:rPr>
                  </w:pPr>
                  <w:r>
                    <w:rPr>
                      <w:rFonts w:ascii="Arial" w:hAnsi="Arial" w:cs="Arial"/>
                    </w:rPr>
                    <w:t>Level 2 (Calibrator B): 21.1</w:t>
                  </w:r>
                  <w:r w:rsidRPr="00AD5C03">
                    <w:rPr>
                      <w:rFonts w:ascii="Arial" w:hAnsi="Arial" w:cs="Arial"/>
                    </w:rPr>
                    <w:t xml:space="preserve"> mg/</w:t>
                  </w:r>
                  <w:proofErr w:type="spellStart"/>
                  <w:r w:rsidRPr="00AD5C03">
                    <w:rPr>
                      <w:rFonts w:ascii="Arial" w:hAnsi="Arial" w:cs="Arial"/>
                    </w:rPr>
                    <w:t>dL</w:t>
                  </w:r>
                  <w:proofErr w:type="spellEnd"/>
                  <w:r w:rsidRPr="00AD5C03">
                    <w:rPr>
                      <w:rFonts w:ascii="Arial" w:hAnsi="Arial" w:cs="Arial"/>
                    </w:rPr>
                    <w:t xml:space="preserve"> </w:t>
                  </w:r>
                </w:p>
              </w:tc>
            </w:tr>
            <w:tr w:rsidR="00016ADF" w:rsidTr="00101F15">
              <w:tc>
                <w:tcPr>
                  <w:tcW w:w="2762" w:type="dxa"/>
                </w:tcPr>
                <w:p w:rsidR="00016ADF" w:rsidRPr="00AD5C03" w:rsidRDefault="00016ADF" w:rsidP="00101F15">
                  <w:pPr>
                    <w:pStyle w:val="CalVerTable"/>
                    <w:ind w:left="0" w:firstLine="0"/>
                    <w:rPr>
                      <w:rFonts w:ascii="Arial" w:hAnsi="Arial" w:cs="Arial"/>
                    </w:rPr>
                  </w:pPr>
                  <w:r w:rsidRPr="00AD5C03">
                    <w:rPr>
                      <w:rFonts w:ascii="Arial" w:hAnsi="Arial" w:cs="Arial"/>
                    </w:rPr>
                    <w:t>Calibration Scheme:</w:t>
                  </w:r>
                </w:p>
              </w:tc>
              <w:tc>
                <w:tcPr>
                  <w:tcW w:w="6454" w:type="dxa"/>
                </w:tcPr>
                <w:p w:rsidR="00016ADF" w:rsidRPr="00AD5C03" w:rsidRDefault="00016ADF" w:rsidP="00101F15">
                  <w:pPr>
                    <w:pStyle w:val="CalVerTable"/>
                    <w:ind w:left="0" w:firstLine="0"/>
                    <w:rPr>
                      <w:rFonts w:ascii="Arial" w:hAnsi="Arial" w:cs="Arial"/>
                    </w:rPr>
                  </w:pPr>
                  <w:r w:rsidRPr="00AD5C03">
                    <w:rPr>
                      <w:rFonts w:ascii="Arial" w:hAnsi="Arial" w:cs="Arial"/>
                    </w:rPr>
                    <w:t>2 levels (n=5)</w:t>
                  </w:r>
                </w:p>
              </w:tc>
            </w:tr>
            <w:tr w:rsidR="00016ADF" w:rsidTr="00101F15">
              <w:tc>
                <w:tcPr>
                  <w:tcW w:w="2762" w:type="dxa"/>
                </w:tcPr>
                <w:p w:rsidR="00016ADF" w:rsidRPr="00AD5C03" w:rsidRDefault="00016ADF" w:rsidP="00101F15">
                  <w:pPr>
                    <w:pStyle w:val="CalVerTable"/>
                    <w:ind w:left="0" w:firstLine="0"/>
                    <w:rPr>
                      <w:rFonts w:ascii="Arial" w:hAnsi="Arial" w:cs="Arial"/>
                    </w:rPr>
                  </w:pPr>
                  <w:r w:rsidRPr="00AD5C03">
                    <w:rPr>
                      <w:rFonts w:ascii="Arial" w:hAnsi="Arial" w:cs="Arial"/>
                    </w:rPr>
                    <w:t>Calibration Frequency:</w:t>
                  </w:r>
                </w:p>
              </w:tc>
              <w:tc>
                <w:tcPr>
                  <w:tcW w:w="6454" w:type="dxa"/>
                </w:tcPr>
                <w:p w:rsidR="00016ADF" w:rsidRPr="00AD5C03" w:rsidRDefault="00016ADF" w:rsidP="00101F15">
                  <w:pPr>
                    <w:pStyle w:val="Pa4"/>
                    <w:spacing w:after="40"/>
                    <w:rPr>
                      <w:rFonts w:ascii="Arial" w:hAnsi="Arial" w:cs="Arial"/>
                      <w:color w:val="000000"/>
                      <w:sz w:val="20"/>
                      <w:szCs w:val="20"/>
                    </w:rPr>
                  </w:pPr>
                  <w:r w:rsidRPr="00AD5C03">
                    <w:rPr>
                      <w:rFonts w:ascii="Arial" w:hAnsi="Arial" w:cs="Arial"/>
                      <w:sz w:val="20"/>
                      <w:szCs w:val="20"/>
                    </w:rPr>
                    <w:t>Every 90 days for any one lot</w:t>
                  </w:r>
                </w:p>
                <w:p w:rsidR="00016ADF" w:rsidRPr="00AD5C03" w:rsidRDefault="00016ADF" w:rsidP="00101F15">
                  <w:pPr>
                    <w:pStyle w:val="Pa4"/>
                    <w:spacing w:after="40"/>
                    <w:rPr>
                      <w:rFonts w:ascii="Arial" w:hAnsi="Arial" w:cs="Arial"/>
                      <w:color w:val="000000"/>
                      <w:sz w:val="20"/>
                      <w:szCs w:val="20"/>
                    </w:rPr>
                  </w:pPr>
                  <w:r w:rsidRPr="00AD5C03">
                    <w:rPr>
                      <w:rFonts w:ascii="Arial" w:hAnsi="Arial" w:cs="Arial"/>
                      <w:color w:val="000000"/>
                      <w:sz w:val="20"/>
                      <w:szCs w:val="20"/>
                    </w:rPr>
                    <w:t>For each new lot of Flex® reagent cartridges</w:t>
                  </w:r>
                </w:p>
                <w:p w:rsidR="00016ADF" w:rsidRPr="00AD5C03" w:rsidRDefault="00016ADF" w:rsidP="00101F15">
                  <w:pPr>
                    <w:pStyle w:val="Pa4"/>
                    <w:spacing w:after="40"/>
                    <w:rPr>
                      <w:rFonts w:ascii="Arial" w:hAnsi="Arial" w:cs="Arial"/>
                      <w:color w:val="000000"/>
                      <w:sz w:val="20"/>
                      <w:szCs w:val="20"/>
                    </w:rPr>
                  </w:pPr>
                  <w:r w:rsidRPr="00AD5C03">
                    <w:rPr>
                      <w:rFonts w:ascii="Arial" w:hAnsi="Arial" w:cs="Arial"/>
                      <w:color w:val="000000"/>
                      <w:sz w:val="20"/>
                      <w:szCs w:val="20"/>
                    </w:rPr>
                    <w:t>After major maintenance or service, if indicated by quality control results</w:t>
                  </w:r>
                </w:p>
                <w:p w:rsidR="00016ADF" w:rsidRPr="00AD5C03" w:rsidRDefault="00016ADF" w:rsidP="00101F15">
                  <w:pPr>
                    <w:pStyle w:val="Pa4"/>
                    <w:spacing w:after="40"/>
                    <w:rPr>
                      <w:rFonts w:ascii="Arial" w:hAnsi="Arial" w:cs="Arial"/>
                      <w:color w:val="000000"/>
                      <w:sz w:val="20"/>
                      <w:szCs w:val="20"/>
                    </w:rPr>
                  </w:pPr>
                  <w:r w:rsidRPr="00AD5C03">
                    <w:rPr>
                      <w:rFonts w:ascii="Arial" w:hAnsi="Arial" w:cs="Arial"/>
                      <w:color w:val="000000"/>
                      <w:sz w:val="20"/>
                      <w:szCs w:val="20"/>
                    </w:rPr>
                    <w:t>As indicated in laboratory quality control procedures</w:t>
                  </w:r>
                </w:p>
              </w:tc>
            </w:tr>
            <w:tr w:rsidR="00016ADF" w:rsidTr="00101F15">
              <w:tc>
                <w:tcPr>
                  <w:tcW w:w="2762" w:type="dxa"/>
                </w:tcPr>
                <w:p w:rsidR="00016ADF" w:rsidRPr="00AD5C03" w:rsidRDefault="00016ADF" w:rsidP="00101F15">
                  <w:pPr>
                    <w:rPr>
                      <w:rFonts w:cs="Arial"/>
                      <w:color w:val="000000"/>
                      <w:szCs w:val="20"/>
                    </w:rPr>
                  </w:pPr>
                  <w:r w:rsidRPr="00AD5C03">
                    <w:rPr>
                      <w:rFonts w:cs="Arial"/>
                      <w:szCs w:val="20"/>
                    </w:rPr>
                    <w:t>Analytical Measuring Range and Calibration Verification</w:t>
                  </w:r>
                </w:p>
              </w:tc>
              <w:tc>
                <w:tcPr>
                  <w:tcW w:w="6454" w:type="dxa"/>
                </w:tcPr>
                <w:p w:rsidR="00016ADF" w:rsidRPr="00AD5C03" w:rsidRDefault="00016ADF" w:rsidP="00016ADF">
                  <w:pPr>
                    <w:numPr>
                      <w:ilvl w:val="0"/>
                      <w:numId w:val="7"/>
                    </w:numPr>
                    <w:rPr>
                      <w:rFonts w:cs="Arial"/>
                      <w:szCs w:val="20"/>
                    </w:rPr>
                  </w:pPr>
                  <w:r w:rsidRPr="00AD5C03">
                    <w:rPr>
                      <w:rFonts w:cs="Arial"/>
                      <w:szCs w:val="20"/>
                    </w:rPr>
                    <w:t>Cal Verification and AMR verification are performed at least once every six (6) months.</w:t>
                  </w:r>
                </w:p>
                <w:p w:rsidR="00016ADF" w:rsidRPr="00AD5C03" w:rsidRDefault="00016ADF" w:rsidP="00016ADF">
                  <w:pPr>
                    <w:numPr>
                      <w:ilvl w:val="0"/>
                      <w:numId w:val="7"/>
                    </w:numPr>
                    <w:rPr>
                      <w:rFonts w:cs="Arial"/>
                      <w:szCs w:val="20"/>
                    </w:rPr>
                  </w:pPr>
                  <w:r w:rsidRPr="00AD5C03">
                    <w:rPr>
                      <w:rFonts w:cs="Arial"/>
                      <w:szCs w:val="20"/>
                    </w:rPr>
                    <w:t xml:space="preserve">Touch  Advanced </w:t>
                  </w:r>
                  <w:r w:rsidRPr="00AD5C03">
                    <w:rPr>
                      <w:rFonts w:cs="Arial"/>
                      <w:szCs w:val="20"/>
                    </w:rPr>
                    <w:sym w:font="Wingdings" w:char="F0E0"/>
                  </w:r>
                  <w:r w:rsidRPr="00AD5C03">
                    <w:rPr>
                      <w:rFonts w:cs="Arial"/>
                      <w:szCs w:val="20"/>
                    </w:rPr>
                    <w:t xml:space="preserve"> Calibrations </w:t>
                  </w:r>
                  <w:r w:rsidRPr="00AD5C03">
                    <w:rPr>
                      <w:rFonts w:cs="Arial"/>
                      <w:szCs w:val="20"/>
                    </w:rPr>
                    <w:sym w:font="Wingdings" w:char="F0E0"/>
                  </w:r>
                  <w:r w:rsidRPr="00AD5C03">
                    <w:rPr>
                      <w:rFonts w:cs="Arial"/>
                      <w:szCs w:val="20"/>
                    </w:rPr>
                    <w:t xml:space="preserve"> Calibra</w:t>
                  </w:r>
                  <w:r>
                    <w:rPr>
                      <w:rFonts w:cs="Arial"/>
                      <w:szCs w:val="20"/>
                    </w:rPr>
                    <w:t>tions by Lot, select method MG</w:t>
                  </w:r>
                  <w:r w:rsidRPr="00AD5C03">
                    <w:rPr>
                      <w:rFonts w:cs="Arial"/>
                      <w:szCs w:val="20"/>
                    </w:rPr>
                    <w:t xml:space="preserve"> and “Order a Linearity Study”</w:t>
                  </w:r>
                </w:p>
                <w:p w:rsidR="00016ADF" w:rsidRPr="00AD5C03" w:rsidRDefault="00016ADF" w:rsidP="00016ADF">
                  <w:pPr>
                    <w:numPr>
                      <w:ilvl w:val="0"/>
                      <w:numId w:val="7"/>
                    </w:numPr>
                    <w:rPr>
                      <w:rFonts w:cs="Arial"/>
                      <w:szCs w:val="20"/>
                    </w:rPr>
                  </w:pPr>
                  <w:r w:rsidRPr="00AD5C03">
                    <w:rPr>
                      <w:rFonts w:cs="Arial"/>
                      <w:szCs w:val="20"/>
                    </w:rPr>
                    <w:t xml:space="preserve">See </w:t>
                  </w:r>
                  <w:proofErr w:type="spellStart"/>
                  <w:r w:rsidRPr="00AD5C03">
                    <w:rPr>
                      <w:rFonts w:cs="Arial"/>
                      <w:szCs w:val="20"/>
                    </w:rPr>
                    <w:t>iGuide</w:t>
                  </w:r>
                  <w:proofErr w:type="spellEnd"/>
                  <w:r w:rsidRPr="00AD5C03">
                    <w:rPr>
                      <w:rFonts w:cs="Arial"/>
                      <w:szCs w:val="20"/>
                    </w:rPr>
                    <w:t xml:space="preserve"> “Calibration by Lot” for more information.</w:t>
                  </w:r>
                </w:p>
                <w:p w:rsidR="00016ADF" w:rsidRPr="00AD5C03" w:rsidRDefault="00016ADF" w:rsidP="00101F15">
                  <w:pPr>
                    <w:autoSpaceDE w:val="0"/>
                    <w:autoSpaceDN w:val="0"/>
                    <w:adjustRightInd w:val="0"/>
                    <w:rPr>
                      <w:rFonts w:cs="Arial"/>
                      <w:szCs w:val="20"/>
                    </w:rPr>
                  </w:pPr>
                </w:p>
              </w:tc>
            </w:tr>
          </w:tbl>
          <w:p w:rsidR="00016ADF" w:rsidRDefault="00016ADF" w:rsidP="00101F15">
            <w:pPr>
              <w:rPr>
                <w:b/>
                <w:bCs/>
                <w:color w:val="76923C"/>
                <w:szCs w:val="20"/>
              </w:rPr>
            </w:pPr>
          </w:p>
          <w:p w:rsidR="00016ADF" w:rsidRDefault="00016ADF" w:rsidP="00101F15">
            <w:pPr>
              <w:rPr>
                <w:b/>
                <w:bCs/>
                <w:color w:val="76923C"/>
                <w:szCs w:val="20"/>
              </w:rPr>
            </w:pPr>
            <w:r w:rsidRPr="001E6473">
              <w:rPr>
                <w:b/>
                <w:bCs/>
                <w:color w:val="76923C"/>
                <w:szCs w:val="20"/>
              </w:rPr>
              <w:t>SECONDARY (BACKUP) METHOD</w:t>
            </w:r>
          </w:p>
          <w:p w:rsidR="00016ADF" w:rsidRDefault="00016ADF" w:rsidP="00101F15">
            <w:pPr>
              <w:rPr>
                <w:b/>
                <w:bCs/>
                <w:color w:val="76923C"/>
                <w:szCs w:val="20"/>
              </w:rPr>
            </w:pPr>
          </w:p>
          <w:tbl>
            <w:tblPr>
              <w:tblStyle w:val="TableGrid"/>
              <w:tblW w:w="0" w:type="auto"/>
              <w:tblLayout w:type="fixed"/>
              <w:tblLook w:val="04A0"/>
            </w:tblPr>
            <w:tblGrid>
              <w:gridCol w:w="2767"/>
              <w:gridCol w:w="6362"/>
            </w:tblGrid>
            <w:tr w:rsidR="00016ADF" w:rsidTr="00016ADF">
              <w:trPr>
                <w:trHeight w:val="350"/>
              </w:trPr>
              <w:tc>
                <w:tcPr>
                  <w:tcW w:w="2767" w:type="dxa"/>
                </w:tcPr>
                <w:p w:rsidR="00016ADF" w:rsidRDefault="00016ADF" w:rsidP="00101F15">
                  <w:pPr>
                    <w:rPr>
                      <w:rFonts w:cs="Arial"/>
                    </w:rPr>
                  </w:pPr>
                  <w:r>
                    <w:rPr>
                      <w:rFonts w:cs="Arial"/>
                    </w:rPr>
                    <w:t>Analytical Measuring Range:</w:t>
                  </w:r>
                </w:p>
              </w:tc>
              <w:tc>
                <w:tcPr>
                  <w:tcW w:w="6362" w:type="dxa"/>
                </w:tcPr>
                <w:p w:rsidR="00016ADF" w:rsidRDefault="00016ADF" w:rsidP="00101F15">
                  <w:pPr>
                    <w:rPr>
                      <w:rFonts w:cs="Arial"/>
                    </w:rPr>
                  </w:pPr>
                  <w:r>
                    <w:rPr>
                      <w:rFonts w:cs="Arial"/>
                    </w:rPr>
                    <w:t>0.0-20.0 mg/</w:t>
                  </w:r>
                  <w:proofErr w:type="spellStart"/>
                  <w:r>
                    <w:rPr>
                      <w:rFonts w:cs="Arial"/>
                    </w:rPr>
                    <w:t>dL</w:t>
                  </w:r>
                  <w:proofErr w:type="spellEnd"/>
                </w:p>
              </w:tc>
            </w:tr>
            <w:tr w:rsidR="00016ADF" w:rsidTr="00016ADF">
              <w:trPr>
                <w:trHeight w:val="350"/>
              </w:trPr>
              <w:tc>
                <w:tcPr>
                  <w:tcW w:w="2767" w:type="dxa"/>
                </w:tcPr>
                <w:p w:rsidR="00016ADF" w:rsidRDefault="00016ADF" w:rsidP="00101F15">
                  <w:pPr>
                    <w:rPr>
                      <w:rFonts w:cs="Arial"/>
                    </w:rPr>
                  </w:pPr>
                  <w:r>
                    <w:rPr>
                      <w:rFonts w:cs="Arial"/>
                    </w:rPr>
                    <w:t>Reference Material:</w:t>
                  </w:r>
                </w:p>
              </w:tc>
              <w:tc>
                <w:tcPr>
                  <w:tcW w:w="6362" w:type="dxa"/>
                </w:tcPr>
                <w:p w:rsidR="00016ADF" w:rsidRDefault="00016ADF" w:rsidP="00101F15">
                  <w:pPr>
                    <w:rPr>
                      <w:rFonts w:cs="Arial"/>
                    </w:rPr>
                  </w:pPr>
                  <w:r>
                    <w:rPr>
                      <w:rFonts w:cs="Arial"/>
                    </w:rPr>
                    <w:t>CHEM 2 CAL (DC20)</w:t>
                  </w:r>
                </w:p>
              </w:tc>
            </w:tr>
            <w:tr w:rsidR="00016ADF" w:rsidTr="00016ADF">
              <w:trPr>
                <w:trHeight w:val="350"/>
              </w:trPr>
              <w:tc>
                <w:tcPr>
                  <w:tcW w:w="2767" w:type="dxa"/>
                </w:tcPr>
                <w:p w:rsidR="00016ADF" w:rsidRDefault="00016ADF" w:rsidP="00101F15">
                  <w:pPr>
                    <w:rPr>
                      <w:rFonts w:cs="Arial"/>
                    </w:rPr>
                  </w:pPr>
                  <w:r>
                    <w:rPr>
                      <w:rFonts w:cs="Arial"/>
                    </w:rPr>
                    <w:t>Suggested Calibration Levels:</w:t>
                  </w:r>
                </w:p>
              </w:tc>
              <w:tc>
                <w:tcPr>
                  <w:tcW w:w="6362" w:type="dxa"/>
                </w:tcPr>
                <w:p w:rsidR="00016ADF" w:rsidRDefault="00016ADF" w:rsidP="00101F15">
                  <w:pPr>
                    <w:rPr>
                      <w:rFonts w:cs="Arial"/>
                    </w:rPr>
                  </w:pPr>
                  <w:r>
                    <w:rPr>
                      <w:rFonts w:cs="Arial"/>
                    </w:rPr>
                    <w:t>Level 1: 0.0 mg/</w:t>
                  </w:r>
                  <w:proofErr w:type="spellStart"/>
                  <w:r>
                    <w:rPr>
                      <w:rFonts w:cs="Arial"/>
                    </w:rPr>
                    <w:t>dL</w:t>
                  </w:r>
                  <w:proofErr w:type="spellEnd"/>
                </w:p>
                <w:p w:rsidR="00016ADF" w:rsidRDefault="00016ADF" w:rsidP="00101F15">
                  <w:pPr>
                    <w:rPr>
                      <w:rFonts w:cs="Arial"/>
                    </w:rPr>
                  </w:pPr>
                  <w:r>
                    <w:rPr>
                      <w:rFonts w:cs="Arial"/>
                    </w:rPr>
                    <w:t>Level 2: 9.0 mg/</w:t>
                  </w:r>
                  <w:proofErr w:type="spellStart"/>
                  <w:r>
                    <w:rPr>
                      <w:rFonts w:cs="Arial"/>
                    </w:rPr>
                    <w:t>dL</w:t>
                  </w:r>
                  <w:proofErr w:type="spellEnd"/>
                </w:p>
                <w:p w:rsidR="00016ADF" w:rsidRDefault="00016ADF" w:rsidP="00101F15">
                  <w:pPr>
                    <w:rPr>
                      <w:rFonts w:cs="Arial"/>
                    </w:rPr>
                  </w:pPr>
                  <w:r>
                    <w:rPr>
                      <w:rFonts w:cs="Arial"/>
                    </w:rPr>
                    <w:t>Level 3: 18.0 mg/</w:t>
                  </w:r>
                  <w:proofErr w:type="spellStart"/>
                  <w:r>
                    <w:rPr>
                      <w:rFonts w:cs="Arial"/>
                    </w:rPr>
                    <w:t>dL</w:t>
                  </w:r>
                  <w:proofErr w:type="spellEnd"/>
                </w:p>
              </w:tc>
            </w:tr>
            <w:tr w:rsidR="00016ADF" w:rsidTr="00016ADF">
              <w:trPr>
                <w:trHeight w:val="377"/>
              </w:trPr>
              <w:tc>
                <w:tcPr>
                  <w:tcW w:w="2767" w:type="dxa"/>
                </w:tcPr>
                <w:p w:rsidR="00016ADF" w:rsidRDefault="00016ADF" w:rsidP="00101F15">
                  <w:pPr>
                    <w:rPr>
                      <w:rFonts w:cs="Arial"/>
                    </w:rPr>
                  </w:pPr>
                  <w:r>
                    <w:rPr>
                      <w:rFonts w:cs="Arial"/>
                    </w:rPr>
                    <w:t xml:space="preserve">Calibration Scheme: </w:t>
                  </w:r>
                </w:p>
              </w:tc>
              <w:tc>
                <w:tcPr>
                  <w:tcW w:w="6362" w:type="dxa"/>
                </w:tcPr>
                <w:p w:rsidR="00016ADF" w:rsidRDefault="00016ADF" w:rsidP="00101F15">
                  <w:pPr>
                    <w:rPr>
                      <w:rFonts w:cs="Arial"/>
                    </w:rPr>
                  </w:pPr>
                  <w:r>
                    <w:rPr>
                      <w:rFonts w:cs="Arial"/>
                    </w:rPr>
                    <w:t>3 levels (n=3)</w:t>
                  </w:r>
                </w:p>
              </w:tc>
            </w:tr>
            <w:tr w:rsidR="00016ADF" w:rsidTr="00016ADF">
              <w:tc>
                <w:tcPr>
                  <w:tcW w:w="2767" w:type="dxa"/>
                </w:tcPr>
                <w:p w:rsidR="00016ADF" w:rsidRDefault="00016ADF" w:rsidP="00101F15">
                  <w:pPr>
                    <w:rPr>
                      <w:rFonts w:cs="Arial"/>
                    </w:rPr>
                  </w:pPr>
                  <w:r>
                    <w:rPr>
                      <w:rFonts w:cs="Arial"/>
                    </w:rPr>
                    <w:t>Calibration Frequency:</w:t>
                  </w:r>
                </w:p>
              </w:tc>
              <w:tc>
                <w:tcPr>
                  <w:tcW w:w="6362" w:type="dxa"/>
                </w:tcPr>
                <w:p w:rsidR="00016ADF" w:rsidRDefault="00016ADF" w:rsidP="00101F15">
                  <w:pPr>
                    <w:rPr>
                      <w:rFonts w:cs="Arial"/>
                    </w:rPr>
                  </w:pPr>
                  <w:r>
                    <w:rPr>
                      <w:rFonts w:cs="Arial"/>
                    </w:rPr>
                    <w:t>Every 90 days for any one lot</w:t>
                  </w:r>
                </w:p>
                <w:p w:rsidR="00016ADF" w:rsidRPr="00AD5C03" w:rsidRDefault="00016ADF" w:rsidP="00016ADF">
                  <w:pPr>
                    <w:pStyle w:val="Pa4"/>
                    <w:spacing w:after="40"/>
                    <w:rPr>
                      <w:rFonts w:ascii="Arial" w:hAnsi="Arial" w:cs="Arial"/>
                      <w:color w:val="000000"/>
                      <w:sz w:val="20"/>
                      <w:szCs w:val="20"/>
                    </w:rPr>
                  </w:pPr>
                  <w:r w:rsidRPr="00AD5C03">
                    <w:rPr>
                      <w:rFonts w:ascii="Arial" w:hAnsi="Arial" w:cs="Arial"/>
                      <w:color w:val="000000"/>
                      <w:sz w:val="20"/>
                      <w:szCs w:val="20"/>
                    </w:rPr>
                    <w:t>For each new lot of Flex® reagent cartridges</w:t>
                  </w:r>
                </w:p>
                <w:p w:rsidR="00016ADF" w:rsidRPr="00AD5C03" w:rsidRDefault="00016ADF" w:rsidP="00016ADF">
                  <w:pPr>
                    <w:pStyle w:val="Pa4"/>
                    <w:spacing w:after="40"/>
                    <w:rPr>
                      <w:rFonts w:ascii="Arial" w:hAnsi="Arial" w:cs="Arial"/>
                      <w:color w:val="000000"/>
                      <w:sz w:val="20"/>
                      <w:szCs w:val="20"/>
                    </w:rPr>
                  </w:pPr>
                  <w:r w:rsidRPr="00AD5C03">
                    <w:rPr>
                      <w:rFonts w:ascii="Arial" w:hAnsi="Arial" w:cs="Arial"/>
                      <w:color w:val="000000"/>
                      <w:sz w:val="20"/>
                      <w:szCs w:val="20"/>
                    </w:rPr>
                    <w:t>After major maintenance or service, if indicated by quality control results</w:t>
                  </w:r>
                </w:p>
                <w:p w:rsidR="00016ADF" w:rsidRDefault="00016ADF" w:rsidP="00101F15">
                  <w:pPr>
                    <w:rPr>
                      <w:rFonts w:cs="Arial"/>
                    </w:rPr>
                  </w:pPr>
                  <w:r w:rsidRPr="00AD5C03">
                    <w:rPr>
                      <w:rFonts w:cs="Arial"/>
                      <w:color w:val="000000"/>
                      <w:szCs w:val="20"/>
                    </w:rPr>
                    <w:t>As indicated in laboratory quality control procedures</w:t>
                  </w:r>
                </w:p>
              </w:tc>
            </w:tr>
            <w:tr w:rsidR="00016ADF" w:rsidTr="00016ADF">
              <w:tc>
                <w:tcPr>
                  <w:tcW w:w="2767" w:type="dxa"/>
                </w:tcPr>
                <w:p w:rsidR="00016ADF" w:rsidRDefault="00016ADF" w:rsidP="00101F15">
                  <w:pPr>
                    <w:rPr>
                      <w:rFonts w:cs="Arial"/>
                    </w:rPr>
                  </w:pPr>
                  <w:r>
                    <w:rPr>
                      <w:rFonts w:cs="Arial"/>
                    </w:rPr>
                    <w:t>Analytical Measuring Range and Calibration Verification</w:t>
                  </w:r>
                </w:p>
              </w:tc>
              <w:tc>
                <w:tcPr>
                  <w:tcW w:w="6362" w:type="dxa"/>
                </w:tcPr>
                <w:p w:rsidR="00016ADF" w:rsidRPr="000C19A6" w:rsidRDefault="00016ADF" w:rsidP="00016ADF">
                  <w:pPr>
                    <w:numPr>
                      <w:ilvl w:val="0"/>
                      <w:numId w:val="8"/>
                    </w:numPr>
                    <w:rPr>
                      <w:rFonts w:cs="Arial"/>
                      <w:szCs w:val="20"/>
                    </w:rPr>
                  </w:pPr>
                  <w:r w:rsidRPr="000C19A6">
                    <w:rPr>
                      <w:rFonts w:cs="Arial"/>
                      <w:szCs w:val="20"/>
                    </w:rPr>
                    <w:t>Once every 6 months confirm the reportable range by analyz</w:t>
                  </w:r>
                  <w:r>
                    <w:rPr>
                      <w:rFonts w:cs="Arial"/>
                      <w:szCs w:val="20"/>
                    </w:rPr>
                    <w:t>ing Maine Standards Validate GC1</w:t>
                  </w:r>
                  <w:r w:rsidRPr="000C19A6">
                    <w:rPr>
                      <w:rFonts w:cs="Arial"/>
                      <w:szCs w:val="20"/>
                    </w:rPr>
                    <w:t xml:space="preserve"> according to the manufacturer’s instructions.</w:t>
                  </w:r>
                </w:p>
                <w:p w:rsidR="00016ADF" w:rsidRPr="000C19A6" w:rsidRDefault="00016ADF" w:rsidP="00016ADF">
                  <w:pPr>
                    <w:numPr>
                      <w:ilvl w:val="0"/>
                      <w:numId w:val="8"/>
                    </w:numPr>
                    <w:rPr>
                      <w:rFonts w:cs="Arial"/>
                      <w:szCs w:val="20"/>
                    </w:rPr>
                  </w:pPr>
                  <w:r>
                    <w:rPr>
                      <w:rFonts w:cs="Arial"/>
                      <w:szCs w:val="20"/>
                    </w:rPr>
                    <w:t xml:space="preserve">Enter data using Maine Standards </w:t>
                  </w:r>
                  <w:proofErr w:type="spellStart"/>
                  <w:r>
                    <w:rPr>
                      <w:rFonts w:cs="Arial"/>
                      <w:szCs w:val="20"/>
                    </w:rPr>
                    <w:t>MSDRx</w:t>
                  </w:r>
                  <w:proofErr w:type="spellEnd"/>
                  <w:r>
                    <w:rPr>
                      <w:rFonts w:cs="Arial"/>
                      <w:szCs w:val="20"/>
                    </w:rPr>
                    <w:t xml:space="preserve"> free software, and send reports to technical specialist for review</w:t>
                  </w:r>
                  <w:r w:rsidRPr="000C19A6">
                    <w:rPr>
                      <w:rFonts w:cs="Arial"/>
                      <w:szCs w:val="20"/>
                    </w:rPr>
                    <w:t>.</w:t>
                  </w:r>
                </w:p>
                <w:p w:rsidR="00016ADF" w:rsidRPr="00016ADF" w:rsidRDefault="00016ADF" w:rsidP="00016ADF">
                  <w:pPr>
                    <w:pStyle w:val="ListParagraph"/>
                    <w:numPr>
                      <w:ilvl w:val="0"/>
                      <w:numId w:val="8"/>
                    </w:numPr>
                    <w:rPr>
                      <w:rFonts w:cs="Arial"/>
                    </w:rPr>
                  </w:pPr>
                  <w:r w:rsidRPr="00016ADF">
                    <w:rPr>
                      <w:rFonts w:cs="Arial"/>
                      <w:szCs w:val="20"/>
                    </w:rPr>
                    <w:t>Investigate unacceptable results.</w:t>
                  </w:r>
                </w:p>
              </w:tc>
            </w:tr>
          </w:tbl>
          <w:p w:rsidR="00016ADF" w:rsidRDefault="00016ADF" w:rsidP="00101F15">
            <w:pPr>
              <w:rPr>
                <w:rFonts w:cs="Arial"/>
              </w:rPr>
            </w:pPr>
          </w:p>
          <w:p w:rsidR="00016ADF" w:rsidRDefault="00016ADF" w:rsidP="00101F15">
            <w:pPr>
              <w:ind w:firstLine="720"/>
              <w:rPr>
                <w:rFonts w:cs="Arial"/>
              </w:rPr>
            </w:pPr>
          </w:p>
          <w:p w:rsidR="00016ADF" w:rsidRDefault="00016ADF" w:rsidP="00101F15">
            <w:pPr>
              <w:rPr>
                <w:rFonts w:cs="Arial"/>
              </w:rPr>
            </w:pPr>
          </w:p>
          <w:p w:rsidR="00016ADF" w:rsidRDefault="00016ADF" w:rsidP="00101F15">
            <w:pPr>
              <w:rPr>
                <w:rFonts w:cs="Arial"/>
              </w:rPr>
            </w:pPr>
          </w:p>
        </w:tc>
      </w:tr>
      <w:tr w:rsidR="00016ADF" w:rsidTr="00016ADF">
        <w:trPr>
          <w:trHeight w:val="1242"/>
          <w:tblHeader/>
        </w:trPr>
        <w:tc>
          <w:tcPr>
            <w:tcW w:w="1800" w:type="dxa"/>
          </w:tcPr>
          <w:p w:rsidR="00016ADF" w:rsidRDefault="00016ADF" w:rsidP="00101F15">
            <w:pPr>
              <w:ind w:right="-108"/>
              <w:rPr>
                <w:rFonts w:cs="Arial"/>
                <w:b/>
                <w:bCs/>
                <w:color w:val="0000FF"/>
              </w:rPr>
            </w:pPr>
          </w:p>
          <w:p w:rsidR="00016ADF" w:rsidRDefault="00016ADF" w:rsidP="00101F15">
            <w:pPr>
              <w:ind w:right="-108"/>
              <w:rPr>
                <w:rFonts w:cs="Arial"/>
                <w:b/>
                <w:bCs/>
                <w:color w:val="0000FF"/>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Pr="000B3099" w:rsidRDefault="00016ADF" w:rsidP="00101F15">
            <w:pPr>
              <w:rPr>
                <w:rFonts w:cs="Arial"/>
              </w:rPr>
            </w:pPr>
          </w:p>
          <w:p w:rsidR="00016ADF" w:rsidRDefault="00016ADF" w:rsidP="00101F15">
            <w:pPr>
              <w:rPr>
                <w:rFonts w:cs="Arial"/>
              </w:rPr>
            </w:pPr>
          </w:p>
          <w:p w:rsidR="00016ADF" w:rsidRPr="000B3099" w:rsidRDefault="00016ADF" w:rsidP="00101F15">
            <w:pPr>
              <w:rPr>
                <w:rFonts w:cs="Arial"/>
              </w:rPr>
            </w:pPr>
          </w:p>
        </w:tc>
        <w:tc>
          <w:tcPr>
            <w:tcW w:w="9360" w:type="dxa"/>
            <w:gridSpan w:val="4"/>
            <w:vMerge/>
            <w:tcBorders>
              <w:bottom w:val="single" w:sz="18" w:space="0" w:color="A6A6A6"/>
            </w:tcBorders>
          </w:tcPr>
          <w:p w:rsidR="00016ADF" w:rsidRDefault="00016ADF" w:rsidP="00101F15">
            <w:pPr>
              <w:pStyle w:val="CalVerTable"/>
              <w:ind w:left="0" w:firstLine="0"/>
              <w:rPr>
                <w:rFonts w:ascii="Arial" w:hAnsi="Arial" w:cs="Arial"/>
              </w:rPr>
            </w:pPr>
          </w:p>
        </w:tc>
      </w:tr>
      <w:tr w:rsidR="00016ADF" w:rsidTr="00101F15">
        <w:trPr>
          <w:cantSplit/>
          <w:trHeight w:val="1880"/>
          <w:tblHeader/>
        </w:trPr>
        <w:tc>
          <w:tcPr>
            <w:tcW w:w="1800" w:type="dxa"/>
          </w:tcPr>
          <w:p w:rsidR="00016ADF" w:rsidRDefault="00016ADF" w:rsidP="00101F15">
            <w:pPr>
              <w:ind w:right="-108"/>
              <w:rPr>
                <w:rFonts w:cs="Arial"/>
                <w:b/>
                <w:bCs/>
                <w:color w:val="0000FF"/>
              </w:rPr>
            </w:pPr>
          </w:p>
          <w:p w:rsidR="00016ADF" w:rsidRDefault="00016ADF" w:rsidP="00101F15">
            <w:pPr>
              <w:ind w:right="-108"/>
              <w:rPr>
                <w:rFonts w:cs="Arial"/>
                <w:b/>
                <w:bCs/>
                <w:color w:val="0000FF"/>
              </w:rPr>
            </w:pPr>
            <w:r>
              <w:rPr>
                <w:rFonts w:cs="Arial"/>
                <w:b/>
                <w:bCs/>
                <w:color w:val="0000FF"/>
              </w:rPr>
              <w:t>Quality Control (Plasma/Serum)</w:t>
            </w:r>
          </w:p>
          <w:p w:rsidR="00016ADF" w:rsidRDefault="00016ADF" w:rsidP="00101F15">
            <w:pPr>
              <w:ind w:right="-108"/>
              <w:rPr>
                <w:rFonts w:cs="Arial"/>
                <w:b/>
                <w:bCs/>
                <w:color w:val="0000FF"/>
              </w:rPr>
            </w:pPr>
          </w:p>
          <w:p w:rsidR="00016ADF" w:rsidRDefault="00016ADF" w:rsidP="00101F15">
            <w:pPr>
              <w:ind w:right="-108"/>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pStyle w:val="Header"/>
              <w:tabs>
                <w:tab w:val="left" w:pos="720"/>
              </w:tabs>
              <w:rPr>
                <w:rFonts w:cs="Arial"/>
              </w:rPr>
            </w:pPr>
          </w:p>
          <w:p w:rsidR="00016ADF" w:rsidRPr="006D1E54" w:rsidRDefault="00016ADF" w:rsidP="00101F15">
            <w:pPr>
              <w:pStyle w:val="Reagents"/>
              <w:jc w:val="both"/>
              <w:rPr>
                <w:rFonts w:ascii="Arial" w:hAnsi="Arial" w:cs="Arial"/>
                <w:b/>
                <w:bCs/>
                <w:color w:val="365F91"/>
              </w:rPr>
            </w:pPr>
            <w:r w:rsidRPr="006D1E54">
              <w:rPr>
                <w:rFonts w:ascii="Arial" w:hAnsi="Arial" w:cs="Arial"/>
                <w:b/>
                <w:bCs/>
                <w:color w:val="365F91"/>
              </w:rPr>
              <w:t>PRIMARY METHOD:</w:t>
            </w:r>
          </w:p>
          <w:p w:rsidR="00016ADF" w:rsidRDefault="00016ADF" w:rsidP="00101F15">
            <w:pPr>
              <w:pStyle w:val="Header"/>
              <w:tabs>
                <w:tab w:val="left" w:pos="720"/>
              </w:tabs>
              <w:jc w:val="both"/>
              <w:rPr>
                <w:rFonts w:cs="Arial"/>
              </w:rPr>
            </w:pPr>
          </w:p>
          <w:p w:rsidR="00016ADF" w:rsidRPr="00734B9A" w:rsidRDefault="00016ADF" w:rsidP="00101F15">
            <w:pPr>
              <w:pStyle w:val="Header"/>
              <w:tabs>
                <w:tab w:val="left" w:pos="720"/>
              </w:tabs>
              <w:jc w:val="both"/>
              <w:rPr>
                <w:rFonts w:cs="Arial"/>
                <w:b/>
              </w:rPr>
            </w:pPr>
            <w:proofErr w:type="spellStart"/>
            <w:r w:rsidRPr="00734B9A">
              <w:rPr>
                <w:rFonts w:cs="Arial"/>
                <w:b/>
              </w:rPr>
              <w:t>Biorad</w:t>
            </w:r>
            <w:proofErr w:type="spellEnd"/>
            <w:r w:rsidRPr="00734B9A">
              <w:rPr>
                <w:rFonts w:cs="Arial"/>
                <w:b/>
              </w:rPr>
              <w:t xml:space="preserve"> </w:t>
            </w:r>
            <w:proofErr w:type="spellStart"/>
            <w:r w:rsidRPr="00734B9A">
              <w:rPr>
                <w:rFonts w:cs="Arial"/>
                <w:b/>
              </w:rPr>
              <w:t>Multiqual</w:t>
            </w:r>
            <w:proofErr w:type="spellEnd"/>
            <w:r w:rsidRPr="00734B9A">
              <w:rPr>
                <w:rFonts w:cs="Arial"/>
                <w:b/>
              </w:rPr>
              <w:t xml:space="preserve"> (Human) Levels 1 &amp; 3</w:t>
            </w:r>
          </w:p>
          <w:p w:rsidR="00016ADF" w:rsidRDefault="00016ADF" w:rsidP="00101F15">
            <w:pPr>
              <w:jc w:val="both"/>
              <w:rPr>
                <w:rFonts w:cs="Arial"/>
                <w:b/>
                <w:bCs/>
              </w:rPr>
            </w:pPr>
          </w:p>
          <w:p w:rsidR="00016ADF" w:rsidRDefault="00016ADF" w:rsidP="00101F15">
            <w:pPr>
              <w:jc w:val="both"/>
              <w:rPr>
                <w:rFonts w:cs="Arial"/>
              </w:rPr>
            </w:pPr>
            <w:r>
              <w:rPr>
                <w:rFonts w:cs="Arial"/>
                <w:b/>
                <w:bCs/>
              </w:rPr>
              <w:t>Frequency:</w:t>
            </w:r>
            <w:r>
              <w:rPr>
                <w:rFonts w:cs="Arial"/>
              </w:rPr>
              <w:t xml:space="preserve"> Two levels each day of use</w:t>
            </w:r>
          </w:p>
          <w:p w:rsidR="00016ADF" w:rsidRDefault="00016ADF" w:rsidP="00101F15">
            <w:pPr>
              <w:jc w:val="both"/>
              <w:rPr>
                <w:rFonts w:cs="Arial"/>
                <w:b/>
                <w:bCs/>
              </w:rPr>
            </w:pPr>
          </w:p>
          <w:p w:rsidR="00016ADF" w:rsidRDefault="00016ADF" w:rsidP="00101F15">
            <w:pPr>
              <w:jc w:val="both"/>
              <w:rPr>
                <w:rFonts w:cs="Arial"/>
                <w:szCs w:val="20"/>
              </w:rPr>
            </w:pPr>
            <w:r w:rsidRPr="000E0E15">
              <w:rPr>
                <w:rFonts w:cs="Arial"/>
                <w:b/>
                <w:bCs/>
                <w:szCs w:val="20"/>
              </w:rPr>
              <w:t>Stability:</w:t>
            </w:r>
            <w:r w:rsidRPr="000E0E15">
              <w:rPr>
                <w:rFonts w:cs="Arial"/>
                <w:szCs w:val="20"/>
              </w:rPr>
              <w:t xml:space="preserve"> </w:t>
            </w:r>
            <w:r>
              <w:rPr>
                <w:rFonts w:cs="Arial"/>
                <w:szCs w:val="20"/>
              </w:rPr>
              <w:t xml:space="preserve">Stable until the date on vial when stored at -20 to -50 </w:t>
            </w:r>
            <w:r>
              <w:rPr>
                <w:rFonts w:cs="Arial"/>
                <w:szCs w:val="20"/>
              </w:rPr>
              <w:sym w:font="Symbol" w:char="F0B0"/>
            </w:r>
            <w:r>
              <w:rPr>
                <w:rFonts w:cs="Arial"/>
                <w:szCs w:val="20"/>
              </w:rPr>
              <w:t xml:space="preserve">C protect from light. Thawed and unopened, 7 days at 2 -8 </w:t>
            </w:r>
            <w:r>
              <w:rPr>
                <w:rFonts w:cs="Arial"/>
                <w:szCs w:val="20"/>
              </w:rPr>
              <w:sym w:font="Symbol" w:char="F0B0"/>
            </w:r>
            <w:r>
              <w:rPr>
                <w:rFonts w:cs="Arial"/>
                <w:szCs w:val="20"/>
              </w:rPr>
              <w:t xml:space="preserve">C. 7 days on board the Vista, and 5 days opened and stored at 2 – 8 </w:t>
            </w:r>
            <w:r>
              <w:rPr>
                <w:rFonts w:cs="Arial"/>
                <w:szCs w:val="20"/>
              </w:rPr>
              <w:sym w:font="Symbol" w:char="F0B0"/>
            </w:r>
            <w:r>
              <w:rPr>
                <w:rFonts w:cs="Arial"/>
                <w:szCs w:val="20"/>
              </w:rPr>
              <w:t>C</w:t>
            </w:r>
          </w:p>
          <w:p w:rsidR="00016ADF" w:rsidRDefault="00016ADF" w:rsidP="00101F15">
            <w:pPr>
              <w:jc w:val="both"/>
              <w:rPr>
                <w:rFonts w:cs="Arial"/>
                <w:szCs w:val="20"/>
              </w:rPr>
            </w:pPr>
          </w:p>
          <w:p w:rsidR="00016ADF" w:rsidRPr="000E0E15" w:rsidRDefault="00016ADF" w:rsidP="00101F15">
            <w:pPr>
              <w:jc w:val="both"/>
              <w:rPr>
                <w:rFonts w:cs="Arial"/>
                <w:szCs w:val="20"/>
              </w:rPr>
            </w:pPr>
            <w:r w:rsidRPr="00E673B7">
              <w:rPr>
                <w:rFonts w:cs="Arial"/>
                <w:b/>
                <w:szCs w:val="20"/>
              </w:rPr>
              <w:t>Preparation</w:t>
            </w:r>
            <w:r>
              <w:rPr>
                <w:rFonts w:cs="Arial"/>
                <w:szCs w:val="20"/>
              </w:rPr>
              <w:t xml:space="preserve">: Allow the control to stand at 18 – 25 </w:t>
            </w:r>
            <w:r>
              <w:rPr>
                <w:rFonts w:cs="Arial"/>
                <w:szCs w:val="20"/>
              </w:rPr>
              <w:sym w:font="Symbol" w:char="F0B0"/>
            </w:r>
            <w:r>
              <w:rPr>
                <w:rFonts w:cs="Arial"/>
                <w:szCs w:val="20"/>
              </w:rPr>
              <w:t>C for 30 minutes until completely thawed. Gently mix the vials until homogeneous to dissolve any precipitate.</w:t>
            </w:r>
          </w:p>
          <w:p w:rsidR="00016ADF" w:rsidRDefault="00016ADF" w:rsidP="00101F15">
            <w:pPr>
              <w:ind w:right="-108"/>
              <w:jc w:val="both"/>
              <w:rPr>
                <w:rFonts w:cs="Arial"/>
                <w:b/>
                <w:bCs/>
              </w:rPr>
            </w:pPr>
          </w:p>
          <w:p w:rsidR="00016ADF" w:rsidRDefault="00016ADF" w:rsidP="00101F15">
            <w:pPr>
              <w:ind w:right="-108"/>
              <w:jc w:val="both"/>
              <w:rPr>
                <w:rFonts w:cs="Arial"/>
              </w:rPr>
            </w:pPr>
            <w:proofErr w:type="spellStart"/>
            <w:r>
              <w:rPr>
                <w:rFonts w:cs="Arial"/>
                <w:b/>
                <w:bCs/>
              </w:rPr>
              <w:t>Sunquest</w:t>
            </w:r>
            <w:proofErr w:type="spellEnd"/>
            <w:r>
              <w:rPr>
                <w:rFonts w:cs="Arial"/>
                <w:b/>
                <w:bCs/>
              </w:rPr>
              <w:t xml:space="preserve"> Control names: </w:t>
            </w:r>
            <w:r>
              <w:rPr>
                <w:rFonts w:cs="Arial"/>
              </w:rPr>
              <w:t>Level 1 = C-MQ1, Level 2 = C-MQ3</w:t>
            </w:r>
          </w:p>
          <w:p w:rsidR="00016ADF" w:rsidRDefault="00016ADF" w:rsidP="00101F15">
            <w:pPr>
              <w:ind w:right="-108"/>
              <w:jc w:val="both"/>
              <w:rPr>
                <w:rFonts w:cs="Arial"/>
              </w:rPr>
            </w:pPr>
          </w:p>
          <w:p w:rsidR="00016ADF" w:rsidRDefault="00016ADF" w:rsidP="00101F15">
            <w:pPr>
              <w:ind w:right="-108"/>
              <w:jc w:val="both"/>
              <w:rPr>
                <w:rFonts w:cs="Arial"/>
              </w:rPr>
            </w:pPr>
          </w:p>
          <w:p w:rsidR="00016ADF" w:rsidRDefault="00016ADF" w:rsidP="00016ADF">
            <w:pPr>
              <w:rPr>
                <w:b/>
                <w:bCs/>
                <w:color w:val="76923C"/>
                <w:szCs w:val="20"/>
              </w:rPr>
            </w:pPr>
            <w:r w:rsidRPr="001E6473">
              <w:rPr>
                <w:b/>
                <w:bCs/>
                <w:color w:val="76923C"/>
                <w:szCs w:val="20"/>
              </w:rPr>
              <w:t>SECONDARY (BACKUP) METHOD</w:t>
            </w:r>
          </w:p>
          <w:p w:rsidR="00016ADF" w:rsidRDefault="00016ADF" w:rsidP="00101F15">
            <w:pPr>
              <w:ind w:right="-108"/>
              <w:jc w:val="both"/>
              <w:rPr>
                <w:rFonts w:cs="Arial"/>
              </w:rPr>
            </w:pPr>
          </w:p>
          <w:p w:rsidR="006602C2" w:rsidRDefault="006602C2" w:rsidP="006602C2">
            <w:pPr>
              <w:pStyle w:val="Header"/>
              <w:tabs>
                <w:tab w:val="left" w:pos="720"/>
              </w:tabs>
              <w:rPr>
                <w:rFonts w:cs="Arial"/>
                <w:b/>
              </w:rPr>
            </w:pPr>
            <w:proofErr w:type="spellStart"/>
            <w:r w:rsidRPr="006602C2">
              <w:rPr>
                <w:rFonts w:cs="Arial"/>
                <w:b/>
              </w:rPr>
              <w:t>Biorad</w:t>
            </w:r>
            <w:proofErr w:type="spellEnd"/>
            <w:r w:rsidRPr="006602C2">
              <w:rPr>
                <w:rFonts w:cs="Arial"/>
                <w:b/>
              </w:rPr>
              <w:t xml:space="preserve"> </w:t>
            </w:r>
            <w:proofErr w:type="spellStart"/>
            <w:r w:rsidRPr="006602C2">
              <w:rPr>
                <w:rFonts w:cs="Arial"/>
                <w:b/>
              </w:rPr>
              <w:t>Liquichek</w:t>
            </w:r>
            <w:proofErr w:type="spellEnd"/>
            <w:r w:rsidRPr="006602C2">
              <w:rPr>
                <w:rFonts w:cs="Arial"/>
                <w:b/>
              </w:rPr>
              <w:sym w:font="Symbol" w:char="00D4"/>
            </w:r>
            <w:r w:rsidRPr="006602C2">
              <w:rPr>
                <w:rFonts w:cs="Arial"/>
                <w:b/>
              </w:rPr>
              <w:t xml:space="preserve"> </w:t>
            </w:r>
            <w:proofErr w:type="spellStart"/>
            <w:r w:rsidRPr="006602C2">
              <w:rPr>
                <w:rFonts w:cs="Arial"/>
                <w:b/>
              </w:rPr>
              <w:t>Unassayed</w:t>
            </w:r>
            <w:proofErr w:type="spellEnd"/>
            <w:r w:rsidRPr="006602C2">
              <w:rPr>
                <w:rFonts w:cs="Arial"/>
                <w:b/>
              </w:rPr>
              <w:t xml:space="preserve"> Chemistry Control (Human) Levels 1 &amp; 2</w:t>
            </w:r>
          </w:p>
          <w:p w:rsidR="006602C2" w:rsidRDefault="006602C2" w:rsidP="006602C2">
            <w:pPr>
              <w:pStyle w:val="Header"/>
              <w:tabs>
                <w:tab w:val="left" w:pos="720"/>
              </w:tabs>
              <w:rPr>
                <w:rFonts w:cs="Arial"/>
                <w:b/>
              </w:rPr>
            </w:pPr>
          </w:p>
          <w:p w:rsidR="006602C2" w:rsidRPr="006602C2" w:rsidRDefault="006602C2" w:rsidP="006602C2">
            <w:pPr>
              <w:pStyle w:val="Header"/>
              <w:tabs>
                <w:tab w:val="left" w:pos="720"/>
              </w:tabs>
              <w:rPr>
                <w:rFonts w:cs="Arial"/>
              </w:rPr>
            </w:pPr>
            <w:r>
              <w:rPr>
                <w:rFonts w:cs="Arial"/>
                <w:b/>
              </w:rPr>
              <w:t xml:space="preserve">Frequency: </w:t>
            </w:r>
            <w:r>
              <w:rPr>
                <w:rFonts w:cs="Arial"/>
              </w:rPr>
              <w:t>Two levels each day of use</w:t>
            </w:r>
          </w:p>
          <w:p w:rsidR="00016ADF" w:rsidRDefault="00016ADF" w:rsidP="00101F15">
            <w:pPr>
              <w:ind w:right="-108"/>
              <w:jc w:val="both"/>
              <w:rPr>
                <w:rFonts w:cs="Arial"/>
              </w:rPr>
            </w:pPr>
          </w:p>
          <w:p w:rsidR="006602C2" w:rsidRPr="006602C2" w:rsidRDefault="006602C2" w:rsidP="00101F15">
            <w:pPr>
              <w:ind w:right="-108"/>
              <w:jc w:val="both"/>
              <w:rPr>
                <w:rFonts w:cs="Arial"/>
              </w:rPr>
            </w:pPr>
            <w:r>
              <w:rPr>
                <w:rFonts w:cs="Arial"/>
                <w:b/>
              </w:rPr>
              <w:t xml:space="preserve">Stability: </w:t>
            </w:r>
            <w:r>
              <w:rPr>
                <w:rFonts w:cs="Arial"/>
              </w:rPr>
              <w:t>Refer to the current product insert.</w:t>
            </w:r>
          </w:p>
          <w:p w:rsidR="00016ADF" w:rsidRDefault="00016ADF" w:rsidP="00101F15">
            <w:pPr>
              <w:ind w:right="-108"/>
              <w:jc w:val="both"/>
              <w:rPr>
                <w:rFonts w:cs="Arial"/>
              </w:rPr>
            </w:pPr>
          </w:p>
          <w:p w:rsidR="00016ADF" w:rsidRPr="006602C2" w:rsidRDefault="006602C2" w:rsidP="00101F15">
            <w:pPr>
              <w:ind w:right="-108"/>
              <w:jc w:val="both"/>
              <w:rPr>
                <w:rFonts w:cs="Arial"/>
              </w:rPr>
            </w:pPr>
            <w:r>
              <w:rPr>
                <w:rFonts w:cs="Arial"/>
                <w:b/>
              </w:rPr>
              <w:t xml:space="preserve">Preparation: </w:t>
            </w:r>
            <w:r>
              <w:rPr>
                <w:rFonts w:cs="Arial"/>
              </w:rPr>
              <w:t xml:space="preserve">Allow the controls to thaw at </w:t>
            </w:r>
            <w:r>
              <w:rPr>
                <w:rFonts w:cs="Arial"/>
                <w:szCs w:val="20"/>
              </w:rPr>
              <w:t xml:space="preserve">18 – 25 </w:t>
            </w:r>
            <w:r>
              <w:rPr>
                <w:rFonts w:cs="Arial"/>
                <w:szCs w:val="20"/>
              </w:rPr>
              <w:sym w:font="Symbol" w:char="F0B0"/>
            </w:r>
            <w:r>
              <w:rPr>
                <w:rFonts w:cs="Arial"/>
                <w:szCs w:val="20"/>
              </w:rPr>
              <w:t xml:space="preserve">C for 30 minutes or until completely thawed.  </w:t>
            </w:r>
            <w:proofErr w:type="spellStart"/>
            <w:r>
              <w:rPr>
                <w:rFonts w:cs="Arial"/>
                <w:szCs w:val="20"/>
              </w:rPr>
              <w:t>Genrly</w:t>
            </w:r>
            <w:proofErr w:type="spellEnd"/>
            <w:r>
              <w:rPr>
                <w:rFonts w:cs="Arial"/>
                <w:szCs w:val="20"/>
              </w:rPr>
              <w:t xml:space="preserve"> swirl the vials until homogeneous to dissolve any precipitate. </w:t>
            </w:r>
          </w:p>
          <w:p w:rsidR="00016ADF" w:rsidRDefault="00016ADF" w:rsidP="00101F15">
            <w:pPr>
              <w:ind w:right="-108"/>
              <w:jc w:val="both"/>
              <w:rPr>
                <w:rFonts w:cs="Arial"/>
              </w:rPr>
            </w:pPr>
          </w:p>
          <w:p w:rsidR="00016ADF" w:rsidRPr="006602C2" w:rsidRDefault="006602C2" w:rsidP="00101F15">
            <w:pPr>
              <w:ind w:right="-108"/>
              <w:jc w:val="both"/>
              <w:rPr>
                <w:rFonts w:cs="Arial"/>
              </w:rPr>
            </w:pPr>
            <w:proofErr w:type="spellStart"/>
            <w:r>
              <w:rPr>
                <w:rFonts w:cs="Arial"/>
                <w:b/>
              </w:rPr>
              <w:t>Sunquest</w:t>
            </w:r>
            <w:proofErr w:type="spellEnd"/>
            <w:r>
              <w:rPr>
                <w:rFonts w:cs="Arial"/>
                <w:b/>
              </w:rPr>
              <w:t xml:space="preserve"> Control names: </w:t>
            </w:r>
            <w:r>
              <w:rPr>
                <w:rFonts w:cs="Arial"/>
              </w:rPr>
              <w:t xml:space="preserve"> Level 1= C-X1, Level 2= C-X2</w:t>
            </w:r>
          </w:p>
          <w:p w:rsidR="00016ADF" w:rsidRDefault="00016ADF" w:rsidP="00101F15">
            <w:pPr>
              <w:ind w:right="-108"/>
              <w:jc w:val="both"/>
              <w:rPr>
                <w:rFonts w:cs="Arial"/>
              </w:rPr>
            </w:pPr>
          </w:p>
          <w:p w:rsidR="00016ADF" w:rsidRDefault="00016ADF" w:rsidP="00101F15">
            <w:pPr>
              <w:ind w:right="-108"/>
              <w:jc w:val="both"/>
              <w:rPr>
                <w:rFonts w:cs="Arial"/>
              </w:rPr>
            </w:pPr>
          </w:p>
          <w:p w:rsidR="00016ADF" w:rsidRDefault="00016ADF" w:rsidP="00101F15">
            <w:pPr>
              <w:ind w:right="-108"/>
              <w:jc w:val="both"/>
              <w:rPr>
                <w:rFonts w:cs="Arial"/>
              </w:rPr>
            </w:pPr>
          </w:p>
          <w:p w:rsidR="00016ADF" w:rsidRDefault="00016ADF" w:rsidP="00101F15">
            <w:pPr>
              <w:rPr>
                <w:rFonts w:cs="Arial"/>
              </w:rPr>
            </w:pPr>
          </w:p>
        </w:tc>
      </w:tr>
      <w:tr w:rsidR="00016ADF" w:rsidTr="00101F15">
        <w:trPr>
          <w:cantSplit/>
          <w:trHeight w:val="2794"/>
          <w:tblHeader/>
        </w:trPr>
        <w:tc>
          <w:tcPr>
            <w:tcW w:w="1800" w:type="dxa"/>
          </w:tcPr>
          <w:p w:rsidR="00016ADF" w:rsidRDefault="00016ADF" w:rsidP="00101F15">
            <w:pPr>
              <w:ind w:right="-108"/>
              <w:rPr>
                <w:rFonts w:cs="Arial"/>
                <w:b/>
                <w:bCs/>
                <w:color w:val="0000FF"/>
              </w:rPr>
            </w:pPr>
          </w:p>
          <w:p w:rsidR="00016ADF" w:rsidRDefault="00016ADF" w:rsidP="00101F15">
            <w:pPr>
              <w:ind w:right="-108"/>
              <w:rPr>
                <w:rFonts w:cs="Arial"/>
                <w:b/>
                <w:bCs/>
                <w:color w:val="0000FF"/>
              </w:rPr>
            </w:pPr>
            <w:r>
              <w:rPr>
                <w:rFonts w:cs="Arial"/>
                <w:b/>
                <w:bCs/>
                <w:color w:val="0000FF"/>
              </w:rPr>
              <w:t>Quality Control (Urine)</w:t>
            </w:r>
          </w:p>
        </w:tc>
        <w:tc>
          <w:tcPr>
            <w:tcW w:w="9360" w:type="dxa"/>
            <w:gridSpan w:val="4"/>
            <w:tcBorders>
              <w:top w:val="single" w:sz="18" w:space="0" w:color="A6A6A6"/>
              <w:bottom w:val="single" w:sz="18" w:space="0" w:color="A6A6A6"/>
            </w:tcBorders>
          </w:tcPr>
          <w:p w:rsidR="00016ADF" w:rsidRDefault="00016ADF" w:rsidP="00101F15">
            <w:pPr>
              <w:pStyle w:val="Header"/>
              <w:tabs>
                <w:tab w:val="left" w:pos="720"/>
              </w:tabs>
              <w:rPr>
                <w:rFonts w:cs="Arial"/>
              </w:rPr>
            </w:pPr>
          </w:p>
          <w:p w:rsidR="00016ADF" w:rsidRPr="006D1E54" w:rsidRDefault="00016ADF" w:rsidP="00101F15">
            <w:pPr>
              <w:pStyle w:val="Reagents"/>
              <w:jc w:val="both"/>
              <w:rPr>
                <w:rFonts w:ascii="Arial" w:hAnsi="Arial" w:cs="Arial"/>
                <w:b/>
                <w:bCs/>
                <w:color w:val="365F91"/>
              </w:rPr>
            </w:pPr>
            <w:r w:rsidRPr="006D1E54">
              <w:rPr>
                <w:rFonts w:ascii="Arial" w:hAnsi="Arial" w:cs="Arial"/>
                <w:b/>
                <w:bCs/>
                <w:color w:val="365F91"/>
              </w:rPr>
              <w:t>PRIMARY METHOD:</w:t>
            </w:r>
          </w:p>
          <w:p w:rsidR="00016ADF" w:rsidRDefault="00016ADF" w:rsidP="00101F15">
            <w:pPr>
              <w:pStyle w:val="Header"/>
              <w:tabs>
                <w:tab w:val="left" w:pos="720"/>
              </w:tabs>
              <w:jc w:val="both"/>
              <w:rPr>
                <w:rFonts w:cs="Arial"/>
              </w:rPr>
            </w:pPr>
          </w:p>
          <w:p w:rsidR="00016ADF" w:rsidRPr="00734B9A" w:rsidRDefault="00016ADF" w:rsidP="00101F15">
            <w:pPr>
              <w:pStyle w:val="Header"/>
              <w:tabs>
                <w:tab w:val="left" w:pos="720"/>
              </w:tabs>
              <w:jc w:val="both"/>
              <w:rPr>
                <w:rFonts w:cs="Arial"/>
                <w:b/>
              </w:rPr>
            </w:pPr>
            <w:proofErr w:type="spellStart"/>
            <w:r w:rsidRPr="00734B9A">
              <w:rPr>
                <w:rFonts w:cs="Arial"/>
                <w:b/>
              </w:rPr>
              <w:t>Biorad</w:t>
            </w:r>
            <w:proofErr w:type="spellEnd"/>
            <w:r w:rsidRPr="00734B9A">
              <w:rPr>
                <w:rFonts w:cs="Arial"/>
                <w:b/>
              </w:rPr>
              <w:t xml:space="preserve"> </w:t>
            </w:r>
            <w:proofErr w:type="spellStart"/>
            <w:r>
              <w:rPr>
                <w:rFonts w:cs="Arial"/>
                <w:b/>
              </w:rPr>
              <w:t>Liquicheck</w:t>
            </w:r>
            <w:proofErr w:type="spellEnd"/>
            <w:r>
              <w:rPr>
                <w:rFonts w:cs="Arial"/>
                <w:b/>
              </w:rPr>
              <w:t xml:space="preserve"> Urine Chemistry Control Levels 1 &amp; 2</w:t>
            </w:r>
          </w:p>
          <w:p w:rsidR="00016ADF" w:rsidRDefault="00016ADF" w:rsidP="00101F15">
            <w:pPr>
              <w:jc w:val="both"/>
              <w:rPr>
                <w:rFonts w:cs="Arial"/>
                <w:b/>
                <w:bCs/>
              </w:rPr>
            </w:pPr>
          </w:p>
          <w:p w:rsidR="00016ADF" w:rsidRDefault="00016ADF" w:rsidP="00101F15">
            <w:pPr>
              <w:jc w:val="both"/>
              <w:rPr>
                <w:rFonts w:cs="Arial"/>
              </w:rPr>
            </w:pPr>
            <w:r>
              <w:rPr>
                <w:rFonts w:cs="Arial"/>
                <w:b/>
                <w:bCs/>
              </w:rPr>
              <w:t>Frequency:</w:t>
            </w:r>
            <w:r>
              <w:rPr>
                <w:rFonts w:cs="Arial"/>
              </w:rPr>
              <w:t xml:space="preserve"> Two levels each day of use</w:t>
            </w:r>
          </w:p>
          <w:p w:rsidR="00016ADF" w:rsidRDefault="00016ADF" w:rsidP="00101F15">
            <w:pPr>
              <w:jc w:val="both"/>
              <w:rPr>
                <w:rFonts w:cs="Arial"/>
                <w:b/>
                <w:bCs/>
              </w:rPr>
            </w:pPr>
          </w:p>
          <w:p w:rsidR="00016ADF" w:rsidRDefault="00016ADF" w:rsidP="00101F15">
            <w:pPr>
              <w:jc w:val="both"/>
              <w:rPr>
                <w:rFonts w:cs="Arial"/>
                <w:szCs w:val="20"/>
              </w:rPr>
            </w:pPr>
            <w:r w:rsidRPr="000E0E15">
              <w:rPr>
                <w:rFonts w:cs="Arial"/>
                <w:b/>
                <w:bCs/>
                <w:szCs w:val="20"/>
              </w:rPr>
              <w:t>Stability:</w:t>
            </w:r>
            <w:r w:rsidRPr="000E0E15">
              <w:rPr>
                <w:rFonts w:cs="Arial"/>
                <w:szCs w:val="20"/>
              </w:rPr>
              <w:t xml:space="preserve"> </w:t>
            </w:r>
            <w:r>
              <w:rPr>
                <w:rFonts w:cs="Arial"/>
                <w:szCs w:val="20"/>
              </w:rPr>
              <w:t xml:space="preserve">Stable until the date on vial when stored at 2 – 8 </w:t>
            </w:r>
            <w:r>
              <w:rPr>
                <w:rFonts w:cs="Arial"/>
                <w:szCs w:val="20"/>
              </w:rPr>
              <w:sym w:font="Symbol" w:char="F0B0"/>
            </w:r>
            <w:r>
              <w:rPr>
                <w:rFonts w:cs="Arial"/>
                <w:szCs w:val="20"/>
              </w:rPr>
              <w:t xml:space="preserve">C, or unopened on board the Dimension Vista, and 30 days opened and stored at 2 – 8 </w:t>
            </w:r>
            <w:r>
              <w:rPr>
                <w:rFonts w:cs="Arial"/>
                <w:szCs w:val="20"/>
              </w:rPr>
              <w:sym w:font="Symbol" w:char="F0B0"/>
            </w:r>
            <w:r>
              <w:rPr>
                <w:rFonts w:cs="Arial"/>
                <w:szCs w:val="20"/>
              </w:rPr>
              <w:t>C</w:t>
            </w:r>
          </w:p>
          <w:p w:rsidR="00016ADF" w:rsidRDefault="00016ADF" w:rsidP="00101F15">
            <w:pPr>
              <w:jc w:val="both"/>
              <w:rPr>
                <w:rFonts w:cs="Arial"/>
                <w:szCs w:val="20"/>
              </w:rPr>
            </w:pPr>
          </w:p>
          <w:p w:rsidR="00016ADF" w:rsidRDefault="00016ADF" w:rsidP="00101F15">
            <w:pPr>
              <w:ind w:right="-108"/>
              <w:jc w:val="both"/>
              <w:rPr>
                <w:rFonts w:cs="Arial"/>
              </w:rPr>
            </w:pPr>
            <w:proofErr w:type="spellStart"/>
            <w:r>
              <w:rPr>
                <w:rFonts w:cs="Arial"/>
                <w:b/>
                <w:bCs/>
              </w:rPr>
              <w:t>Sunquest</w:t>
            </w:r>
            <w:proofErr w:type="spellEnd"/>
            <w:r>
              <w:rPr>
                <w:rFonts w:cs="Arial"/>
                <w:b/>
                <w:bCs/>
              </w:rPr>
              <w:t xml:space="preserve"> Control names: </w:t>
            </w:r>
            <w:r>
              <w:rPr>
                <w:rFonts w:cs="Arial"/>
              </w:rPr>
              <w:t>Level 1 = C-UR1, Level 2 = C-UR2</w:t>
            </w:r>
          </w:p>
          <w:p w:rsidR="00016ADF" w:rsidRDefault="00016ADF" w:rsidP="00101F15">
            <w:pPr>
              <w:pStyle w:val="Header"/>
              <w:tabs>
                <w:tab w:val="clear" w:pos="4320"/>
                <w:tab w:val="clear" w:pos="8640"/>
              </w:tabs>
              <w:rPr>
                <w:rFonts w:cs="Arial"/>
              </w:rPr>
            </w:pPr>
          </w:p>
        </w:tc>
      </w:tr>
      <w:tr w:rsidR="00016ADF" w:rsidTr="00101F15">
        <w:trPr>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Calculations</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ind w:left="360"/>
              <w:rPr>
                <w:rFonts w:cs="Arial"/>
                <w:b/>
                <w:bCs/>
              </w:rPr>
            </w:pPr>
          </w:p>
          <w:p w:rsidR="00016ADF" w:rsidRDefault="00016ADF" w:rsidP="00101F15">
            <w:pPr>
              <w:ind w:left="360"/>
              <w:rPr>
                <w:rFonts w:cs="Arial"/>
              </w:rPr>
            </w:pPr>
            <w:r>
              <w:rPr>
                <w:rFonts w:cs="Arial"/>
                <w:b/>
                <w:bCs/>
              </w:rPr>
              <w:t>UMGQ</w:t>
            </w:r>
            <w:r>
              <w:rPr>
                <w:rFonts w:cs="Arial"/>
              </w:rPr>
              <w:t xml:space="preserve"> = Mg in mg /24 Hrs =   </w:t>
            </w:r>
            <w:r>
              <w:rPr>
                <w:rFonts w:cs="Arial"/>
                <w:u w:val="single"/>
              </w:rPr>
              <w:t>Mg (mg/</w:t>
            </w:r>
            <w:proofErr w:type="spellStart"/>
            <w:r>
              <w:rPr>
                <w:rFonts w:cs="Arial"/>
                <w:u w:val="single"/>
              </w:rPr>
              <w:t>dL</w:t>
            </w:r>
            <w:proofErr w:type="spellEnd"/>
            <w:r>
              <w:rPr>
                <w:rFonts w:cs="Arial"/>
                <w:u w:val="single"/>
              </w:rPr>
              <w:t xml:space="preserve">)   x  Total Volume in </w:t>
            </w:r>
            <w:proofErr w:type="spellStart"/>
            <w:r>
              <w:rPr>
                <w:rFonts w:cs="Arial"/>
                <w:u w:val="single"/>
              </w:rPr>
              <w:t>mL</w:t>
            </w:r>
            <w:proofErr w:type="spellEnd"/>
          </w:p>
          <w:p w:rsidR="00016ADF" w:rsidRDefault="00016ADF" w:rsidP="00101F15">
            <w:pPr>
              <w:pStyle w:val="Header"/>
              <w:tabs>
                <w:tab w:val="clear" w:pos="4320"/>
                <w:tab w:val="clear" w:pos="8640"/>
              </w:tabs>
              <w:ind w:left="360"/>
              <w:rPr>
                <w:rFonts w:cs="Arial"/>
              </w:rPr>
            </w:pPr>
            <w:r>
              <w:rPr>
                <w:rFonts w:cs="Arial"/>
              </w:rPr>
              <w:tab/>
            </w:r>
            <w:r>
              <w:rPr>
                <w:rFonts w:cs="Arial"/>
              </w:rPr>
              <w:tab/>
            </w:r>
            <w:r>
              <w:rPr>
                <w:rFonts w:cs="Arial"/>
              </w:rPr>
              <w:tab/>
            </w:r>
            <w:r>
              <w:rPr>
                <w:rFonts w:cs="Arial"/>
              </w:rPr>
              <w:tab/>
            </w:r>
            <w:r>
              <w:rPr>
                <w:rFonts w:cs="Arial"/>
              </w:rPr>
              <w:tab/>
            </w:r>
            <w:r>
              <w:rPr>
                <w:rFonts w:cs="Arial"/>
              </w:rPr>
              <w:tab/>
              <w:t>1000</w:t>
            </w:r>
          </w:p>
          <w:p w:rsidR="00016ADF" w:rsidRDefault="00016ADF" w:rsidP="00101F15">
            <w:pPr>
              <w:rPr>
                <w:rFonts w:cs="Arial"/>
              </w:rPr>
            </w:pPr>
            <w:r>
              <w:rPr>
                <w:rFonts w:cs="Arial"/>
              </w:rPr>
              <w:br/>
              <w:t xml:space="preserve">Timed Urine calculations are performed by the Laboratory computer system when all necessary information is present. </w:t>
            </w:r>
            <w:r>
              <w:t>Enter the measured urine magnesium value in mg/</w:t>
            </w:r>
            <w:proofErr w:type="spellStart"/>
            <w:r>
              <w:t>dL</w:t>
            </w:r>
            <w:proofErr w:type="spellEnd"/>
            <w:r>
              <w:t>, collection time in hours, and the volume</w:t>
            </w:r>
          </w:p>
          <w:p w:rsidR="00016ADF" w:rsidRDefault="00016ADF" w:rsidP="00101F15">
            <w:pPr>
              <w:rPr>
                <w:rFonts w:cs="Arial"/>
              </w:rPr>
            </w:pPr>
          </w:p>
        </w:tc>
      </w:tr>
      <w:tr w:rsidR="00016ADF" w:rsidTr="00101F15">
        <w:trPr>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Interferences</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pStyle w:val="Bullets"/>
              <w:ind w:left="0" w:firstLine="0"/>
              <w:rPr>
                <w:rFonts w:ascii="Arial" w:hAnsi="Arial" w:cs="Arial"/>
                <w:position w:val="3"/>
              </w:rPr>
            </w:pPr>
          </w:p>
          <w:p w:rsidR="00016ADF" w:rsidRPr="000D10E1" w:rsidRDefault="00016ADF" w:rsidP="00101F15">
            <w:pPr>
              <w:pStyle w:val="Reagents"/>
              <w:jc w:val="both"/>
              <w:rPr>
                <w:rFonts w:ascii="Arial" w:hAnsi="Arial" w:cs="Arial"/>
                <w:b/>
                <w:bCs/>
                <w:color w:val="365F91"/>
              </w:rPr>
            </w:pPr>
            <w:r w:rsidRPr="000D10E1">
              <w:rPr>
                <w:rFonts w:ascii="Arial" w:hAnsi="Arial" w:cs="Arial"/>
                <w:b/>
                <w:bCs/>
                <w:color w:val="365F91"/>
              </w:rPr>
              <w:t>PRIMARY METHOD:</w:t>
            </w:r>
          </w:p>
          <w:p w:rsidR="00016ADF" w:rsidRPr="000D10E1" w:rsidRDefault="00016ADF" w:rsidP="00101F15">
            <w:pPr>
              <w:autoSpaceDE w:val="0"/>
              <w:autoSpaceDN w:val="0"/>
              <w:adjustRightInd w:val="0"/>
              <w:rPr>
                <w:rFonts w:cs="Arial"/>
                <w:sz w:val="14"/>
                <w:szCs w:val="14"/>
              </w:rPr>
            </w:pPr>
          </w:p>
          <w:p w:rsidR="00016ADF" w:rsidRPr="000D10E1" w:rsidRDefault="00016ADF" w:rsidP="00101F15">
            <w:pPr>
              <w:pStyle w:val="TableText"/>
              <w:adjustRightInd w:val="0"/>
              <w:spacing w:after="120"/>
              <w:rPr>
                <w:rFonts w:ascii="Arial" w:hAnsi="Arial" w:cs="Arial"/>
                <w:szCs w:val="12"/>
              </w:rPr>
            </w:pPr>
            <w:proofErr w:type="spellStart"/>
            <w:r w:rsidRPr="000D10E1">
              <w:rPr>
                <w:rFonts w:ascii="Arial" w:hAnsi="Arial" w:cs="Arial"/>
              </w:rPr>
              <w:t>Hemolysis</w:t>
            </w:r>
            <w:proofErr w:type="spellEnd"/>
            <w:r w:rsidRPr="000D10E1">
              <w:rPr>
                <w:rFonts w:ascii="Arial" w:hAnsi="Arial" w:cs="Arial"/>
              </w:rPr>
              <w:t xml:space="preserve">, </w:t>
            </w:r>
            <w:proofErr w:type="spellStart"/>
            <w:r w:rsidRPr="000D10E1">
              <w:rPr>
                <w:rFonts w:ascii="Arial" w:hAnsi="Arial" w:cs="Arial"/>
              </w:rPr>
              <w:t>Icterus</w:t>
            </w:r>
            <w:proofErr w:type="spellEnd"/>
            <w:r w:rsidRPr="000D10E1">
              <w:rPr>
                <w:rFonts w:ascii="Arial" w:hAnsi="Arial" w:cs="Arial"/>
              </w:rPr>
              <w:t xml:space="preserve"> &amp; </w:t>
            </w:r>
            <w:proofErr w:type="spellStart"/>
            <w:r w:rsidRPr="000D10E1">
              <w:rPr>
                <w:rFonts w:ascii="Arial" w:hAnsi="Arial" w:cs="Arial"/>
              </w:rPr>
              <w:t>Lipemia</w:t>
            </w:r>
            <w:proofErr w:type="spellEnd"/>
            <w:r w:rsidRPr="000D10E1">
              <w:rPr>
                <w:rFonts w:ascii="Arial" w:hAnsi="Arial" w:cs="Arial"/>
              </w:rPr>
              <w:t xml:space="preserve"> (HIL) Index Values</w:t>
            </w:r>
            <w:r w:rsidRPr="000D10E1">
              <w:rPr>
                <w:rFonts w:ascii="Arial" w:hAnsi="Arial" w:cs="Arial"/>
                <w:szCs w:val="1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450"/>
              <w:gridCol w:w="450"/>
            </w:tblGrid>
            <w:tr w:rsidR="00016ADF" w:rsidRPr="000D10E1" w:rsidTr="00101F15">
              <w:tc>
                <w:tcPr>
                  <w:tcW w:w="517" w:type="dxa"/>
                </w:tcPr>
                <w:p w:rsidR="00016ADF" w:rsidRPr="000D10E1" w:rsidRDefault="00016ADF" w:rsidP="00101F15">
                  <w:pPr>
                    <w:autoSpaceDE w:val="0"/>
                    <w:autoSpaceDN w:val="0"/>
                    <w:adjustRightInd w:val="0"/>
                    <w:jc w:val="center"/>
                    <w:rPr>
                      <w:rFonts w:cs="Arial"/>
                      <w:b/>
                      <w:szCs w:val="12"/>
                    </w:rPr>
                  </w:pPr>
                  <w:r w:rsidRPr="000D10E1">
                    <w:rPr>
                      <w:rFonts w:cs="Arial"/>
                      <w:b/>
                      <w:szCs w:val="12"/>
                    </w:rPr>
                    <w:t>H</w:t>
                  </w:r>
                </w:p>
              </w:tc>
              <w:tc>
                <w:tcPr>
                  <w:tcW w:w="450" w:type="dxa"/>
                </w:tcPr>
                <w:p w:rsidR="00016ADF" w:rsidRPr="000D10E1" w:rsidRDefault="00016ADF" w:rsidP="00101F15">
                  <w:pPr>
                    <w:autoSpaceDE w:val="0"/>
                    <w:autoSpaceDN w:val="0"/>
                    <w:adjustRightInd w:val="0"/>
                    <w:jc w:val="center"/>
                    <w:rPr>
                      <w:rFonts w:cs="Arial"/>
                      <w:b/>
                      <w:szCs w:val="12"/>
                    </w:rPr>
                  </w:pPr>
                  <w:r w:rsidRPr="000D10E1">
                    <w:rPr>
                      <w:rFonts w:cs="Arial"/>
                      <w:b/>
                      <w:szCs w:val="12"/>
                    </w:rPr>
                    <w:t>I</w:t>
                  </w:r>
                </w:p>
              </w:tc>
              <w:tc>
                <w:tcPr>
                  <w:tcW w:w="450" w:type="dxa"/>
                </w:tcPr>
                <w:p w:rsidR="00016ADF" w:rsidRPr="000D10E1" w:rsidRDefault="00016ADF" w:rsidP="00101F15">
                  <w:pPr>
                    <w:autoSpaceDE w:val="0"/>
                    <w:autoSpaceDN w:val="0"/>
                    <w:adjustRightInd w:val="0"/>
                    <w:jc w:val="center"/>
                    <w:rPr>
                      <w:rFonts w:cs="Arial"/>
                      <w:b/>
                      <w:szCs w:val="12"/>
                    </w:rPr>
                  </w:pPr>
                  <w:r w:rsidRPr="000D10E1">
                    <w:rPr>
                      <w:rFonts w:cs="Arial"/>
                      <w:b/>
                      <w:szCs w:val="12"/>
                    </w:rPr>
                    <w:t>L</w:t>
                  </w:r>
                </w:p>
              </w:tc>
            </w:tr>
            <w:tr w:rsidR="00016ADF" w:rsidRPr="000D10E1" w:rsidTr="00101F15">
              <w:tc>
                <w:tcPr>
                  <w:tcW w:w="517" w:type="dxa"/>
                </w:tcPr>
                <w:p w:rsidR="00016ADF" w:rsidRPr="000D10E1" w:rsidRDefault="00016ADF" w:rsidP="00101F15">
                  <w:pPr>
                    <w:autoSpaceDE w:val="0"/>
                    <w:autoSpaceDN w:val="0"/>
                    <w:adjustRightInd w:val="0"/>
                    <w:jc w:val="center"/>
                    <w:rPr>
                      <w:rFonts w:cs="Arial"/>
                      <w:szCs w:val="12"/>
                    </w:rPr>
                  </w:pPr>
                  <w:r w:rsidRPr="000D10E1">
                    <w:rPr>
                      <w:rFonts w:cs="Arial"/>
                      <w:szCs w:val="12"/>
                    </w:rPr>
                    <w:t>3</w:t>
                  </w:r>
                </w:p>
              </w:tc>
              <w:tc>
                <w:tcPr>
                  <w:tcW w:w="450" w:type="dxa"/>
                </w:tcPr>
                <w:p w:rsidR="00016ADF" w:rsidRPr="000D10E1" w:rsidRDefault="00016ADF" w:rsidP="00101F15">
                  <w:pPr>
                    <w:autoSpaceDE w:val="0"/>
                    <w:autoSpaceDN w:val="0"/>
                    <w:adjustRightInd w:val="0"/>
                    <w:jc w:val="center"/>
                    <w:rPr>
                      <w:rFonts w:cs="Arial"/>
                      <w:szCs w:val="12"/>
                    </w:rPr>
                  </w:pPr>
                  <w:r w:rsidRPr="000D10E1">
                    <w:rPr>
                      <w:rFonts w:cs="Arial"/>
                      <w:szCs w:val="12"/>
                    </w:rPr>
                    <w:t>-</w:t>
                  </w:r>
                </w:p>
              </w:tc>
              <w:tc>
                <w:tcPr>
                  <w:tcW w:w="450" w:type="dxa"/>
                </w:tcPr>
                <w:p w:rsidR="00016ADF" w:rsidRPr="000D10E1" w:rsidRDefault="00016ADF" w:rsidP="00101F15">
                  <w:pPr>
                    <w:autoSpaceDE w:val="0"/>
                    <w:autoSpaceDN w:val="0"/>
                    <w:adjustRightInd w:val="0"/>
                    <w:jc w:val="center"/>
                    <w:rPr>
                      <w:rFonts w:cs="Arial"/>
                      <w:szCs w:val="12"/>
                    </w:rPr>
                  </w:pPr>
                  <w:r>
                    <w:rPr>
                      <w:rFonts w:cs="Arial"/>
                      <w:szCs w:val="12"/>
                    </w:rPr>
                    <w:t>-</w:t>
                  </w:r>
                </w:p>
              </w:tc>
            </w:tr>
          </w:tbl>
          <w:p w:rsidR="00016ADF" w:rsidRPr="000D10E1" w:rsidRDefault="00016ADF" w:rsidP="00101F15">
            <w:pPr>
              <w:autoSpaceDE w:val="0"/>
              <w:autoSpaceDN w:val="0"/>
              <w:adjustRightInd w:val="0"/>
              <w:rPr>
                <w:rFonts w:cs="Arial"/>
                <w:szCs w:val="12"/>
              </w:rPr>
            </w:pPr>
          </w:p>
          <w:p w:rsidR="00016ADF" w:rsidRPr="000D10E1" w:rsidRDefault="00016ADF" w:rsidP="00101F15">
            <w:pPr>
              <w:pStyle w:val="TableText"/>
              <w:adjustRightInd w:val="0"/>
              <w:rPr>
                <w:rFonts w:ascii="Arial" w:hAnsi="Arial" w:cs="Arial"/>
                <w:szCs w:val="12"/>
              </w:rPr>
            </w:pPr>
            <w:r w:rsidRPr="000D10E1">
              <w:rPr>
                <w:rFonts w:ascii="Arial" w:hAnsi="Arial" w:cs="Arial"/>
                <w:szCs w:val="12"/>
              </w:rPr>
              <w:t>Interfering Substances:</w:t>
            </w:r>
          </w:p>
          <w:p w:rsidR="00016ADF" w:rsidRDefault="00016ADF" w:rsidP="00101F15">
            <w:pPr>
              <w:pStyle w:val="Bullets"/>
              <w:ind w:left="0" w:firstLine="0"/>
              <w:rPr>
                <w:rFonts w:ascii="Arial" w:hAnsi="Arial" w:cs="Arial"/>
                <w:position w:val="3"/>
              </w:rPr>
            </w:pPr>
          </w:p>
          <w:p w:rsidR="00016ADF" w:rsidRDefault="00016ADF" w:rsidP="00016ADF">
            <w:pPr>
              <w:pStyle w:val="Header"/>
              <w:numPr>
                <w:ilvl w:val="0"/>
                <w:numId w:val="5"/>
              </w:numPr>
              <w:tabs>
                <w:tab w:val="clear" w:pos="4320"/>
                <w:tab w:val="clear" w:pos="8640"/>
              </w:tabs>
              <w:rPr>
                <w:rFonts w:cs="Arial"/>
              </w:rPr>
            </w:pPr>
            <w:r>
              <w:rPr>
                <w:rFonts w:cs="Arial"/>
              </w:rPr>
              <w:t>EDTA of 200 mg/</w:t>
            </w:r>
            <w:proofErr w:type="spellStart"/>
            <w:r>
              <w:rPr>
                <w:rFonts w:cs="Arial"/>
              </w:rPr>
              <w:t>dL</w:t>
            </w:r>
            <w:proofErr w:type="spellEnd"/>
            <w:r>
              <w:rPr>
                <w:rFonts w:cs="Arial"/>
              </w:rPr>
              <w:t xml:space="preserve"> decreases the MG result by 0.4 mg/</w:t>
            </w:r>
            <w:proofErr w:type="spellStart"/>
            <w:r>
              <w:rPr>
                <w:rFonts w:cs="Arial"/>
              </w:rPr>
              <w:t>dL</w:t>
            </w:r>
            <w:proofErr w:type="spellEnd"/>
            <w:r>
              <w:rPr>
                <w:rFonts w:cs="Arial"/>
              </w:rPr>
              <w:t xml:space="preserve"> at a magnesium concentration of 1.8 mg/</w:t>
            </w:r>
            <w:proofErr w:type="spellStart"/>
            <w:r>
              <w:rPr>
                <w:rFonts w:cs="Arial"/>
              </w:rPr>
              <w:t>dL</w:t>
            </w:r>
            <w:proofErr w:type="spellEnd"/>
          </w:p>
          <w:p w:rsidR="00016ADF" w:rsidRDefault="00016ADF" w:rsidP="00016ADF">
            <w:pPr>
              <w:pStyle w:val="Header"/>
              <w:numPr>
                <w:ilvl w:val="0"/>
                <w:numId w:val="5"/>
              </w:numPr>
              <w:tabs>
                <w:tab w:val="clear" w:pos="4320"/>
                <w:tab w:val="clear" w:pos="8640"/>
              </w:tabs>
              <w:rPr>
                <w:rFonts w:cs="Arial"/>
              </w:rPr>
            </w:pPr>
            <w:r>
              <w:rPr>
                <w:rFonts w:cs="Arial"/>
              </w:rPr>
              <w:t xml:space="preserve">Because magnesium is three times more concentrated in erythrocytes than in serum, </w:t>
            </w:r>
            <w:proofErr w:type="spellStart"/>
            <w:r>
              <w:rPr>
                <w:rFonts w:cs="Arial"/>
              </w:rPr>
              <w:t>hemolyzed</w:t>
            </w:r>
            <w:proofErr w:type="spellEnd"/>
            <w:r>
              <w:rPr>
                <w:rFonts w:cs="Arial"/>
              </w:rPr>
              <w:t xml:space="preserve"> samples will give spuriously elevated results </w:t>
            </w:r>
          </w:p>
          <w:p w:rsidR="00016ADF" w:rsidRDefault="00016ADF" w:rsidP="00016ADF">
            <w:pPr>
              <w:pStyle w:val="Header"/>
              <w:numPr>
                <w:ilvl w:val="0"/>
                <w:numId w:val="5"/>
              </w:numPr>
              <w:tabs>
                <w:tab w:val="clear" w:pos="4320"/>
                <w:tab w:val="clear" w:pos="8640"/>
              </w:tabs>
              <w:rPr>
                <w:rFonts w:cs="Arial"/>
              </w:rPr>
            </w:pPr>
            <w:r>
              <w:rPr>
                <w:rFonts w:cs="Arial"/>
              </w:rPr>
              <w:t>Refer to the product insert for a list of substances that have been shown to have no measurable effect on the MG result at typical concentrations.</w:t>
            </w:r>
          </w:p>
          <w:p w:rsidR="00016ADF" w:rsidRDefault="00016ADF" w:rsidP="00101F15">
            <w:pPr>
              <w:pStyle w:val="Header"/>
              <w:tabs>
                <w:tab w:val="clear" w:pos="4320"/>
                <w:tab w:val="clear" w:pos="8640"/>
              </w:tabs>
              <w:rPr>
                <w:rFonts w:cs="Arial"/>
              </w:rPr>
            </w:pPr>
          </w:p>
          <w:p w:rsidR="006602C2" w:rsidRDefault="006602C2" w:rsidP="006602C2">
            <w:pPr>
              <w:rPr>
                <w:b/>
                <w:bCs/>
                <w:color w:val="76923C"/>
                <w:szCs w:val="20"/>
              </w:rPr>
            </w:pPr>
            <w:r w:rsidRPr="001E6473">
              <w:rPr>
                <w:b/>
                <w:bCs/>
                <w:color w:val="76923C"/>
                <w:szCs w:val="20"/>
              </w:rPr>
              <w:t>SECONDARY (BACKUP) METHOD</w:t>
            </w:r>
          </w:p>
          <w:p w:rsidR="006602C2" w:rsidRDefault="006602C2" w:rsidP="00101F15">
            <w:pPr>
              <w:pStyle w:val="Header"/>
              <w:tabs>
                <w:tab w:val="clear" w:pos="4320"/>
                <w:tab w:val="clear" w:pos="8640"/>
              </w:tabs>
              <w:rPr>
                <w:rFonts w:cs="Arial"/>
              </w:rPr>
            </w:pPr>
          </w:p>
          <w:p w:rsidR="006602C2" w:rsidRDefault="006602C2" w:rsidP="00101F15">
            <w:pPr>
              <w:pStyle w:val="Header"/>
              <w:tabs>
                <w:tab w:val="clear" w:pos="4320"/>
                <w:tab w:val="clear" w:pos="8640"/>
              </w:tabs>
              <w:rPr>
                <w:rFonts w:cs="Arial"/>
              </w:rPr>
            </w:pPr>
          </w:p>
          <w:p w:rsidR="006602C2" w:rsidRDefault="006602C2" w:rsidP="006602C2">
            <w:pPr>
              <w:pStyle w:val="Header"/>
              <w:numPr>
                <w:ilvl w:val="0"/>
                <w:numId w:val="5"/>
              </w:numPr>
              <w:tabs>
                <w:tab w:val="clear" w:pos="4320"/>
                <w:tab w:val="clear" w:pos="8640"/>
              </w:tabs>
              <w:rPr>
                <w:rFonts w:cs="Arial"/>
              </w:rPr>
            </w:pPr>
            <w:r>
              <w:rPr>
                <w:rFonts w:cs="Arial"/>
              </w:rPr>
              <w:t xml:space="preserve">Because magnesium is three times more concentrated in erythrocytes than in serum, </w:t>
            </w:r>
            <w:proofErr w:type="spellStart"/>
            <w:r>
              <w:rPr>
                <w:rFonts w:cs="Arial"/>
              </w:rPr>
              <w:t>hemolyzed</w:t>
            </w:r>
            <w:proofErr w:type="spellEnd"/>
            <w:r>
              <w:rPr>
                <w:rFonts w:cs="Arial"/>
              </w:rPr>
              <w:t xml:space="preserve"> samples will give spuriously elevated results </w:t>
            </w:r>
          </w:p>
          <w:p w:rsidR="006602C2" w:rsidRDefault="006602C2" w:rsidP="006602C2">
            <w:pPr>
              <w:pStyle w:val="Header"/>
              <w:numPr>
                <w:ilvl w:val="0"/>
                <w:numId w:val="5"/>
              </w:numPr>
              <w:tabs>
                <w:tab w:val="clear" w:pos="4320"/>
                <w:tab w:val="clear" w:pos="8640"/>
              </w:tabs>
              <w:rPr>
                <w:rFonts w:cs="Arial"/>
              </w:rPr>
            </w:pPr>
            <w:r>
              <w:rPr>
                <w:rFonts w:cs="Arial"/>
              </w:rPr>
              <w:t>Hemoglobin of 300 mg/</w:t>
            </w:r>
            <w:proofErr w:type="spellStart"/>
            <w:r>
              <w:rPr>
                <w:rFonts w:cs="Arial"/>
              </w:rPr>
              <w:t>dL</w:t>
            </w:r>
            <w:proofErr w:type="spellEnd"/>
            <w:r>
              <w:rPr>
                <w:rFonts w:cs="Arial"/>
              </w:rPr>
              <w:t xml:space="preserve"> increases magnesium concentration of 0.97 mg/</w:t>
            </w:r>
            <w:proofErr w:type="spellStart"/>
            <w:r>
              <w:rPr>
                <w:rFonts w:cs="Arial"/>
              </w:rPr>
              <w:t>dL</w:t>
            </w:r>
            <w:proofErr w:type="spellEnd"/>
            <w:r>
              <w:rPr>
                <w:rFonts w:cs="Arial"/>
              </w:rPr>
              <w:t xml:space="preserve"> by 14%</w:t>
            </w:r>
          </w:p>
          <w:p w:rsidR="006602C2" w:rsidRDefault="006602C2" w:rsidP="006602C2">
            <w:pPr>
              <w:pStyle w:val="Header"/>
              <w:numPr>
                <w:ilvl w:val="0"/>
                <w:numId w:val="5"/>
              </w:numPr>
              <w:tabs>
                <w:tab w:val="clear" w:pos="4320"/>
                <w:tab w:val="clear" w:pos="8640"/>
              </w:tabs>
              <w:rPr>
                <w:rFonts w:cs="Arial"/>
              </w:rPr>
            </w:pPr>
            <w:proofErr w:type="spellStart"/>
            <w:r>
              <w:rPr>
                <w:rFonts w:cs="Arial"/>
              </w:rPr>
              <w:t>Bilirubin</w:t>
            </w:r>
            <w:proofErr w:type="spellEnd"/>
            <w:r>
              <w:rPr>
                <w:rFonts w:cs="Arial"/>
              </w:rPr>
              <w:t xml:space="preserve"> (</w:t>
            </w:r>
            <w:proofErr w:type="spellStart"/>
            <w:r>
              <w:rPr>
                <w:rFonts w:cs="Arial"/>
              </w:rPr>
              <w:t>unconjugated</w:t>
            </w:r>
            <w:proofErr w:type="spellEnd"/>
            <w:r>
              <w:rPr>
                <w:rFonts w:cs="Arial"/>
              </w:rPr>
              <w:t>) of 60 mg/</w:t>
            </w:r>
            <w:proofErr w:type="spellStart"/>
            <w:r>
              <w:rPr>
                <w:rFonts w:cs="Arial"/>
              </w:rPr>
              <w:t>dL</w:t>
            </w:r>
            <w:proofErr w:type="spellEnd"/>
            <w:r>
              <w:rPr>
                <w:rFonts w:cs="Arial"/>
              </w:rPr>
              <w:t xml:space="preserve"> increases a magnesium concentration of 0.97 mg/</w:t>
            </w:r>
            <w:proofErr w:type="spellStart"/>
            <w:r>
              <w:rPr>
                <w:rFonts w:cs="Arial"/>
              </w:rPr>
              <w:t>dL</w:t>
            </w:r>
            <w:proofErr w:type="spellEnd"/>
            <w:r>
              <w:rPr>
                <w:rFonts w:cs="Arial"/>
              </w:rPr>
              <w:t xml:space="preserve"> by 14%</w:t>
            </w:r>
          </w:p>
          <w:p w:rsidR="006602C2" w:rsidRDefault="006602C2" w:rsidP="006602C2">
            <w:pPr>
              <w:pStyle w:val="Header"/>
              <w:numPr>
                <w:ilvl w:val="0"/>
                <w:numId w:val="5"/>
              </w:numPr>
              <w:tabs>
                <w:tab w:val="clear" w:pos="4320"/>
                <w:tab w:val="clear" w:pos="8640"/>
              </w:tabs>
              <w:rPr>
                <w:rFonts w:cs="Arial"/>
              </w:rPr>
            </w:pPr>
            <w:proofErr w:type="spellStart"/>
            <w:r>
              <w:rPr>
                <w:rFonts w:cs="Arial"/>
              </w:rPr>
              <w:t>Lipemia</w:t>
            </w:r>
            <w:proofErr w:type="spellEnd"/>
            <w:r>
              <w:rPr>
                <w:rFonts w:cs="Arial"/>
              </w:rPr>
              <w:t xml:space="preserve"> of 3000 mg/</w:t>
            </w:r>
            <w:proofErr w:type="spellStart"/>
            <w:r>
              <w:rPr>
                <w:rFonts w:cs="Arial"/>
              </w:rPr>
              <w:t>dL</w:t>
            </w:r>
            <w:proofErr w:type="spellEnd"/>
            <w:r>
              <w:rPr>
                <w:rFonts w:cs="Arial"/>
              </w:rPr>
              <w:t xml:space="preserve"> increases a magnesium concentration of 0.92 mg/</w:t>
            </w:r>
            <w:proofErr w:type="spellStart"/>
            <w:r>
              <w:rPr>
                <w:rFonts w:cs="Arial"/>
              </w:rPr>
              <w:t>dL</w:t>
            </w:r>
            <w:proofErr w:type="spellEnd"/>
            <w:r>
              <w:rPr>
                <w:rFonts w:cs="Arial"/>
              </w:rPr>
              <w:t xml:space="preserve"> by 14%</w:t>
            </w:r>
          </w:p>
          <w:p w:rsidR="006602C2" w:rsidRDefault="006602C2" w:rsidP="006602C2">
            <w:pPr>
              <w:pStyle w:val="Header"/>
              <w:tabs>
                <w:tab w:val="clear" w:pos="4320"/>
                <w:tab w:val="clear" w:pos="8640"/>
              </w:tabs>
              <w:rPr>
                <w:rFonts w:cs="Arial"/>
              </w:rPr>
            </w:pPr>
            <w:r>
              <w:rPr>
                <w:rFonts w:cs="Arial"/>
              </w:rPr>
              <w:t xml:space="preserve">       Refer to the product insert for a list of substances that have been shown to have no measurable</w:t>
            </w:r>
          </w:p>
          <w:p w:rsidR="006602C2" w:rsidRDefault="006602C2" w:rsidP="006602C2">
            <w:pPr>
              <w:pStyle w:val="Header"/>
              <w:tabs>
                <w:tab w:val="clear" w:pos="4320"/>
                <w:tab w:val="clear" w:pos="8640"/>
              </w:tabs>
              <w:rPr>
                <w:rFonts w:cs="Arial"/>
              </w:rPr>
            </w:pPr>
            <w:r>
              <w:rPr>
                <w:rFonts w:cs="Arial"/>
              </w:rPr>
              <w:t xml:space="preserve">       effect on the MG result at typical concentrations</w:t>
            </w:r>
          </w:p>
          <w:p w:rsidR="006602C2" w:rsidRDefault="006602C2" w:rsidP="00101F15">
            <w:pPr>
              <w:pStyle w:val="Header"/>
              <w:tabs>
                <w:tab w:val="clear" w:pos="4320"/>
                <w:tab w:val="clear" w:pos="8640"/>
              </w:tabs>
              <w:rPr>
                <w:rFonts w:cs="Arial"/>
              </w:rPr>
            </w:pPr>
          </w:p>
          <w:p w:rsidR="006602C2" w:rsidRDefault="006602C2" w:rsidP="00101F15">
            <w:pPr>
              <w:pStyle w:val="Header"/>
              <w:tabs>
                <w:tab w:val="clear" w:pos="4320"/>
                <w:tab w:val="clear" w:pos="8640"/>
              </w:tabs>
              <w:rPr>
                <w:rFonts w:cs="Arial"/>
              </w:rPr>
            </w:pPr>
          </w:p>
          <w:p w:rsidR="006602C2" w:rsidRDefault="006602C2" w:rsidP="00101F15">
            <w:pPr>
              <w:pStyle w:val="Header"/>
              <w:tabs>
                <w:tab w:val="clear" w:pos="4320"/>
                <w:tab w:val="clear" w:pos="8640"/>
              </w:tabs>
              <w:rPr>
                <w:rFonts w:cs="Arial"/>
              </w:rPr>
            </w:pPr>
          </w:p>
          <w:p w:rsidR="006602C2" w:rsidRDefault="006602C2" w:rsidP="00101F15">
            <w:pPr>
              <w:pStyle w:val="Header"/>
              <w:tabs>
                <w:tab w:val="clear" w:pos="4320"/>
                <w:tab w:val="clear" w:pos="8640"/>
              </w:tabs>
              <w:rPr>
                <w:rFonts w:cs="Arial"/>
              </w:rPr>
            </w:pPr>
          </w:p>
          <w:p w:rsidR="006602C2" w:rsidRDefault="006602C2" w:rsidP="00101F15">
            <w:pPr>
              <w:pStyle w:val="Header"/>
              <w:tabs>
                <w:tab w:val="clear" w:pos="4320"/>
                <w:tab w:val="clear" w:pos="8640"/>
              </w:tabs>
              <w:rPr>
                <w:rFonts w:cs="Arial"/>
              </w:rPr>
            </w:pPr>
          </w:p>
        </w:tc>
      </w:tr>
      <w:tr w:rsidR="00016ADF" w:rsidTr="00101F15">
        <w:trPr>
          <w:trHeight w:val="1817"/>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Reference Range</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pStyle w:val="Header"/>
              <w:tabs>
                <w:tab w:val="clear" w:pos="4320"/>
                <w:tab w:val="clear" w:pos="8640"/>
              </w:tabs>
              <w:rPr>
                <w:rFonts w:cs="Arial"/>
                <w:u w:val="single"/>
              </w:rPr>
            </w:pPr>
          </w:p>
          <w:p w:rsidR="00016ADF" w:rsidRDefault="00016ADF" w:rsidP="00101F15">
            <w:pPr>
              <w:pStyle w:val="Header"/>
              <w:tabs>
                <w:tab w:val="clear" w:pos="4320"/>
                <w:tab w:val="clear" w:pos="8640"/>
              </w:tabs>
              <w:rPr>
                <w:rFonts w:cs="Arial"/>
              </w:rPr>
            </w:pPr>
            <w:r>
              <w:rPr>
                <w:rFonts w:cs="Arial"/>
              </w:rPr>
              <w:t>Serum/Plasma:</w:t>
            </w:r>
            <w:r>
              <w:rPr>
                <w:rFonts w:cs="Arial"/>
              </w:rPr>
              <w:tab/>
              <w:t>1.5 – 2.5 mg/</w:t>
            </w:r>
            <w:proofErr w:type="spellStart"/>
            <w:r>
              <w:rPr>
                <w:rFonts w:cs="Arial"/>
              </w:rPr>
              <w:t>dL</w:t>
            </w:r>
            <w:proofErr w:type="spellEnd"/>
            <w:r>
              <w:rPr>
                <w:rFonts w:cs="Arial"/>
              </w:rPr>
              <w:t xml:space="preserve"> *</w:t>
            </w:r>
          </w:p>
          <w:p w:rsidR="00016ADF" w:rsidRDefault="00016ADF" w:rsidP="00101F15">
            <w:pPr>
              <w:pStyle w:val="Header"/>
              <w:tabs>
                <w:tab w:val="clear" w:pos="4320"/>
                <w:tab w:val="clear" w:pos="8640"/>
              </w:tabs>
              <w:rPr>
                <w:rFonts w:cs="Arial"/>
              </w:rPr>
            </w:pPr>
          </w:p>
          <w:p w:rsidR="00016ADF" w:rsidRDefault="00016ADF" w:rsidP="00101F15">
            <w:pPr>
              <w:pStyle w:val="Header"/>
              <w:tabs>
                <w:tab w:val="clear" w:pos="4320"/>
                <w:tab w:val="clear" w:pos="8640"/>
              </w:tabs>
              <w:rPr>
                <w:rFonts w:cs="Arial"/>
                <w:u w:val="single"/>
              </w:rPr>
            </w:pPr>
            <w:r>
              <w:rPr>
                <w:rFonts w:cs="Arial"/>
              </w:rPr>
              <w:t>* Children’s Hospitals and Clinics of Minnesota verified the reference range by using historic patient results over multiple age groups in November 2013.</w:t>
            </w:r>
          </w:p>
          <w:p w:rsidR="00016ADF" w:rsidRDefault="00016ADF" w:rsidP="00101F15">
            <w:pPr>
              <w:rPr>
                <w:rFonts w:cs="Arial"/>
                <w:u w:val="single"/>
              </w:rPr>
            </w:pPr>
          </w:p>
          <w:p w:rsidR="00016ADF" w:rsidRDefault="00016ADF" w:rsidP="00101F15">
            <w:pPr>
              <w:rPr>
                <w:rFonts w:cs="Arial"/>
                <w:u w:val="single"/>
              </w:rPr>
            </w:pPr>
            <w:r>
              <w:rPr>
                <w:rFonts w:cs="Arial"/>
                <w:u w:val="single"/>
              </w:rPr>
              <w:t>Urine:</w:t>
            </w:r>
          </w:p>
          <w:p w:rsidR="00016ADF" w:rsidRDefault="00016ADF" w:rsidP="00101F15">
            <w:pPr>
              <w:pStyle w:val="BodyText2"/>
              <w:rPr>
                <w:i w:val="0"/>
                <w:iCs/>
                <w:sz w:val="20"/>
              </w:rPr>
            </w:pPr>
            <w:r>
              <w:rPr>
                <w:i w:val="0"/>
                <w:iCs/>
                <w:sz w:val="20"/>
              </w:rPr>
              <w:t>Non established</w:t>
            </w:r>
          </w:p>
          <w:p w:rsidR="00016ADF" w:rsidRDefault="00016ADF" w:rsidP="00101F15">
            <w:pPr>
              <w:pStyle w:val="Header"/>
              <w:tabs>
                <w:tab w:val="clear" w:pos="4320"/>
                <w:tab w:val="clear" w:pos="8640"/>
              </w:tabs>
              <w:rPr>
                <w:rFonts w:cs="Arial"/>
                <w:iCs/>
              </w:rPr>
            </w:pPr>
          </w:p>
        </w:tc>
      </w:tr>
      <w:tr w:rsidR="00016ADF" w:rsidTr="00101F15">
        <w:trPr>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Critical Values</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rPr>
                <w:rFonts w:cs="Arial"/>
              </w:rPr>
            </w:pPr>
          </w:p>
          <w:p w:rsidR="00016ADF" w:rsidRDefault="00016ADF" w:rsidP="00101F15">
            <w:pPr>
              <w:rPr>
                <w:rFonts w:cs="Arial"/>
              </w:rPr>
            </w:pPr>
            <w:r>
              <w:rPr>
                <w:rFonts w:cs="Arial"/>
              </w:rPr>
              <w:t>Plasma/Serum: &lt; 1.2 or &gt; 6.6 mg/</w:t>
            </w:r>
            <w:proofErr w:type="spellStart"/>
            <w:r>
              <w:rPr>
                <w:rFonts w:cs="Arial"/>
              </w:rPr>
              <w:t>dL</w:t>
            </w:r>
            <w:proofErr w:type="spellEnd"/>
            <w:r>
              <w:rPr>
                <w:rFonts w:cs="Arial"/>
              </w:rPr>
              <w:t>.</w:t>
            </w:r>
          </w:p>
          <w:p w:rsidR="00016ADF" w:rsidRDefault="00016ADF" w:rsidP="00101F15">
            <w:pPr>
              <w:rPr>
                <w:rFonts w:cs="Arial"/>
              </w:rPr>
            </w:pPr>
            <w:r>
              <w:rPr>
                <w:rFonts w:cs="Arial"/>
              </w:rPr>
              <w:t>Critical values must be called according to the Critical Limit Test Value Policy.</w:t>
            </w:r>
          </w:p>
          <w:p w:rsidR="00016ADF" w:rsidRDefault="00016ADF" w:rsidP="00101F15">
            <w:pPr>
              <w:rPr>
                <w:rFonts w:cs="Arial"/>
              </w:rPr>
            </w:pPr>
          </w:p>
        </w:tc>
      </w:tr>
      <w:tr w:rsidR="00016ADF" w:rsidTr="00101F15">
        <w:trPr>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Limitations</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rPr>
                <w:rFonts w:cs="Arial"/>
                <w:szCs w:val="12"/>
              </w:rPr>
            </w:pPr>
          </w:p>
          <w:p w:rsidR="00016ADF" w:rsidRDefault="00016ADF" w:rsidP="00101F15">
            <w:pPr>
              <w:rPr>
                <w:rFonts w:cs="Arial"/>
              </w:rPr>
            </w:pPr>
            <w:r>
              <w:rPr>
                <w:rFonts w:cs="Arial"/>
                <w:szCs w:val="12"/>
              </w:rPr>
              <w:t xml:space="preserve">Linear range of detection: </w:t>
            </w:r>
            <w:r>
              <w:rPr>
                <w:rFonts w:cs="Arial"/>
              </w:rPr>
              <w:t>0.2–20.0 mg/</w:t>
            </w:r>
            <w:proofErr w:type="spellStart"/>
            <w:r>
              <w:rPr>
                <w:rFonts w:cs="Arial"/>
              </w:rPr>
              <w:t>dL</w:t>
            </w:r>
            <w:proofErr w:type="spellEnd"/>
          </w:p>
          <w:p w:rsidR="00016ADF" w:rsidRDefault="00016ADF" w:rsidP="00101F15">
            <w:pPr>
              <w:rPr>
                <w:rFonts w:cs="Arial"/>
              </w:rPr>
            </w:pPr>
          </w:p>
          <w:p w:rsidR="00016ADF" w:rsidRDefault="00016ADF" w:rsidP="00101F15">
            <w:pPr>
              <w:rPr>
                <w:rFonts w:cs="Arial"/>
                <w:szCs w:val="12"/>
              </w:rPr>
            </w:pPr>
            <w:r>
              <w:rPr>
                <w:rFonts w:cs="Arial"/>
              </w:rPr>
              <w:t>The instrument reporting system contains error messages to warn the operator of specific malfunctions. Any report slip containing such error messages should be held for follow-up. Refer to your Dimension Operator’s Guide for troubleshooting.</w:t>
            </w:r>
          </w:p>
          <w:p w:rsidR="00016ADF" w:rsidRDefault="00016ADF" w:rsidP="00101F15">
            <w:pPr>
              <w:rPr>
                <w:rFonts w:cs="Arial"/>
              </w:rPr>
            </w:pPr>
          </w:p>
        </w:tc>
      </w:tr>
      <w:tr w:rsidR="00016ADF" w:rsidTr="00101F15">
        <w:trPr>
          <w:trHeight w:val="2715"/>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Dilutions</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rPr>
                <w:rFonts w:cs="Arial"/>
              </w:rPr>
            </w:pPr>
          </w:p>
          <w:p w:rsidR="00016ADF" w:rsidRDefault="00016ADF" w:rsidP="00101F15">
            <w:pPr>
              <w:pStyle w:val="Reagents"/>
              <w:jc w:val="both"/>
              <w:rPr>
                <w:rFonts w:ascii="Arial" w:hAnsi="Arial" w:cs="Arial"/>
                <w:b/>
                <w:bCs/>
                <w:color w:val="365F91"/>
              </w:rPr>
            </w:pPr>
            <w:r w:rsidRPr="006D1E54">
              <w:rPr>
                <w:rFonts w:ascii="Arial" w:hAnsi="Arial" w:cs="Arial"/>
                <w:b/>
                <w:bCs/>
                <w:color w:val="365F91"/>
              </w:rPr>
              <w:t>PRIMARY METHOD:</w:t>
            </w: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7"/>
              <w:gridCol w:w="7020"/>
            </w:tblGrid>
            <w:tr w:rsidR="00016ADF" w:rsidTr="00101F15">
              <w:tc>
                <w:tcPr>
                  <w:tcW w:w="2137" w:type="dxa"/>
                </w:tcPr>
                <w:p w:rsidR="00016ADF" w:rsidRPr="007A579D" w:rsidRDefault="00016ADF" w:rsidP="00101F15">
                  <w:pPr>
                    <w:pStyle w:val="BodyText"/>
                    <w:jc w:val="both"/>
                    <w:rPr>
                      <w:rFonts w:cs="Arial"/>
                    </w:rPr>
                  </w:pPr>
                  <w:r>
                    <w:rPr>
                      <w:rFonts w:cs="Arial"/>
                    </w:rPr>
                    <w:t>Maximum Dilution:</w:t>
                  </w:r>
                </w:p>
              </w:tc>
              <w:tc>
                <w:tcPr>
                  <w:tcW w:w="7020" w:type="dxa"/>
                  <w:vAlign w:val="center"/>
                </w:tcPr>
                <w:p w:rsidR="00016ADF" w:rsidRDefault="00016ADF" w:rsidP="00101F15">
                  <w:pPr>
                    <w:pStyle w:val="BodyText"/>
                    <w:jc w:val="both"/>
                    <w:rPr>
                      <w:rFonts w:cs="Arial"/>
                    </w:rPr>
                  </w:pPr>
                  <w:r>
                    <w:rPr>
                      <w:rFonts w:cs="Arial"/>
                    </w:rPr>
                    <w:t>1:2</w:t>
                  </w:r>
                </w:p>
              </w:tc>
            </w:tr>
            <w:tr w:rsidR="00016ADF" w:rsidRPr="007A579D" w:rsidTr="00101F15">
              <w:trPr>
                <w:trHeight w:val="458"/>
              </w:trPr>
              <w:tc>
                <w:tcPr>
                  <w:tcW w:w="2137" w:type="dxa"/>
                </w:tcPr>
                <w:p w:rsidR="00016ADF" w:rsidRPr="007A579D" w:rsidRDefault="00016ADF" w:rsidP="00101F15">
                  <w:pPr>
                    <w:pStyle w:val="BodyText"/>
                    <w:jc w:val="both"/>
                    <w:rPr>
                      <w:rFonts w:cs="Arial"/>
                    </w:rPr>
                  </w:pPr>
                  <w:r w:rsidRPr="007A579D">
                    <w:rPr>
                      <w:rFonts w:cs="Arial"/>
                    </w:rPr>
                    <w:t>Surplus Rack</w:t>
                  </w:r>
                  <w:r>
                    <w:rPr>
                      <w:rFonts w:cs="Arial"/>
                    </w:rPr>
                    <w:t>:</w:t>
                  </w:r>
                </w:p>
              </w:tc>
              <w:tc>
                <w:tcPr>
                  <w:tcW w:w="7020" w:type="dxa"/>
                  <w:vAlign w:val="center"/>
                </w:tcPr>
                <w:p w:rsidR="00016ADF" w:rsidRPr="007A579D" w:rsidRDefault="00016ADF" w:rsidP="00101F15">
                  <w:pPr>
                    <w:autoSpaceDE w:val="0"/>
                    <w:autoSpaceDN w:val="0"/>
                    <w:adjustRightInd w:val="0"/>
                    <w:jc w:val="both"/>
                    <w:rPr>
                      <w:rFonts w:cs="Arial"/>
                      <w:szCs w:val="20"/>
                    </w:rPr>
                  </w:pPr>
                  <w:r w:rsidRPr="007A579D">
                    <w:rPr>
                      <w:rFonts w:cs="Arial"/>
                      <w:szCs w:val="20"/>
                    </w:rPr>
                    <w:t>Samples with results &gt;</w:t>
                  </w:r>
                  <w:r>
                    <w:rPr>
                      <w:rFonts w:cs="Arial"/>
                    </w:rPr>
                    <w:t>20.0 mg/</w:t>
                  </w:r>
                  <w:proofErr w:type="spellStart"/>
                  <w:r>
                    <w:rPr>
                      <w:rFonts w:cs="Arial"/>
                    </w:rPr>
                    <w:t>dL</w:t>
                  </w:r>
                  <w:proofErr w:type="spellEnd"/>
                  <w:r>
                    <w:rPr>
                      <w:rFonts w:cs="Arial"/>
                      <w:szCs w:val="20"/>
                    </w:rPr>
                    <w:t xml:space="preserve"> reflex to a 1:2 dilution. </w:t>
                  </w:r>
                </w:p>
              </w:tc>
            </w:tr>
            <w:tr w:rsidR="00016ADF" w:rsidRPr="0090549B" w:rsidTr="00101F15">
              <w:trPr>
                <w:trHeight w:val="530"/>
              </w:trPr>
              <w:tc>
                <w:tcPr>
                  <w:tcW w:w="2137" w:type="dxa"/>
                </w:tcPr>
                <w:p w:rsidR="00016ADF" w:rsidRPr="007A579D" w:rsidRDefault="00016ADF" w:rsidP="00101F15">
                  <w:pPr>
                    <w:pStyle w:val="BodyText"/>
                    <w:jc w:val="both"/>
                    <w:rPr>
                      <w:rFonts w:cs="Arial"/>
                    </w:rPr>
                  </w:pPr>
                  <w:r w:rsidRPr="007A579D">
                    <w:rPr>
                      <w:rFonts w:cs="Arial"/>
                    </w:rPr>
                    <w:t>Limited Rack</w:t>
                  </w:r>
                  <w:r>
                    <w:rPr>
                      <w:rFonts w:cs="Arial"/>
                    </w:rPr>
                    <w:t>:</w:t>
                  </w:r>
                </w:p>
              </w:tc>
              <w:tc>
                <w:tcPr>
                  <w:tcW w:w="7020" w:type="dxa"/>
                  <w:vAlign w:val="center"/>
                </w:tcPr>
                <w:p w:rsidR="00016ADF" w:rsidRPr="0090549B" w:rsidRDefault="00016ADF" w:rsidP="00101F15">
                  <w:pPr>
                    <w:autoSpaceDE w:val="0"/>
                    <w:autoSpaceDN w:val="0"/>
                    <w:adjustRightInd w:val="0"/>
                    <w:jc w:val="both"/>
                    <w:rPr>
                      <w:rFonts w:cs="Arial"/>
                      <w:szCs w:val="20"/>
                    </w:rPr>
                  </w:pPr>
                  <w:r w:rsidRPr="007A579D">
                    <w:rPr>
                      <w:rFonts w:cs="Arial"/>
                      <w:szCs w:val="20"/>
                    </w:rPr>
                    <w:t>Samples with results &gt;</w:t>
                  </w:r>
                  <w:r>
                    <w:rPr>
                      <w:rFonts w:cs="Arial"/>
                    </w:rPr>
                    <w:t>20.0 mg/</w:t>
                  </w:r>
                  <w:proofErr w:type="spellStart"/>
                  <w:r>
                    <w:rPr>
                      <w:rFonts w:cs="Arial"/>
                    </w:rPr>
                    <w:t>dL</w:t>
                  </w:r>
                  <w:proofErr w:type="spellEnd"/>
                  <w:r>
                    <w:rPr>
                      <w:rFonts w:cs="Arial"/>
                      <w:szCs w:val="20"/>
                    </w:rPr>
                    <w:t xml:space="preserve"> should be repeated as an Add-On Test with a 1:2 dilution. </w:t>
                  </w:r>
                </w:p>
              </w:tc>
            </w:tr>
            <w:tr w:rsidR="00016ADF" w:rsidRPr="0090549B" w:rsidTr="00101F15">
              <w:trPr>
                <w:trHeight w:val="440"/>
              </w:trPr>
              <w:tc>
                <w:tcPr>
                  <w:tcW w:w="2137" w:type="dxa"/>
                </w:tcPr>
                <w:p w:rsidR="00016ADF" w:rsidRPr="007A579D" w:rsidRDefault="00016ADF" w:rsidP="00101F15">
                  <w:pPr>
                    <w:pStyle w:val="BodyText"/>
                    <w:jc w:val="both"/>
                    <w:rPr>
                      <w:rFonts w:cs="Arial"/>
                    </w:rPr>
                  </w:pPr>
                  <w:r>
                    <w:rPr>
                      <w:rFonts w:cs="Arial"/>
                    </w:rPr>
                    <w:t>Manual Dilution:</w:t>
                  </w:r>
                </w:p>
              </w:tc>
              <w:tc>
                <w:tcPr>
                  <w:tcW w:w="7020" w:type="dxa"/>
                  <w:vAlign w:val="center"/>
                </w:tcPr>
                <w:p w:rsidR="00016ADF" w:rsidRPr="007A579D" w:rsidRDefault="00016ADF" w:rsidP="00101F15">
                  <w:pPr>
                    <w:autoSpaceDE w:val="0"/>
                    <w:autoSpaceDN w:val="0"/>
                    <w:adjustRightInd w:val="0"/>
                    <w:jc w:val="both"/>
                    <w:rPr>
                      <w:rFonts w:cs="Arial"/>
                      <w:szCs w:val="20"/>
                    </w:rPr>
                  </w:pPr>
                  <w:r>
                    <w:rPr>
                      <w:rFonts w:cs="Arial"/>
                      <w:szCs w:val="20"/>
                    </w:rPr>
                    <w:t xml:space="preserve">Do not manually dilute </w:t>
                  </w:r>
                </w:p>
              </w:tc>
            </w:tr>
          </w:tbl>
          <w:p w:rsidR="00016ADF" w:rsidRDefault="00016ADF" w:rsidP="006602C2">
            <w:pPr>
              <w:pStyle w:val="CalVerTable"/>
              <w:rPr>
                <w:rFonts w:ascii="Arial" w:hAnsi="Arial" w:cs="Arial"/>
              </w:rPr>
            </w:pPr>
          </w:p>
          <w:p w:rsidR="006602C2" w:rsidRDefault="006602C2" w:rsidP="006602C2">
            <w:pPr>
              <w:rPr>
                <w:b/>
                <w:bCs/>
                <w:color w:val="76923C"/>
                <w:szCs w:val="20"/>
              </w:rPr>
            </w:pPr>
            <w:r w:rsidRPr="001E6473">
              <w:rPr>
                <w:b/>
                <w:bCs/>
                <w:color w:val="76923C"/>
                <w:szCs w:val="20"/>
              </w:rPr>
              <w:t>SECONDARY (BACKUP) METHOD</w:t>
            </w:r>
          </w:p>
          <w:p w:rsidR="006602C2" w:rsidRDefault="006602C2" w:rsidP="006602C2">
            <w:pPr>
              <w:pStyle w:val="CalVerTable"/>
              <w:ind w:left="0" w:firstLine="0"/>
              <w:rPr>
                <w:rFonts w:ascii="Arial" w:hAnsi="Arial" w:cs="Arial"/>
              </w:rPr>
            </w:pPr>
          </w:p>
          <w:p w:rsidR="006602C2" w:rsidRDefault="006602C2" w:rsidP="006602C2">
            <w:pPr>
              <w:rPr>
                <w:rFonts w:cs="Arial"/>
              </w:rPr>
            </w:pPr>
            <w:r>
              <w:rPr>
                <w:rFonts w:cs="Arial"/>
                <w:b/>
                <w:bCs/>
              </w:rPr>
              <w:t xml:space="preserve">Above </w:t>
            </w:r>
            <w:r>
              <w:rPr>
                <w:rFonts w:cs="Arial"/>
                <w:b/>
                <w:bCs/>
                <w:szCs w:val="12"/>
              </w:rPr>
              <w:t>20.0 mg/</w:t>
            </w:r>
            <w:proofErr w:type="spellStart"/>
            <w:r>
              <w:rPr>
                <w:rFonts w:cs="Arial"/>
                <w:b/>
                <w:bCs/>
                <w:szCs w:val="12"/>
              </w:rPr>
              <w:t>dL</w:t>
            </w:r>
            <w:proofErr w:type="spellEnd"/>
          </w:p>
          <w:p w:rsidR="006602C2" w:rsidRDefault="006602C2" w:rsidP="006602C2">
            <w:pPr>
              <w:rPr>
                <w:rFonts w:cs="Arial"/>
              </w:rPr>
            </w:pPr>
          </w:p>
          <w:tbl>
            <w:tblPr>
              <w:tblStyle w:val="TableGrid"/>
              <w:tblW w:w="0" w:type="auto"/>
              <w:tblLayout w:type="fixed"/>
              <w:tblLook w:val="04A0"/>
            </w:tblPr>
            <w:tblGrid>
              <w:gridCol w:w="2137"/>
              <w:gridCol w:w="6992"/>
            </w:tblGrid>
            <w:tr w:rsidR="006602C2" w:rsidTr="006602C2">
              <w:trPr>
                <w:trHeight w:val="440"/>
              </w:trPr>
              <w:tc>
                <w:tcPr>
                  <w:tcW w:w="2137" w:type="dxa"/>
                </w:tcPr>
                <w:p w:rsidR="006602C2" w:rsidRDefault="006602C2" w:rsidP="006602C2">
                  <w:pPr>
                    <w:rPr>
                      <w:rFonts w:cs="Arial"/>
                    </w:rPr>
                  </w:pPr>
                  <w:r>
                    <w:rPr>
                      <w:rFonts w:cs="Arial"/>
                    </w:rPr>
                    <w:t xml:space="preserve">Maximum </w:t>
                  </w:r>
                  <w:r w:rsidR="00EA53DA">
                    <w:rPr>
                      <w:rFonts w:cs="Arial"/>
                    </w:rPr>
                    <w:t xml:space="preserve"> Manual </w:t>
                  </w:r>
                  <w:r>
                    <w:rPr>
                      <w:rFonts w:cs="Arial"/>
                    </w:rPr>
                    <w:t>Dilution:</w:t>
                  </w:r>
                </w:p>
              </w:tc>
              <w:tc>
                <w:tcPr>
                  <w:tcW w:w="6992" w:type="dxa"/>
                </w:tcPr>
                <w:p w:rsidR="006602C2" w:rsidRDefault="006602C2" w:rsidP="006602C2">
                  <w:pPr>
                    <w:rPr>
                      <w:rFonts w:cs="Arial"/>
                    </w:rPr>
                  </w:pPr>
                  <w:r>
                    <w:rPr>
                      <w:rFonts w:cs="Arial"/>
                    </w:rPr>
                    <w:t>1:3</w:t>
                  </w:r>
                </w:p>
              </w:tc>
            </w:tr>
            <w:tr w:rsidR="006602C2" w:rsidTr="006602C2">
              <w:trPr>
                <w:trHeight w:val="350"/>
              </w:trPr>
              <w:tc>
                <w:tcPr>
                  <w:tcW w:w="2137" w:type="dxa"/>
                </w:tcPr>
                <w:p w:rsidR="006602C2" w:rsidRDefault="006602C2" w:rsidP="006602C2">
                  <w:pPr>
                    <w:rPr>
                      <w:rFonts w:cs="Arial"/>
                    </w:rPr>
                  </w:pPr>
                  <w:proofErr w:type="spellStart"/>
                  <w:r>
                    <w:rPr>
                      <w:rFonts w:cs="Arial"/>
                    </w:rPr>
                    <w:t>Diluent</w:t>
                  </w:r>
                  <w:proofErr w:type="spellEnd"/>
                  <w:r>
                    <w:rPr>
                      <w:rFonts w:cs="Arial"/>
                    </w:rPr>
                    <w:t>:</w:t>
                  </w:r>
                </w:p>
              </w:tc>
              <w:tc>
                <w:tcPr>
                  <w:tcW w:w="6992" w:type="dxa"/>
                </w:tcPr>
                <w:p w:rsidR="006602C2" w:rsidRDefault="00EA53DA" w:rsidP="006602C2">
                  <w:pPr>
                    <w:rPr>
                      <w:rFonts w:cs="Arial"/>
                    </w:rPr>
                  </w:pPr>
                  <w:r>
                    <w:rPr>
                      <w:rFonts w:cs="Arial"/>
                    </w:rPr>
                    <w:t>Reagent Grade Water</w:t>
                  </w:r>
                </w:p>
              </w:tc>
            </w:tr>
            <w:tr w:rsidR="006602C2" w:rsidTr="006602C2">
              <w:trPr>
                <w:trHeight w:val="350"/>
              </w:trPr>
              <w:tc>
                <w:tcPr>
                  <w:tcW w:w="2137" w:type="dxa"/>
                </w:tcPr>
                <w:p w:rsidR="006602C2" w:rsidRDefault="00EA53DA" w:rsidP="006602C2">
                  <w:pPr>
                    <w:rPr>
                      <w:rFonts w:cs="Arial"/>
                    </w:rPr>
                  </w:pPr>
                  <w:r>
                    <w:rPr>
                      <w:rFonts w:cs="Arial"/>
                    </w:rPr>
                    <w:t>Manual Dilution:</w:t>
                  </w:r>
                </w:p>
              </w:tc>
              <w:tc>
                <w:tcPr>
                  <w:tcW w:w="6992" w:type="dxa"/>
                </w:tcPr>
                <w:p w:rsidR="006602C2" w:rsidRDefault="00EA53DA" w:rsidP="006602C2">
                  <w:pPr>
                    <w:rPr>
                      <w:rFonts w:cs="Arial"/>
                    </w:rPr>
                  </w:pPr>
                  <w:r>
                    <w:rPr>
                      <w:rFonts w:cs="Arial"/>
                    </w:rPr>
                    <w:t>Manually prepare a 1:3 dilution with reagent grade water</w:t>
                  </w:r>
                </w:p>
                <w:p w:rsidR="00EA53DA" w:rsidRDefault="00EA53DA" w:rsidP="006602C2">
                  <w:pPr>
                    <w:rPr>
                      <w:rFonts w:cs="Arial"/>
                    </w:rPr>
                  </w:pPr>
                  <w:r>
                    <w:rPr>
                      <w:rFonts w:cs="Arial"/>
                    </w:rPr>
                    <w:t xml:space="preserve">Enter dilution factor on RXL Max and </w:t>
                  </w:r>
                  <w:proofErr w:type="spellStart"/>
                  <w:r>
                    <w:rPr>
                      <w:rFonts w:cs="Arial"/>
                    </w:rPr>
                    <w:t>Reassay</w:t>
                  </w:r>
                  <w:proofErr w:type="spellEnd"/>
                </w:p>
              </w:tc>
            </w:tr>
          </w:tbl>
          <w:p w:rsidR="006602C2" w:rsidRDefault="006602C2" w:rsidP="00101F15">
            <w:pPr>
              <w:pStyle w:val="CalVerTable"/>
              <w:ind w:left="720" w:firstLine="0"/>
              <w:rPr>
                <w:rFonts w:ascii="Arial" w:hAnsi="Arial" w:cs="Arial"/>
              </w:rPr>
            </w:pPr>
          </w:p>
          <w:p w:rsidR="006602C2" w:rsidRDefault="006602C2" w:rsidP="00101F15">
            <w:pPr>
              <w:pStyle w:val="CalVerTable"/>
              <w:ind w:left="720" w:firstLine="0"/>
              <w:rPr>
                <w:rFonts w:ascii="Arial" w:hAnsi="Arial" w:cs="Arial"/>
              </w:rPr>
            </w:pPr>
          </w:p>
        </w:tc>
      </w:tr>
      <w:tr w:rsidR="00016ADF" w:rsidTr="00101F15">
        <w:trPr>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Result Reporting</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EA53DA" w:rsidRDefault="00EA53DA" w:rsidP="00EA53DA">
            <w:pPr>
              <w:pStyle w:val="Reagents"/>
              <w:jc w:val="both"/>
              <w:rPr>
                <w:rFonts w:ascii="Arial" w:hAnsi="Arial" w:cs="Arial"/>
                <w:b/>
                <w:bCs/>
                <w:color w:val="365F91"/>
              </w:rPr>
            </w:pPr>
            <w:r w:rsidRPr="006D1E54">
              <w:rPr>
                <w:rFonts w:ascii="Arial" w:hAnsi="Arial" w:cs="Arial"/>
                <w:b/>
                <w:bCs/>
                <w:color w:val="365F91"/>
              </w:rPr>
              <w:t>PRIMARY METHOD:</w:t>
            </w:r>
          </w:p>
          <w:p w:rsidR="00EA53DA" w:rsidRDefault="00EA53DA" w:rsidP="00101F15">
            <w:pPr>
              <w:pStyle w:val="Header"/>
              <w:tabs>
                <w:tab w:val="clear" w:pos="4320"/>
                <w:tab w:val="clear" w:pos="8640"/>
              </w:tabs>
              <w:rPr>
                <w:rFonts w:cs="Arial"/>
              </w:rPr>
            </w:pPr>
          </w:p>
          <w:p w:rsidR="00016ADF" w:rsidRDefault="00016ADF" w:rsidP="00016ADF">
            <w:pPr>
              <w:pStyle w:val="Header"/>
              <w:numPr>
                <w:ilvl w:val="0"/>
                <w:numId w:val="3"/>
              </w:numPr>
              <w:tabs>
                <w:tab w:val="clear" w:pos="4320"/>
                <w:tab w:val="clear" w:pos="8640"/>
              </w:tabs>
              <w:rPr>
                <w:rFonts w:cs="Arial"/>
              </w:rPr>
            </w:pPr>
            <w:r>
              <w:rPr>
                <w:rFonts w:cs="Arial"/>
              </w:rPr>
              <w:t xml:space="preserve">Results between </w:t>
            </w:r>
            <w:r>
              <w:rPr>
                <w:rFonts w:cs="Arial"/>
                <w:b/>
                <w:bCs/>
              </w:rPr>
              <w:t>0.2–</w:t>
            </w:r>
            <w:r>
              <w:rPr>
                <w:rFonts w:cs="Arial"/>
                <w:b/>
                <w:bCs/>
                <w:szCs w:val="12"/>
              </w:rPr>
              <w:t>20.0 mg/</w:t>
            </w:r>
            <w:proofErr w:type="spellStart"/>
            <w:r>
              <w:rPr>
                <w:rFonts w:cs="Arial"/>
                <w:b/>
                <w:bCs/>
                <w:szCs w:val="12"/>
              </w:rPr>
              <w:t>dL</w:t>
            </w:r>
            <w:proofErr w:type="spellEnd"/>
            <w:r>
              <w:rPr>
                <w:rFonts w:cs="Arial"/>
              </w:rPr>
              <w:t xml:space="preserve"> without error messages are released</w:t>
            </w:r>
          </w:p>
          <w:p w:rsidR="00016ADF" w:rsidRDefault="00016ADF" w:rsidP="00016ADF">
            <w:pPr>
              <w:numPr>
                <w:ilvl w:val="0"/>
                <w:numId w:val="3"/>
              </w:numPr>
              <w:rPr>
                <w:rFonts w:cs="Arial"/>
              </w:rPr>
            </w:pPr>
            <w:r>
              <w:rPr>
                <w:rFonts w:cs="Arial"/>
              </w:rPr>
              <w:t xml:space="preserve">Serum/Plasma/Urine results below </w:t>
            </w:r>
            <w:r>
              <w:rPr>
                <w:rFonts w:cs="Arial"/>
                <w:szCs w:val="12"/>
              </w:rPr>
              <w:t>0.2 mg/</w:t>
            </w:r>
            <w:proofErr w:type="spellStart"/>
            <w:r>
              <w:rPr>
                <w:rFonts w:cs="Arial"/>
                <w:szCs w:val="12"/>
              </w:rPr>
              <w:t>dL</w:t>
            </w:r>
            <w:proofErr w:type="spellEnd"/>
            <w:r>
              <w:rPr>
                <w:rFonts w:cs="Arial"/>
              </w:rPr>
              <w:t xml:space="preserve">: report as &lt; </w:t>
            </w:r>
            <w:r>
              <w:rPr>
                <w:rFonts w:cs="Arial"/>
                <w:szCs w:val="12"/>
              </w:rPr>
              <w:t>0.2 mg/</w:t>
            </w:r>
            <w:proofErr w:type="spellStart"/>
            <w:r>
              <w:rPr>
                <w:rFonts w:cs="Arial"/>
                <w:szCs w:val="12"/>
              </w:rPr>
              <w:t>dL</w:t>
            </w:r>
            <w:proofErr w:type="spellEnd"/>
            <w:r>
              <w:rPr>
                <w:rFonts w:cs="Arial"/>
                <w:szCs w:val="12"/>
              </w:rPr>
              <w:t>.</w:t>
            </w:r>
          </w:p>
          <w:p w:rsidR="00016ADF" w:rsidRDefault="00016ADF" w:rsidP="00016ADF">
            <w:pPr>
              <w:numPr>
                <w:ilvl w:val="0"/>
                <w:numId w:val="3"/>
              </w:numPr>
            </w:pPr>
            <w:r>
              <w:t>Results &gt;</w:t>
            </w:r>
            <w:r>
              <w:rPr>
                <w:rFonts w:cs="Arial"/>
                <w:szCs w:val="12"/>
              </w:rPr>
              <w:t>20.0 mg/</w:t>
            </w:r>
            <w:proofErr w:type="spellStart"/>
            <w:r>
              <w:rPr>
                <w:rFonts w:cs="Arial"/>
                <w:szCs w:val="12"/>
              </w:rPr>
              <w:t>dL</w:t>
            </w:r>
            <w:proofErr w:type="spellEnd"/>
            <w:r>
              <w:t xml:space="preserve"> without error messages are reported following a maximum dilution of 1:2</w:t>
            </w:r>
          </w:p>
          <w:p w:rsidR="00016ADF" w:rsidRDefault="00016ADF" w:rsidP="00016ADF">
            <w:pPr>
              <w:numPr>
                <w:ilvl w:val="0"/>
                <w:numId w:val="3"/>
              </w:numPr>
            </w:pPr>
            <w:r>
              <w:rPr>
                <w:rFonts w:cs="Arial"/>
              </w:rPr>
              <w:t xml:space="preserve">Results with “assay range” appended following a maximum dilution of 1:2 are reported as &gt;40 </w:t>
            </w:r>
            <w:r>
              <w:rPr>
                <w:rFonts w:cs="Arial"/>
                <w:szCs w:val="12"/>
              </w:rPr>
              <w:t>mg/</w:t>
            </w:r>
            <w:proofErr w:type="spellStart"/>
            <w:r>
              <w:rPr>
                <w:rFonts w:cs="Arial"/>
                <w:szCs w:val="12"/>
              </w:rPr>
              <w:t>dL</w:t>
            </w:r>
            <w:proofErr w:type="spellEnd"/>
          </w:p>
          <w:p w:rsidR="00016ADF" w:rsidRDefault="00016ADF" w:rsidP="00016ADF">
            <w:pPr>
              <w:numPr>
                <w:ilvl w:val="0"/>
                <w:numId w:val="1"/>
              </w:numPr>
              <w:jc w:val="both"/>
              <w:rPr>
                <w:rFonts w:cs="Arial"/>
              </w:rPr>
            </w:pPr>
            <w:r>
              <w:rPr>
                <w:rFonts w:cs="Arial"/>
              </w:rPr>
              <w:t xml:space="preserve">Append appropriate HIL comments. Refer to  </w:t>
            </w:r>
            <w:hyperlink r:id="rId8" w:history="1">
              <w:r w:rsidRPr="00581B93">
                <w:rPr>
                  <w:rStyle w:val="Hyperlink"/>
                  <w:rFonts w:cs="Arial"/>
                </w:rPr>
                <w:t>CH5.101 HIL on Dimension Vista</w:t>
              </w:r>
            </w:hyperlink>
          </w:p>
          <w:p w:rsidR="00016ADF" w:rsidRDefault="00016ADF" w:rsidP="00016ADF">
            <w:pPr>
              <w:numPr>
                <w:ilvl w:val="0"/>
                <w:numId w:val="3"/>
              </w:numPr>
              <w:rPr>
                <w:rFonts w:cs="Arial"/>
              </w:rPr>
            </w:pPr>
            <w:r>
              <w:t>Timed Urine collection results</w:t>
            </w:r>
            <w:r>
              <w:rPr>
                <w:rFonts w:cs="Arial"/>
              </w:rPr>
              <w:t>: The Laboratory Information System calculates urine magnesium on timed and random collections when all necessary information is present. Report the numerical value.</w:t>
            </w:r>
          </w:p>
          <w:p w:rsidR="00EA53DA" w:rsidRDefault="00EA53DA" w:rsidP="00EA53DA">
            <w:pPr>
              <w:rPr>
                <w:rFonts w:cs="Arial"/>
              </w:rPr>
            </w:pPr>
          </w:p>
          <w:p w:rsidR="00EA53DA" w:rsidRDefault="00EA53DA" w:rsidP="00EA53DA">
            <w:pPr>
              <w:rPr>
                <w:b/>
                <w:bCs/>
                <w:color w:val="76923C"/>
                <w:szCs w:val="20"/>
              </w:rPr>
            </w:pPr>
            <w:r w:rsidRPr="001E6473">
              <w:rPr>
                <w:b/>
                <w:bCs/>
                <w:color w:val="76923C"/>
                <w:szCs w:val="20"/>
              </w:rPr>
              <w:t>SECONDARY (BACKUP) METHOD</w:t>
            </w:r>
            <w:r>
              <w:rPr>
                <w:b/>
                <w:bCs/>
                <w:color w:val="76923C"/>
                <w:szCs w:val="20"/>
              </w:rPr>
              <w:t>:</w:t>
            </w:r>
          </w:p>
          <w:p w:rsidR="00EA53DA" w:rsidRDefault="00EA53DA" w:rsidP="00EA53DA">
            <w:pPr>
              <w:pStyle w:val="Header"/>
              <w:numPr>
                <w:ilvl w:val="0"/>
                <w:numId w:val="3"/>
              </w:numPr>
              <w:tabs>
                <w:tab w:val="clear" w:pos="4320"/>
                <w:tab w:val="clear" w:pos="8640"/>
              </w:tabs>
              <w:rPr>
                <w:rFonts w:cs="Arial"/>
              </w:rPr>
            </w:pPr>
            <w:r>
              <w:rPr>
                <w:rFonts w:cs="Arial"/>
              </w:rPr>
              <w:t xml:space="preserve">Results between </w:t>
            </w:r>
            <w:r>
              <w:rPr>
                <w:rFonts w:cs="Arial"/>
                <w:b/>
                <w:bCs/>
              </w:rPr>
              <w:t>0.1–</w:t>
            </w:r>
            <w:r>
              <w:rPr>
                <w:rFonts w:cs="Arial"/>
                <w:b/>
                <w:bCs/>
                <w:szCs w:val="12"/>
              </w:rPr>
              <w:t>20.0 mg/</w:t>
            </w:r>
            <w:proofErr w:type="spellStart"/>
            <w:r>
              <w:rPr>
                <w:rFonts w:cs="Arial"/>
                <w:b/>
                <w:bCs/>
                <w:szCs w:val="12"/>
              </w:rPr>
              <w:t>dL</w:t>
            </w:r>
            <w:proofErr w:type="spellEnd"/>
            <w:r>
              <w:rPr>
                <w:rFonts w:cs="Arial"/>
              </w:rPr>
              <w:t xml:space="preserve"> without error messages are released</w:t>
            </w:r>
          </w:p>
          <w:p w:rsidR="00EA53DA" w:rsidRDefault="00EA53DA" w:rsidP="00EA53DA">
            <w:pPr>
              <w:numPr>
                <w:ilvl w:val="0"/>
                <w:numId w:val="3"/>
              </w:numPr>
              <w:rPr>
                <w:rFonts w:cs="Arial"/>
              </w:rPr>
            </w:pPr>
            <w:r>
              <w:rPr>
                <w:rFonts w:cs="Arial"/>
              </w:rPr>
              <w:t xml:space="preserve">Serum/Plasma results below </w:t>
            </w:r>
            <w:r>
              <w:rPr>
                <w:rFonts w:cs="Arial"/>
                <w:szCs w:val="12"/>
              </w:rPr>
              <w:t>0.1 mg/</w:t>
            </w:r>
            <w:proofErr w:type="spellStart"/>
            <w:r>
              <w:rPr>
                <w:rFonts w:cs="Arial"/>
                <w:szCs w:val="12"/>
              </w:rPr>
              <w:t>dL</w:t>
            </w:r>
            <w:proofErr w:type="spellEnd"/>
            <w:r>
              <w:rPr>
                <w:rFonts w:cs="Arial"/>
              </w:rPr>
              <w:t xml:space="preserve">: report as &lt; </w:t>
            </w:r>
            <w:r>
              <w:rPr>
                <w:rFonts w:cs="Arial"/>
                <w:szCs w:val="12"/>
              </w:rPr>
              <w:t>0.1 mg/</w:t>
            </w:r>
            <w:proofErr w:type="spellStart"/>
            <w:r>
              <w:rPr>
                <w:rFonts w:cs="Arial"/>
                <w:szCs w:val="12"/>
              </w:rPr>
              <w:t>dL</w:t>
            </w:r>
            <w:proofErr w:type="spellEnd"/>
            <w:r>
              <w:rPr>
                <w:rFonts w:cs="Arial"/>
                <w:szCs w:val="12"/>
              </w:rPr>
              <w:t>.</w:t>
            </w:r>
          </w:p>
          <w:p w:rsidR="00EA53DA" w:rsidRDefault="00EA53DA" w:rsidP="00EA53DA">
            <w:pPr>
              <w:numPr>
                <w:ilvl w:val="0"/>
                <w:numId w:val="3"/>
              </w:numPr>
            </w:pPr>
            <w:r>
              <w:t>Results &gt;</w:t>
            </w:r>
            <w:r>
              <w:rPr>
                <w:rFonts w:cs="Arial"/>
                <w:szCs w:val="12"/>
              </w:rPr>
              <w:t>20.0 mg/</w:t>
            </w:r>
            <w:proofErr w:type="spellStart"/>
            <w:r>
              <w:rPr>
                <w:rFonts w:cs="Arial"/>
                <w:szCs w:val="12"/>
              </w:rPr>
              <w:t>dL</w:t>
            </w:r>
            <w:proofErr w:type="spellEnd"/>
            <w:r>
              <w:t xml:space="preserve"> without error messages are reported following a maximum dilution of 1:3</w:t>
            </w:r>
          </w:p>
          <w:p w:rsidR="00EA53DA" w:rsidRDefault="00EA53DA" w:rsidP="00EA53DA">
            <w:pPr>
              <w:numPr>
                <w:ilvl w:val="0"/>
                <w:numId w:val="3"/>
              </w:numPr>
            </w:pPr>
            <w:r>
              <w:rPr>
                <w:rFonts w:cs="Arial"/>
              </w:rPr>
              <w:t xml:space="preserve">Results with “assay range” appended following a maximum dilution of 1:3 are reported as &gt;60 </w:t>
            </w:r>
            <w:r>
              <w:rPr>
                <w:rFonts w:cs="Arial"/>
                <w:szCs w:val="12"/>
              </w:rPr>
              <w:t>mg/</w:t>
            </w:r>
            <w:proofErr w:type="spellStart"/>
            <w:r>
              <w:rPr>
                <w:rFonts w:cs="Arial"/>
                <w:szCs w:val="12"/>
              </w:rPr>
              <w:t>dL</w:t>
            </w:r>
            <w:proofErr w:type="spellEnd"/>
          </w:p>
          <w:p w:rsidR="00EA53DA" w:rsidRDefault="00EA53DA" w:rsidP="00EA53DA">
            <w:pPr>
              <w:numPr>
                <w:ilvl w:val="0"/>
                <w:numId w:val="3"/>
              </w:numPr>
            </w:pPr>
            <w:r>
              <w:rPr>
                <w:rFonts w:cs="Arial"/>
              </w:rPr>
              <w:t xml:space="preserve">Append </w:t>
            </w:r>
            <w:proofErr w:type="spellStart"/>
            <w:r>
              <w:rPr>
                <w:rFonts w:cs="Arial"/>
              </w:rPr>
              <w:t>Sunquest</w:t>
            </w:r>
            <w:proofErr w:type="spellEnd"/>
            <w:r>
              <w:rPr>
                <w:rFonts w:cs="Arial"/>
              </w:rPr>
              <w:t xml:space="preserve"> text code to results reported on </w:t>
            </w:r>
            <w:proofErr w:type="spellStart"/>
            <w:r>
              <w:rPr>
                <w:rFonts w:cs="Arial"/>
              </w:rPr>
              <w:t>hemolyzed</w:t>
            </w:r>
            <w:proofErr w:type="spellEnd"/>
            <w:r>
              <w:rPr>
                <w:rFonts w:cs="Arial"/>
              </w:rPr>
              <w:t xml:space="preserve"> samples: </w:t>
            </w:r>
          </w:p>
          <w:p w:rsidR="00EA53DA" w:rsidRDefault="00EA53DA" w:rsidP="00EA53DA">
            <w:pPr>
              <w:numPr>
                <w:ilvl w:val="1"/>
                <w:numId w:val="3"/>
              </w:numPr>
            </w:pPr>
            <w:r>
              <w:rPr>
                <w:rFonts w:cs="Arial"/>
              </w:rPr>
              <w:t xml:space="preserve">SLH for slight </w:t>
            </w:r>
            <w:proofErr w:type="spellStart"/>
            <w:r>
              <w:rPr>
                <w:rFonts w:cs="Arial"/>
              </w:rPr>
              <w:t>hemolysis</w:t>
            </w:r>
            <w:proofErr w:type="spellEnd"/>
          </w:p>
          <w:p w:rsidR="00EA53DA" w:rsidRDefault="00EA53DA" w:rsidP="00EA53DA">
            <w:pPr>
              <w:numPr>
                <w:ilvl w:val="1"/>
                <w:numId w:val="3"/>
              </w:numPr>
            </w:pPr>
            <w:r>
              <w:rPr>
                <w:rFonts w:cs="Arial"/>
              </w:rPr>
              <w:t xml:space="preserve">MH for moderate </w:t>
            </w:r>
            <w:proofErr w:type="spellStart"/>
            <w:r>
              <w:rPr>
                <w:rFonts w:cs="Arial"/>
              </w:rPr>
              <w:t>hemolysis</w:t>
            </w:r>
            <w:proofErr w:type="spellEnd"/>
          </w:p>
          <w:p w:rsidR="00EA53DA" w:rsidRPr="00EA53DA" w:rsidRDefault="00EA53DA" w:rsidP="00EA53DA">
            <w:pPr>
              <w:numPr>
                <w:ilvl w:val="1"/>
                <w:numId w:val="3"/>
              </w:numPr>
            </w:pPr>
            <w:r>
              <w:rPr>
                <w:rFonts w:cs="Arial"/>
              </w:rPr>
              <w:t xml:space="preserve">GRH for grossly </w:t>
            </w:r>
            <w:proofErr w:type="spellStart"/>
            <w:r>
              <w:rPr>
                <w:rFonts w:cs="Arial"/>
              </w:rPr>
              <w:t>hemolyzed</w:t>
            </w:r>
            <w:proofErr w:type="spellEnd"/>
            <w:r>
              <w:rPr>
                <w:rFonts w:cs="Arial"/>
              </w:rPr>
              <w:t xml:space="preserve"> samples. May interfere with testing.</w:t>
            </w:r>
          </w:p>
          <w:p w:rsidR="00016ADF" w:rsidRDefault="00016ADF" w:rsidP="00101F15">
            <w:pPr>
              <w:rPr>
                <w:rFonts w:cs="Arial"/>
              </w:rPr>
            </w:pPr>
          </w:p>
        </w:tc>
      </w:tr>
      <w:tr w:rsidR="00016ADF" w:rsidTr="00101F15">
        <w:trPr>
          <w:tblHeader/>
        </w:trPr>
        <w:tc>
          <w:tcPr>
            <w:tcW w:w="1800" w:type="dxa"/>
          </w:tcPr>
          <w:p w:rsidR="00016ADF" w:rsidRDefault="00016ADF" w:rsidP="00101F15">
            <w:pPr>
              <w:rPr>
                <w:rFonts w:cs="Arial"/>
                <w:b/>
                <w:bCs/>
                <w:color w:val="0000FF"/>
              </w:rPr>
            </w:pPr>
          </w:p>
          <w:p w:rsidR="00016ADF" w:rsidRDefault="00016ADF" w:rsidP="00101F15">
            <w:pPr>
              <w:rPr>
                <w:rFonts w:cs="Arial"/>
                <w:b/>
                <w:bCs/>
                <w:color w:val="0000FF"/>
              </w:rPr>
            </w:pPr>
            <w:r>
              <w:rPr>
                <w:rFonts w:cs="Arial"/>
                <w:b/>
                <w:bCs/>
                <w:color w:val="0000FF"/>
              </w:rPr>
              <w:t>Specimen Storage</w:t>
            </w:r>
          </w:p>
          <w:p w:rsidR="00016ADF" w:rsidRDefault="00016ADF" w:rsidP="00101F15">
            <w:pPr>
              <w:rPr>
                <w:rFonts w:cs="Arial"/>
                <w:b/>
                <w:bCs/>
                <w:color w:val="0000FF"/>
              </w:rPr>
            </w:pPr>
          </w:p>
        </w:tc>
        <w:tc>
          <w:tcPr>
            <w:tcW w:w="9360" w:type="dxa"/>
            <w:gridSpan w:val="4"/>
            <w:tcBorders>
              <w:top w:val="single" w:sz="18" w:space="0" w:color="A6A6A6"/>
              <w:bottom w:val="single" w:sz="18" w:space="0" w:color="A6A6A6"/>
            </w:tcBorders>
          </w:tcPr>
          <w:p w:rsidR="00016ADF" w:rsidRDefault="00016ADF" w:rsidP="00101F15">
            <w:pPr>
              <w:pStyle w:val="Header"/>
              <w:tabs>
                <w:tab w:val="clear" w:pos="4320"/>
                <w:tab w:val="clear" w:pos="8640"/>
              </w:tabs>
              <w:rPr>
                <w:rFonts w:cs="Arial"/>
              </w:rPr>
            </w:pPr>
          </w:p>
          <w:p w:rsidR="00016ADF" w:rsidRDefault="00016ADF" w:rsidP="00101F15">
            <w:pPr>
              <w:pStyle w:val="Header"/>
              <w:tabs>
                <w:tab w:val="clear" w:pos="4320"/>
                <w:tab w:val="clear" w:pos="8640"/>
              </w:tabs>
              <w:rPr>
                <w:rFonts w:cs="Arial"/>
              </w:rPr>
            </w:pPr>
            <w:r>
              <w:rPr>
                <w:rFonts w:cs="Arial"/>
              </w:rPr>
              <w:t>Promptly stopper tested specimen and store upright in specimen rack. Every 8 hours remove specimens to refrigerator/freezer storage. Samples are retained 7 days in specimen storage freezer.</w:t>
            </w:r>
          </w:p>
        </w:tc>
      </w:tr>
      <w:tr w:rsidR="00016ADF" w:rsidTr="00101F15">
        <w:trPr>
          <w:tblHeader/>
        </w:trPr>
        <w:tc>
          <w:tcPr>
            <w:tcW w:w="1800" w:type="dxa"/>
          </w:tcPr>
          <w:p w:rsidR="00016ADF" w:rsidRDefault="00016ADF" w:rsidP="00101F15">
            <w:pPr>
              <w:ind w:right="-108"/>
              <w:rPr>
                <w:rFonts w:cs="Arial"/>
                <w:b/>
                <w:bCs/>
                <w:color w:val="0000FF"/>
              </w:rPr>
            </w:pPr>
          </w:p>
          <w:p w:rsidR="00016ADF" w:rsidRDefault="00016ADF" w:rsidP="00101F15">
            <w:pPr>
              <w:ind w:right="-108"/>
              <w:rPr>
                <w:rFonts w:cs="Arial"/>
                <w:b/>
                <w:bCs/>
                <w:color w:val="0000FF"/>
              </w:rPr>
            </w:pPr>
            <w:r>
              <w:rPr>
                <w:rFonts w:cs="Arial"/>
                <w:b/>
                <w:bCs/>
                <w:color w:val="0000FF"/>
              </w:rPr>
              <w:t>References</w:t>
            </w:r>
          </w:p>
        </w:tc>
        <w:tc>
          <w:tcPr>
            <w:tcW w:w="9360" w:type="dxa"/>
            <w:gridSpan w:val="4"/>
            <w:tcBorders>
              <w:top w:val="single" w:sz="18" w:space="0" w:color="A6A6A6"/>
              <w:bottom w:val="single" w:sz="4" w:space="0" w:color="auto"/>
            </w:tcBorders>
          </w:tcPr>
          <w:p w:rsidR="00016ADF" w:rsidRDefault="00016ADF" w:rsidP="00101F15">
            <w:pPr>
              <w:rPr>
                <w:rFonts w:cs="Arial"/>
              </w:rPr>
            </w:pPr>
          </w:p>
          <w:p w:rsidR="00016ADF" w:rsidRPr="00EA53DA" w:rsidRDefault="00016ADF" w:rsidP="00016ADF">
            <w:pPr>
              <w:numPr>
                <w:ilvl w:val="0"/>
                <w:numId w:val="2"/>
              </w:numPr>
              <w:rPr>
                <w:rStyle w:val="A7"/>
                <w:rFonts w:cs="Arial"/>
                <w:color w:val="auto"/>
                <w:sz w:val="20"/>
                <w:szCs w:val="20"/>
              </w:rPr>
            </w:pPr>
            <w:r>
              <w:rPr>
                <w:bCs/>
              </w:rPr>
              <w:t xml:space="preserve">Vista MG Flex® reagent cartridge insert sheet Siemens Healthcare Diagnostics, </w:t>
            </w:r>
            <w:r w:rsidRPr="00EA53DA">
              <w:rPr>
                <w:bCs/>
                <w:szCs w:val="20"/>
              </w:rPr>
              <w:t xml:space="preserve">Inc. </w:t>
            </w:r>
            <w:r w:rsidRPr="00EA53DA">
              <w:rPr>
                <w:rStyle w:val="A7"/>
                <w:sz w:val="20"/>
                <w:szCs w:val="20"/>
              </w:rPr>
              <w:t>2013-08-20 E, PN 781057.001</w:t>
            </w:r>
          </w:p>
          <w:p w:rsidR="00EA53DA" w:rsidRPr="00EA53DA" w:rsidRDefault="00EA53DA" w:rsidP="00016ADF">
            <w:pPr>
              <w:numPr>
                <w:ilvl w:val="0"/>
                <w:numId w:val="2"/>
              </w:numPr>
              <w:rPr>
                <w:rFonts w:cs="Arial"/>
                <w:szCs w:val="20"/>
              </w:rPr>
            </w:pPr>
            <w:r>
              <w:rPr>
                <w:bCs/>
              </w:rPr>
              <w:t>MG Flex® reagent cartridge insert sheet Siemens Healthcare Diagnostics, Inc</w:t>
            </w:r>
            <w:r w:rsidRPr="00EA53DA">
              <w:rPr>
                <w:bCs/>
                <w:szCs w:val="20"/>
              </w:rPr>
              <w:t xml:space="preserve">. </w:t>
            </w:r>
            <w:r w:rsidRPr="00EA53DA">
              <w:rPr>
                <w:rStyle w:val="A7"/>
                <w:sz w:val="20"/>
                <w:szCs w:val="20"/>
              </w:rPr>
              <w:t>2016-02-26 PN 717057.001 – US Rev</w:t>
            </w:r>
          </w:p>
          <w:p w:rsidR="00016ADF" w:rsidRDefault="00016ADF" w:rsidP="00016ADF">
            <w:pPr>
              <w:numPr>
                <w:ilvl w:val="0"/>
                <w:numId w:val="2"/>
              </w:numPr>
              <w:rPr>
                <w:rFonts w:cs="Arial"/>
              </w:rPr>
            </w:pPr>
            <w:r>
              <w:rPr>
                <w:rFonts w:cs="Arial"/>
                <w:szCs w:val="12"/>
              </w:rPr>
              <w:t xml:space="preserve">Jacobs &amp; </w:t>
            </w:r>
            <w:proofErr w:type="spellStart"/>
            <w:r>
              <w:rPr>
                <w:rFonts w:cs="Arial"/>
                <w:szCs w:val="12"/>
              </w:rPr>
              <w:t>DeMott</w:t>
            </w:r>
            <w:proofErr w:type="spellEnd"/>
            <w:r>
              <w:rPr>
                <w:rFonts w:cs="Arial"/>
                <w:szCs w:val="12"/>
              </w:rPr>
              <w:t xml:space="preserve"> Laboratory Test Handbook, </w:t>
            </w:r>
            <w:proofErr w:type="spellStart"/>
            <w:r>
              <w:rPr>
                <w:rFonts w:cs="Arial"/>
                <w:szCs w:val="12"/>
              </w:rPr>
              <w:t>Lexi</w:t>
            </w:r>
            <w:proofErr w:type="spellEnd"/>
            <w:r>
              <w:rPr>
                <w:rFonts w:cs="Arial"/>
                <w:szCs w:val="12"/>
              </w:rPr>
              <w:t>-Comp, Inc, Hudson, OH, 5</w:t>
            </w:r>
            <w:r>
              <w:rPr>
                <w:rFonts w:cs="Arial"/>
                <w:szCs w:val="12"/>
                <w:vertAlign w:val="superscript"/>
              </w:rPr>
              <w:t>th</w:t>
            </w:r>
            <w:r>
              <w:rPr>
                <w:rFonts w:cs="Arial"/>
                <w:szCs w:val="12"/>
              </w:rPr>
              <w:t xml:space="preserve"> Edition, 2001</w:t>
            </w:r>
          </w:p>
          <w:p w:rsidR="00016ADF" w:rsidRDefault="00016ADF" w:rsidP="00016ADF">
            <w:pPr>
              <w:numPr>
                <w:ilvl w:val="0"/>
                <w:numId w:val="2"/>
              </w:numPr>
              <w:rPr>
                <w:rFonts w:cs="Arial"/>
              </w:rPr>
            </w:pPr>
            <w:proofErr w:type="spellStart"/>
            <w:r>
              <w:rPr>
                <w:rFonts w:cs="Arial"/>
                <w:bCs/>
                <w:szCs w:val="12"/>
              </w:rPr>
              <w:t>Biorad</w:t>
            </w:r>
            <w:proofErr w:type="spellEnd"/>
            <w:r>
              <w:rPr>
                <w:rFonts w:cs="Arial"/>
                <w:bCs/>
                <w:szCs w:val="12"/>
              </w:rPr>
              <w:t xml:space="preserve"> </w:t>
            </w:r>
            <w:proofErr w:type="spellStart"/>
            <w:r>
              <w:rPr>
                <w:rFonts w:cs="Arial"/>
                <w:bCs/>
                <w:szCs w:val="12"/>
              </w:rPr>
              <w:t>Multiqual</w:t>
            </w:r>
            <w:proofErr w:type="spellEnd"/>
            <w:r>
              <w:rPr>
                <w:rFonts w:cs="Arial"/>
                <w:bCs/>
                <w:szCs w:val="12"/>
              </w:rPr>
              <w:t xml:space="preserve"> Chemistry Control Product Insert, Bio-Rad Laboratories, Irvine, CA 92618 </w:t>
            </w:r>
          </w:p>
          <w:p w:rsidR="00016ADF" w:rsidRPr="00973B44" w:rsidRDefault="00016ADF" w:rsidP="00973B44">
            <w:pPr>
              <w:numPr>
                <w:ilvl w:val="0"/>
                <w:numId w:val="2"/>
              </w:numPr>
              <w:rPr>
                <w:rFonts w:cs="Arial"/>
              </w:rPr>
            </w:pPr>
            <w:proofErr w:type="spellStart"/>
            <w:r w:rsidRPr="00973B44">
              <w:rPr>
                <w:rFonts w:cs="Arial"/>
                <w:bCs/>
                <w:szCs w:val="12"/>
              </w:rPr>
              <w:t>Biorad</w:t>
            </w:r>
            <w:proofErr w:type="spellEnd"/>
            <w:r w:rsidRPr="00973B44">
              <w:rPr>
                <w:rFonts w:cs="Arial"/>
                <w:bCs/>
                <w:szCs w:val="12"/>
              </w:rPr>
              <w:t xml:space="preserve"> </w:t>
            </w:r>
            <w:proofErr w:type="spellStart"/>
            <w:r w:rsidRPr="00973B44">
              <w:rPr>
                <w:rFonts w:cs="Arial"/>
                <w:bCs/>
                <w:szCs w:val="12"/>
              </w:rPr>
              <w:t>Liquichek</w:t>
            </w:r>
            <w:proofErr w:type="spellEnd"/>
            <w:r w:rsidRPr="00973B44">
              <w:rPr>
                <w:rFonts w:cs="Arial"/>
                <w:bCs/>
                <w:szCs w:val="12"/>
              </w:rPr>
              <w:t xml:space="preserve"> Urine Chemistry Control Product Insert, Bio-Rad Laboratories, Irvine, CA </w:t>
            </w:r>
          </w:p>
          <w:p w:rsidR="00973B44" w:rsidRPr="00973B44" w:rsidRDefault="00973B44" w:rsidP="00973B44">
            <w:pPr>
              <w:numPr>
                <w:ilvl w:val="0"/>
                <w:numId w:val="2"/>
              </w:numPr>
              <w:rPr>
                <w:rFonts w:cs="Arial"/>
              </w:rPr>
            </w:pPr>
            <w:hyperlink r:id="rId9" w:tooltip="Clinica chimica acta; international journal of clinical chemistry." w:history="1">
              <w:proofErr w:type="spellStart"/>
              <w:r>
                <w:rPr>
                  <w:rFonts w:cs="Arial"/>
                  <w:color w:val="2F4A8B"/>
                  <w:szCs w:val="20"/>
                  <w:u w:val="single"/>
                </w:rPr>
                <w:t>Clin</w:t>
              </w:r>
              <w:proofErr w:type="spellEnd"/>
              <w:r>
                <w:rPr>
                  <w:rFonts w:cs="Arial"/>
                  <w:color w:val="2F4A8B"/>
                  <w:szCs w:val="20"/>
                  <w:u w:val="single"/>
                </w:rPr>
                <w:t xml:space="preserve"> </w:t>
              </w:r>
              <w:proofErr w:type="spellStart"/>
              <w:r>
                <w:rPr>
                  <w:rFonts w:cs="Arial"/>
                  <w:color w:val="2F4A8B"/>
                  <w:szCs w:val="20"/>
                  <w:u w:val="single"/>
                </w:rPr>
                <w:t>Chim</w:t>
              </w:r>
              <w:proofErr w:type="spellEnd"/>
              <w:r>
                <w:rPr>
                  <w:rFonts w:cs="Arial"/>
                  <w:color w:val="2F4A8B"/>
                  <w:szCs w:val="20"/>
                  <w:u w:val="single"/>
                </w:rPr>
                <w:t xml:space="preserve"> </w:t>
              </w:r>
              <w:proofErr w:type="spellStart"/>
              <w:r>
                <w:rPr>
                  <w:rFonts w:cs="Arial"/>
                  <w:color w:val="2F4A8B"/>
                  <w:szCs w:val="20"/>
                  <w:u w:val="single"/>
                </w:rPr>
                <w:t>Acta</w:t>
              </w:r>
              <w:proofErr w:type="spellEnd"/>
              <w:r>
                <w:rPr>
                  <w:rFonts w:cs="Arial"/>
                  <w:color w:val="2F4A8B"/>
                  <w:szCs w:val="20"/>
                  <w:u w:val="single"/>
                </w:rPr>
                <w:t>.</w:t>
              </w:r>
            </w:hyperlink>
            <w:r>
              <w:rPr>
                <w:rFonts w:cs="Arial"/>
                <w:szCs w:val="20"/>
              </w:rPr>
              <w:t xml:space="preserve"> 2013 Nov 15</w:t>
            </w:r>
            <w:proofErr w:type="gramStart"/>
            <w:r>
              <w:rPr>
                <w:rFonts w:cs="Arial"/>
                <w:szCs w:val="20"/>
              </w:rPr>
              <w:t>;426:46</w:t>
            </w:r>
            <w:proofErr w:type="gramEnd"/>
            <w:r>
              <w:rPr>
                <w:rFonts w:cs="Arial"/>
                <w:szCs w:val="20"/>
              </w:rPr>
              <w:t xml:space="preserve">-50. </w:t>
            </w:r>
            <w:proofErr w:type="spellStart"/>
            <w:proofErr w:type="gramStart"/>
            <w:r>
              <w:rPr>
                <w:rFonts w:cs="Arial"/>
                <w:szCs w:val="20"/>
              </w:rPr>
              <w:t>doi</w:t>
            </w:r>
            <w:proofErr w:type="spellEnd"/>
            <w:proofErr w:type="gramEnd"/>
            <w:r>
              <w:rPr>
                <w:rFonts w:cs="Arial"/>
                <w:szCs w:val="20"/>
              </w:rPr>
              <w:t xml:space="preserve">: 10.1016/j.cca.2013.08.025. </w:t>
            </w:r>
            <w:proofErr w:type="spellStart"/>
            <w:r>
              <w:rPr>
                <w:rFonts w:cs="Arial"/>
                <w:szCs w:val="20"/>
              </w:rPr>
              <w:t>Epub</w:t>
            </w:r>
            <w:proofErr w:type="spellEnd"/>
            <w:r>
              <w:rPr>
                <w:rFonts w:cs="Arial"/>
                <w:szCs w:val="20"/>
              </w:rPr>
              <w:t xml:space="preserve"> 2013 Sep 5</w:t>
            </w:r>
          </w:p>
          <w:p w:rsidR="00973B44" w:rsidRDefault="00973B44" w:rsidP="00973B44">
            <w:pPr>
              <w:numPr>
                <w:ilvl w:val="0"/>
                <w:numId w:val="2"/>
              </w:numPr>
              <w:rPr>
                <w:rFonts w:cs="Arial"/>
              </w:rPr>
            </w:pPr>
            <w:hyperlink r:id="rId10" w:tooltip="Clinical chemistry and laboratory medicine." w:history="1">
              <w:proofErr w:type="spellStart"/>
              <w:r>
                <w:rPr>
                  <w:rFonts w:cs="Arial"/>
                  <w:color w:val="2F4A8B"/>
                  <w:szCs w:val="20"/>
                  <w:u w:val="single"/>
                </w:rPr>
                <w:t>Clin</w:t>
              </w:r>
              <w:proofErr w:type="spellEnd"/>
              <w:r>
                <w:rPr>
                  <w:rFonts w:cs="Arial"/>
                  <w:color w:val="2F4A8B"/>
                  <w:szCs w:val="20"/>
                  <w:u w:val="single"/>
                </w:rPr>
                <w:t xml:space="preserve"> </w:t>
              </w:r>
              <w:proofErr w:type="spellStart"/>
              <w:r>
                <w:rPr>
                  <w:rFonts w:cs="Arial"/>
                  <w:color w:val="2F4A8B"/>
                  <w:szCs w:val="20"/>
                  <w:u w:val="single"/>
                </w:rPr>
                <w:t>Chem</w:t>
              </w:r>
              <w:proofErr w:type="spellEnd"/>
              <w:r>
                <w:rPr>
                  <w:rFonts w:cs="Arial"/>
                  <w:color w:val="2F4A8B"/>
                  <w:szCs w:val="20"/>
                  <w:u w:val="single"/>
                </w:rPr>
                <w:t xml:space="preserve"> Lab Med.</w:t>
              </w:r>
            </w:hyperlink>
            <w:r>
              <w:rPr>
                <w:rFonts w:cs="Arial"/>
                <w:szCs w:val="20"/>
              </w:rPr>
              <w:t xml:space="preserve"> 2016 Dec 1</w:t>
            </w:r>
            <w:proofErr w:type="gramStart"/>
            <w:r>
              <w:rPr>
                <w:rFonts w:cs="Arial"/>
                <w:szCs w:val="20"/>
              </w:rPr>
              <w:t>;54</w:t>
            </w:r>
            <w:proofErr w:type="gramEnd"/>
            <w:r>
              <w:rPr>
                <w:rFonts w:cs="Arial"/>
                <w:szCs w:val="20"/>
              </w:rPr>
              <w:t xml:space="preserve">(12):e379-e381. </w:t>
            </w:r>
            <w:proofErr w:type="spellStart"/>
            <w:r>
              <w:rPr>
                <w:rFonts w:cs="Arial"/>
                <w:szCs w:val="20"/>
              </w:rPr>
              <w:t>doi</w:t>
            </w:r>
            <w:proofErr w:type="spellEnd"/>
            <w:r>
              <w:rPr>
                <w:rFonts w:cs="Arial"/>
                <w:szCs w:val="20"/>
              </w:rPr>
              <w:t>: 10.1515/cclm-2016-0064</w:t>
            </w:r>
          </w:p>
        </w:tc>
      </w:tr>
      <w:tr w:rsidR="00016ADF" w:rsidTr="00101F15">
        <w:tblPrEx>
          <w:tblBorders>
            <w:bottom w:val="single" w:sz="4" w:space="0" w:color="auto"/>
          </w:tblBorders>
        </w:tblPrEx>
        <w:trPr>
          <w:cantSplit/>
          <w:trHeight w:val="225"/>
        </w:trPr>
        <w:tc>
          <w:tcPr>
            <w:tcW w:w="1800" w:type="dxa"/>
            <w:tcBorders>
              <w:top w:val="nil"/>
              <w:left w:val="nil"/>
              <w:bottom w:val="nil"/>
              <w:right w:val="nil"/>
            </w:tcBorders>
          </w:tcPr>
          <w:p w:rsidR="00016ADF" w:rsidRDefault="00016ADF" w:rsidP="00101F15">
            <w:pPr>
              <w:rPr>
                <w:rFonts w:cs="Arial"/>
                <w:b/>
                <w:bCs/>
                <w:iCs/>
              </w:rPr>
            </w:pPr>
          </w:p>
        </w:tc>
        <w:tc>
          <w:tcPr>
            <w:tcW w:w="3420" w:type="dxa"/>
            <w:gridSpan w:val="2"/>
            <w:tcBorders>
              <w:top w:val="single" w:sz="18" w:space="0" w:color="A6A6A6"/>
              <w:left w:val="nil"/>
              <w:bottom w:val="nil"/>
              <w:right w:val="nil"/>
            </w:tcBorders>
          </w:tcPr>
          <w:p w:rsidR="00EA53DA" w:rsidRDefault="00EA53DA" w:rsidP="00101F15">
            <w:pPr>
              <w:rPr>
                <w:rFonts w:cs="Arial"/>
                <w:b/>
                <w:bCs/>
                <w:iCs/>
              </w:rPr>
            </w:pPr>
          </w:p>
          <w:p w:rsidR="00EA53DA" w:rsidRDefault="00EA53DA" w:rsidP="00101F15">
            <w:pPr>
              <w:rPr>
                <w:rFonts w:cs="Arial"/>
                <w:b/>
                <w:bCs/>
                <w:iCs/>
              </w:rPr>
            </w:pPr>
          </w:p>
          <w:p w:rsidR="00EA53DA" w:rsidRDefault="00EA53DA" w:rsidP="00101F15">
            <w:pPr>
              <w:rPr>
                <w:rFonts w:cs="Arial"/>
                <w:b/>
                <w:bCs/>
                <w:iCs/>
              </w:rPr>
            </w:pPr>
          </w:p>
        </w:tc>
        <w:tc>
          <w:tcPr>
            <w:tcW w:w="5940" w:type="dxa"/>
            <w:gridSpan w:val="2"/>
            <w:tcBorders>
              <w:top w:val="single" w:sz="18" w:space="0" w:color="A6A6A6"/>
              <w:left w:val="nil"/>
              <w:bottom w:val="nil"/>
              <w:right w:val="nil"/>
            </w:tcBorders>
          </w:tcPr>
          <w:p w:rsidR="00016ADF" w:rsidRDefault="00016ADF" w:rsidP="00101F15">
            <w:pPr>
              <w:rPr>
                <w:rFonts w:cs="Arial"/>
                <w:b/>
                <w:bCs/>
                <w:iCs/>
              </w:rPr>
            </w:pPr>
          </w:p>
        </w:tc>
      </w:tr>
      <w:tr w:rsidR="00016ADF" w:rsidTr="00101F15">
        <w:tblPrEx>
          <w:tblBorders>
            <w:bottom w:val="single" w:sz="4" w:space="0" w:color="auto"/>
          </w:tblBorders>
        </w:tblPrEx>
        <w:trPr>
          <w:cantSplit/>
          <w:trHeight w:val="225"/>
        </w:trPr>
        <w:tc>
          <w:tcPr>
            <w:tcW w:w="1800" w:type="dxa"/>
            <w:vMerge w:val="restart"/>
            <w:tcBorders>
              <w:left w:val="nil"/>
              <w:bottom w:val="nil"/>
              <w:right w:val="single" w:sz="4" w:space="0" w:color="auto"/>
            </w:tcBorders>
          </w:tcPr>
          <w:p w:rsidR="00016ADF" w:rsidRDefault="00016ADF" w:rsidP="00101F15">
            <w:pPr>
              <w:rPr>
                <w:rFonts w:cs="Arial"/>
                <w:b/>
                <w:bCs/>
                <w:color w:val="3366FF"/>
              </w:rPr>
            </w:pPr>
            <w:r>
              <w:rPr>
                <w:rFonts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b/>
                <w:bCs/>
              </w:rPr>
            </w:pPr>
            <w:r>
              <w:rPr>
                <w:rFonts w:cs="Arial"/>
                <w:b/>
                <w:bCs/>
              </w:rPr>
              <w:t>Version</w:t>
            </w: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b/>
                <w:bCs/>
                <w:iCs/>
              </w:rPr>
            </w:pPr>
            <w:r>
              <w:rPr>
                <w:rFonts w:cs="Arial"/>
                <w:b/>
                <w:bCs/>
                <w:iCs/>
              </w:rPr>
              <w:t>Written/Revised by:</w:t>
            </w:r>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b/>
                <w:bCs/>
                <w:iCs/>
              </w:rPr>
            </w:pPr>
            <w:r>
              <w:rPr>
                <w:rFonts w:cs="Arial"/>
                <w:b/>
                <w:bCs/>
                <w:iCs/>
              </w:rPr>
              <w:t>Effective Date:</w:t>
            </w:r>
          </w:p>
        </w:tc>
        <w:tc>
          <w:tcPr>
            <w:tcW w:w="43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b/>
                <w:bCs/>
                <w:iCs/>
              </w:rPr>
            </w:pPr>
            <w:r>
              <w:rPr>
                <w:rFonts w:cs="Arial"/>
                <w:b/>
                <w:bCs/>
                <w:iCs/>
              </w:rPr>
              <w:t>Summary of Revisions</w:t>
            </w:r>
          </w:p>
        </w:tc>
      </w:tr>
      <w:tr w:rsidR="00016ADF" w:rsidTr="00101F15">
        <w:tblPrEx>
          <w:tblBorders>
            <w:bottom w:val="single" w:sz="4" w:space="0" w:color="auto"/>
          </w:tblBorders>
        </w:tblPrEx>
        <w:trPr>
          <w:cantSplit/>
          <w:trHeight w:val="135"/>
        </w:trPr>
        <w:tc>
          <w:tcPr>
            <w:tcW w:w="1800" w:type="dxa"/>
            <w:vMerge/>
            <w:tcBorders>
              <w:left w:val="nil"/>
              <w:bottom w:val="nil"/>
              <w:right w:val="single" w:sz="4" w:space="0" w:color="auto"/>
            </w:tcBorders>
          </w:tcPr>
          <w:p w:rsidR="00016ADF" w:rsidRDefault="00016ADF"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016ADF">
            <w:pPr>
              <w:numPr>
                <w:ilvl w:val="0"/>
                <w:numId w:val="6"/>
              </w:numPr>
              <w:jc w:val="center"/>
              <w:rPr>
                <w:rFonts w:cs="Arial"/>
              </w:rPr>
            </w:pP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Unknown</w:t>
            </w:r>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p>
        </w:tc>
        <w:tc>
          <w:tcPr>
            <w:tcW w:w="43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t>Magnesium</w:t>
            </w:r>
            <w:r>
              <w:rPr>
                <w:rFonts w:cs="Arial"/>
              </w:rPr>
              <w:t xml:space="preserve"> on Dimension AR,</w:t>
            </w:r>
            <w:r>
              <w:rPr>
                <w:rFonts w:cs="Arial"/>
                <w:iCs/>
              </w:rPr>
              <w:t xml:space="preserve"> Initial Version</w:t>
            </w:r>
          </w:p>
        </w:tc>
      </w:tr>
      <w:tr w:rsidR="00016ADF" w:rsidTr="00101F15">
        <w:tblPrEx>
          <w:tblBorders>
            <w:bottom w:val="single" w:sz="4" w:space="0" w:color="auto"/>
          </w:tblBorders>
        </w:tblPrEx>
        <w:trPr>
          <w:cantSplit/>
          <w:trHeight w:val="143"/>
        </w:trPr>
        <w:tc>
          <w:tcPr>
            <w:tcW w:w="1800" w:type="dxa"/>
            <w:vMerge/>
            <w:tcBorders>
              <w:left w:val="nil"/>
              <w:bottom w:val="nil"/>
              <w:right w:val="single" w:sz="4" w:space="0" w:color="auto"/>
            </w:tcBorders>
          </w:tcPr>
          <w:p w:rsidR="00016ADF" w:rsidRDefault="00016ADF"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rPr>
              <w:t>Deane L Riedel</w:t>
            </w:r>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rPr>
              <w:t>August 2000</w:t>
            </w:r>
          </w:p>
        </w:tc>
        <w:tc>
          <w:tcPr>
            <w:tcW w:w="43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p>
        </w:tc>
      </w:tr>
      <w:tr w:rsidR="00016ADF" w:rsidTr="00101F15">
        <w:tblPrEx>
          <w:tblBorders>
            <w:bottom w:val="single" w:sz="4" w:space="0" w:color="auto"/>
          </w:tblBorders>
        </w:tblPrEx>
        <w:trPr>
          <w:cantSplit/>
          <w:trHeight w:val="165"/>
        </w:trPr>
        <w:tc>
          <w:tcPr>
            <w:tcW w:w="1800" w:type="dxa"/>
            <w:vMerge/>
            <w:tcBorders>
              <w:left w:val="nil"/>
              <w:bottom w:val="nil"/>
              <w:right w:val="single" w:sz="4" w:space="0" w:color="auto"/>
            </w:tcBorders>
          </w:tcPr>
          <w:p w:rsidR="00016ADF" w:rsidRDefault="00016ADF"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rPr>
              <w:t xml:space="preserve">L. </w:t>
            </w:r>
            <w:proofErr w:type="spellStart"/>
            <w:r>
              <w:rPr>
                <w:rFonts w:cs="Arial"/>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rPr>
              <w:t>August 2005</w:t>
            </w:r>
          </w:p>
        </w:tc>
        <w:tc>
          <w:tcPr>
            <w:tcW w:w="43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rPr>
              <w:t>Magnesium in plasma, serum or urine</w:t>
            </w:r>
          </w:p>
        </w:tc>
      </w:tr>
      <w:tr w:rsidR="00016ADF" w:rsidTr="00101F15">
        <w:tblPrEx>
          <w:tblBorders>
            <w:bottom w:val="single" w:sz="4" w:space="0" w:color="auto"/>
          </w:tblBorders>
        </w:tblPrEx>
        <w:trPr>
          <w:cantSplit/>
          <w:trHeight w:val="255"/>
        </w:trPr>
        <w:tc>
          <w:tcPr>
            <w:tcW w:w="1800" w:type="dxa"/>
            <w:vMerge/>
            <w:tcBorders>
              <w:left w:val="nil"/>
              <w:bottom w:val="nil"/>
              <w:right w:val="single" w:sz="4" w:space="0" w:color="auto"/>
            </w:tcBorders>
          </w:tcPr>
          <w:p w:rsidR="00016ADF" w:rsidRDefault="00016ADF"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rPr>
              <w:t xml:space="preserve">L. </w:t>
            </w:r>
            <w:proofErr w:type="spellStart"/>
            <w:r>
              <w:rPr>
                <w:rFonts w:cs="Arial"/>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rPr>
              <w:t>July 31, 2006</w:t>
            </w:r>
          </w:p>
        </w:tc>
        <w:tc>
          <w:tcPr>
            <w:tcW w:w="43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rPr>
              <w:t xml:space="preserve">Magnesium on Dimension </w:t>
            </w:r>
            <w:proofErr w:type="spellStart"/>
            <w:r>
              <w:rPr>
                <w:rFonts w:cs="Arial"/>
              </w:rPr>
              <w:t>RxL</w:t>
            </w:r>
            <w:proofErr w:type="spellEnd"/>
            <w:r>
              <w:rPr>
                <w:rFonts w:cs="Arial"/>
              </w:rPr>
              <w:t xml:space="preserve"> MAX</w:t>
            </w:r>
          </w:p>
        </w:tc>
      </w:tr>
      <w:tr w:rsidR="00016ADF" w:rsidTr="00101F15">
        <w:tblPrEx>
          <w:tblBorders>
            <w:bottom w:val="single" w:sz="4" w:space="0" w:color="auto"/>
          </w:tblBorders>
        </w:tblPrEx>
        <w:trPr>
          <w:cantSplit/>
          <w:trHeight w:val="255"/>
        </w:trPr>
        <w:tc>
          <w:tcPr>
            <w:tcW w:w="1800" w:type="dxa"/>
            <w:vMerge/>
            <w:tcBorders>
              <w:left w:val="nil"/>
              <w:bottom w:val="nil"/>
              <w:right w:val="single" w:sz="4" w:space="0" w:color="auto"/>
            </w:tcBorders>
          </w:tcPr>
          <w:p w:rsidR="00016ADF" w:rsidRDefault="00016ADF"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 xml:space="preserve">D. </w:t>
            </w:r>
            <w:proofErr w:type="spellStart"/>
            <w:r>
              <w:rPr>
                <w:rFonts w:cs="Arial"/>
                <w:iCs/>
              </w:rPr>
              <w:t>Helfinstine</w:t>
            </w:r>
            <w:proofErr w:type="spellEnd"/>
            <w:r>
              <w:rPr>
                <w:rFonts w:cs="Arial"/>
                <w:iCs/>
              </w:rPr>
              <w:t>/</w:t>
            </w:r>
            <w:r>
              <w:rPr>
                <w:rFonts w:cs="Arial"/>
              </w:rPr>
              <w:t xml:space="preserve"> L. </w:t>
            </w:r>
            <w:proofErr w:type="spellStart"/>
            <w:r>
              <w:rPr>
                <w:rFonts w:cs="Arial"/>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April 1, 2011</w:t>
            </w:r>
          </w:p>
        </w:tc>
        <w:tc>
          <w:tcPr>
            <w:tcW w:w="43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New Format, Updated package insert information. Renumbered from CH 3.33</w:t>
            </w:r>
          </w:p>
        </w:tc>
      </w:tr>
      <w:tr w:rsidR="00016ADF" w:rsidTr="00101F15">
        <w:tblPrEx>
          <w:tblBorders>
            <w:bottom w:val="single" w:sz="4" w:space="0" w:color="auto"/>
          </w:tblBorders>
        </w:tblPrEx>
        <w:trPr>
          <w:cantSplit/>
          <w:trHeight w:val="255"/>
        </w:trPr>
        <w:tc>
          <w:tcPr>
            <w:tcW w:w="1800" w:type="dxa"/>
            <w:vMerge/>
            <w:tcBorders>
              <w:left w:val="nil"/>
              <w:bottom w:val="nil"/>
              <w:right w:val="single" w:sz="4" w:space="0" w:color="auto"/>
            </w:tcBorders>
          </w:tcPr>
          <w:p w:rsidR="00016ADF" w:rsidRDefault="00016ADF"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 xml:space="preserve">L. </w:t>
            </w:r>
            <w:proofErr w:type="spellStart"/>
            <w:r>
              <w:rPr>
                <w:rFonts w:cs="Arial"/>
                <w:iCs/>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March 19, 2013</w:t>
            </w:r>
          </w:p>
        </w:tc>
        <w:tc>
          <w:tcPr>
            <w:tcW w:w="43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Clarify maximum dilution reporting, amend AMR</w:t>
            </w:r>
          </w:p>
        </w:tc>
      </w:tr>
      <w:tr w:rsidR="00016ADF" w:rsidTr="00101F15">
        <w:tblPrEx>
          <w:tblBorders>
            <w:bottom w:val="single" w:sz="4" w:space="0" w:color="auto"/>
          </w:tblBorders>
        </w:tblPrEx>
        <w:trPr>
          <w:cantSplit/>
          <w:trHeight w:val="255"/>
        </w:trPr>
        <w:tc>
          <w:tcPr>
            <w:tcW w:w="1800" w:type="dxa"/>
            <w:vMerge/>
            <w:tcBorders>
              <w:left w:val="nil"/>
              <w:bottom w:val="nil"/>
              <w:right w:val="single" w:sz="4" w:space="0" w:color="auto"/>
            </w:tcBorders>
          </w:tcPr>
          <w:p w:rsidR="00016ADF" w:rsidRDefault="00016ADF"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 xml:space="preserve">L. </w:t>
            </w:r>
            <w:proofErr w:type="spellStart"/>
            <w:r>
              <w:rPr>
                <w:rFonts w:cs="Arial"/>
                <w:iCs/>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December 10, 2013</w:t>
            </w:r>
          </w:p>
        </w:tc>
        <w:tc>
          <w:tcPr>
            <w:tcW w:w="43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Convert reporting units to mg/</w:t>
            </w:r>
            <w:proofErr w:type="spellStart"/>
            <w:r>
              <w:rPr>
                <w:rFonts w:cs="Arial"/>
                <w:iCs/>
              </w:rPr>
              <w:t>dL</w:t>
            </w:r>
            <w:proofErr w:type="spellEnd"/>
            <w:r>
              <w:rPr>
                <w:rFonts w:cs="Arial"/>
                <w:iCs/>
              </w:rPr>
              <w:t>, update product insert</w:t>
            </w:r>
          </w:p>
        </w:tc>
      </w:tr>
      <w:tr w:rsidR="00016ADF" w:rsidRPr="00B9042E" w:rsidTr="00101F15">
        <w:tblPrEx>
          <w:tblBorders>
            <w:bottom w:val="single" w:sz="4" w:space="0" w:color="auto"/>
          </w:tblBorders>
        </w:tblPrEx>
        <w:trPr>
          <w:cantSplit/>
          <w:trHeight w:val="255"/>
        </w:trPr>
        <w:tc>
          <w:tcPr>
            <w:tcW w:w="1800" w:type="dxa"/>
            <w:vMerge/>
            <w:tcBorders>
              <w:left w:val="nil"/>
              <w:bottom w:val="nil"/>
              <w:right w:val="single" w:sz="4" w:space="0" w:color="auto"/>
            </w:tcBorders>
          </w:tcPr>
          <w:p w:rsidR="00016ADF" w:rsidRDefault="00016ADF"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 xml:space="preserve">L. </w:t>
            </w:r>
            <w:proofErr w:type="spellStart"/>
            <w:r>
              <w:rPr>
                <w:rFonts w:cs="Arial"/>
                <w:iCs/>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12/17/2013</w:t>
            </w:r>
          </w:p>
        </w:tc>
        <w:tc>
          <w:tcPr>
            <w:tcW w:w="4320" w:type="dxa"/>
            <w:tcBorders>
              <w:top w:val="single" w:sz="4" w:space="0" w:color="auto"/>
              <w:left w:val="single" w:sz="4" w:space="0" w:color="auto"/>
              <w:bottom w:val="single" w:sz="4" w:space="0" w:color="auto"/>
              <w:right w:val="single" w:sz="4" w:space="0" w:color="auto"/>
            </w:tcBorders>
          </w:tcPr>
          <w:p w:rsidR="00016ADF" w:rsidRPr="00B9042E" w:rsidRDefault="00016ADF" w:rsidP="00101F15">
            <w:pPr>
              <w:rPr>
                <w:rFonts w:cs="Arial"/>
                <w:iCs/>
              </w:rPr>
            </w:pPr>
            <w:r w:rsidRPr="00B9042E">
              <w:rPr>
                <w:rFonts w:cs="Arial"/>
                <w:iCs/>
              </w:rPr>
              <w:t xml:space="preserve">Siemens </w:t>
            </w:r>
            <w:r w:rsidRPr="00B9042E">
              <w:rPr>
                <w:rFonts w:cs="Arial"/>
                <w:szCs w:val="20"/>
              </w:rPr>
              <w:t>MG</w:t>
            </w:r>
            <w:r w:rsidRPr="00B9042E">
              <w:rPr>
                <w:rFonts w:cs="Arial"/>
                <w:iCs/>
              </w:rPr>
              <w:t xml:space="preserve"> CLSI procedure for Vista,</w:t>
            </w:r>
            <w:r w:rsidRPr="00B9042E">
              <w:rPr>
                <w:rFonts w:cs="Arial"/>
                <w:szCs w:val="20"/>
              </w:rPr>
              <w:t xml:space="preserve"> Issue Date 2013-08-20 Rev. E</w:t>
            </w:r>
          </w:p>
        </w:tc>
      </w:tr>
      <w:tr w:rsidR="00016ADF" w:rsidTr="00EA53DA">
        <w:tblPrEx>
          <w:tblBorders>
            <w:bottom w:val="single" w:sz="4" w:space="0" w:color="auto"/>
          </w:tblBorders>
        </w:tblPrEx>
        <w:trPr>
          <w:cantSplit/>
          <w:trHeight w:val="255"/>
        </w:trPr>
        <w:tc>
          <w:tcPr>
            <w:tcW w:w="1800" w:type="dxa"/>
            <w:vMerge/>
            <w:tcBorders>
              <w:left w:val="nil"/>
              <w:right w:val="single" w:sz="4" w:space="0" w:color="auto"/>
            </w:tcBorders>
          </w:tcPr>
          <w:p w:rsidR="00016ADF" w:rsidRDefault="00016ADF"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16ADF" w:rsidRDefault="00016ADF"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 xml:space="preserve">D. </w:t>
            </w:r>
            <w:proofErr w:type="spellStart"/>
            <w:r>
              <w:rPr>
                <w:rFonts w:cs="Arial"/>
                <w:iCs/>
              </w:rPr>
              <w:t>Helfinstine</w:t>
            </w:r>
            <w:proofErr w:type="spellEnd"/>
          </w:p>
        </w:tc>
        <w:tc>
          <w:tcPr>
            <w:tcW w:w="16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June 15, 2015</w:t>
            </w:r>
          </w:p>
        </w:tc>
        <w:tc>
          <w:tcPr>
            <w:tcW w:w="4320" w:type="dxa"/>
            <w:tcBorders>
              <w:top w:val="single" w:sz="4" w:space="0" w:color="auto"/>
              <w:left w:val="single" w:sz="4" w:space="0" w:color="auto"/>
              <w:bottom w:val="single" w:sz="4" w:space="0" w:color="auto"/>
              <w:right w:val="single" w:sz="4" w:space="0" w:color="auto"/>
            </w:tcBorders>
          </w:tcPr>
          <w:p w:rsidR="00016ADF" w:rsidRDefault="00016ADF" w:rsidP="00101F15">
            <w:pPr>
              <w:rPr>
                <w:rFonts w:cs="Arial"/>
                <w:iCs/>
              </w:rPr>
            </w:pPr>
            <w:r>
              <w:rPr>
                <w:rFonts w:cs="Arial"/>
                <w:iCs/>
              </w:rPr>
              <w:t>Updated information for Dimension Vista.</w:t>
            </w:r>
          </w:p>
        </w:tc>
      </w:tr>
      <w:tr w:rsidR="00EA53DA" w:rsidTr="00973B44">
        <w:tblPrEx>
          <w:tblBorders>
            <w:bottom w:val="single" w:sz="4" w:space="0" w:color="auto"/>
          </w:tblBorders>
        </w:tblPrEx>
        <w:trPr>
          <w:cantSplit/>
          <w:trHeight w:val="255"/>
        </w:trPr>
        <w:tc>
          <w:tcPr>
            <w:tcW w:w="1800" w:type="dxa"/>
            <w:tcBorders>
              <w:left w:val="nil"/>
              <w:right w:val="single" w:sz="4" w:space="0" w:color="auto"/>
            </w:tcBorders>
          </w:tcPr>
          <w:p w:rsidR="00EA53DA" w:rsidRDefault="00EA53DA"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EA53DA" w:rsidRDefault="00EA53DA"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EA53DA" w:rsidRDefault="00EA53DA" w:rsidP="00101F15">
            <w:pPr>
              <w:rPr>
                <w:rFonts w:cs="Arial"/>
                <w:iCs/>
              </w:rPr>
            </w:pPr>
            <w:proofErr w:type="spellStart"/>
            <w:r>
              <w:rPr>
                <w:rFonts w:cs="Arial"/>
                <w:iCs/>
              </w:rPr>
              <w:t>Kelsi</w:t>
            </w:r>
            <w:proofErr w:type="spellEnd"/>
            <w:r>
              <w:rPr>
                <w:rFonts w:cs="Arial"/>
                <w:iCs/>
              </w:rPr>
              <w:t xml:space="preserve"> Brown</w:t>
            </w:r>
          </w:p>
        </w:tc>
        <w:tc>
          <w:tcPr>
            <w:tcW w:w="1620" w:type="dxa"/>
            <w:tcBorders>
              <w:top w:val="single" w:sz="4" w:space="0" w:color="auto"/>
              <w:left w:val="single" w:sz="4" w:space="0" w:color="auto"/>
              <w:bottom w:val="single" w:sz="4" w:space="0" w:color="auto"/>
              <w:right w:val="single" w:sz="4" w:space="0" w:color="auto"/>
            </w:tcBorders>
          </w:tcPr>
          <w:p w:rsidR="00EA53DA" w:rsidRDefault="00EA53DA" w:rsidP="00101F15">
            <w:pPr>
              <w:rPr>
                <w:rFonts w:cs="Arial"/>
                <w:iCs/>
              </w:rPr>
            </w:pPr>
            <w:r>
              <w:rPr>
                <w:rFonts w:cs="Arial"/>
                <w:iCs/>
              </w:rPr>
              <w:t>July 6, 2017</w:t>
            </w:r>
          </w:p>
        </w:tc>
        <w:tc>
          <w:tcPr>
            <w:tcW w:w="4320" w:type="dxa"/>
            <w:tcBorders>
              <w:top w:val="single" w:sz="4" w:space="0" w:color="auto"/>
              <w:left w:val="single" w:sz="4" w:space="0" w:color="auto"/>
              <w:bottom w:val="single" w:sz="4" w:space="0" w:color="auto"/>
              <w:right w:val="single" w:sz="4" w:space="0" w:color="auto"/>
            </w:tcBorders>
          </w:tcPr>
          <w:p w:rsidR="00973B44" w:rsidRDefault="00EA53DA" w:rsidP="00101F15">
            <w:pPr>
              <w:rPr>
                <w:rFonts w:cs="Arial"/>
                <w:iCs/>
              </w:rPr>
            </w:pPr>
            <w:r>
              <w:rPr>
                <w:rFonts w:cs="Arial"/>
                <w:iCs/>
              </w:rPr>
              <w:t>Added procedure for RXL back-up method.  Updated package insert.</w:t>
            </w:r>
          </w:p>
        </w:tc>
      </w:tr>
      <w:tr w:rsidR="00973B44" w:rsidTr="00101F15">
        <w:tblPrEx>
          <w:tblBorders>
            <w:bottom w:val="single" w:sz="4" w:space="0" w:color="auto"/>
          </w:tblBorders>
        </w:tblPrEx>
        <w:trPr>
          <w:cantSplit/>
          <w:trHeight w:val="255"/>
        </w:trPr>
        <w:tc>
          <w:tcPr>
            <w:tcW w:w="1800" w:type="dxa"/>
            <w:tcBorders>
              <w:left w:val="nil"/>
              <w:bottom w:val="nil"/>
              <w:right w:val="single" w:sz="4" w:space="0" w:color="auto"/>
            </w:tcBorders>
          </w:tcPr>
          <w:p w:rsidR="00973B44" w:rsidRDefault="00973B44" w:rsidP="00101F15">
            <w:pPr>
              <w:rPr>
                <w:rFonts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73B44" w:rsidRDefault="00973B44" w:rsidP="00016ADF">
            <w:pPr>
              <w:numPr>
                <w:ilvl w:val="0"/>
                <w:numId w:val="6"/>
              </w:numPr>
              <w:jc w:val="cente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973B44" w:rsidRDefault="00973B44" w:rsidP="00101F15">
            <w:pPr>
              <w:rPr>
                <w:rFonts w:cs="Arial"/>
                <w:iCs/>
              </w:rPr>
            </w:pPr>
            <w:r>
              <w:rPr>
                <w:rFonts w:cs="Arial"/>
                <w:iCs/>
              </w:rPr>
              <w:t xml:space="preserve">E. </w:t>
            </w:r>
            <w:proofErr w:type="spellStart"/>
            <w:r>
              <w:rPr>
                <w:rFonts w:cs="Arial"/>
                <w:iCs/>
              </w:rPr>
              <w:t>Bartos</w:t>
            </w:r>
            <w:proofErr w:type="spellEnd"/>
          </w:p>
        </w:tc>
        <w:tc>
          <w:tcPr>
            <w:tcW w:w="1620" w:type="dxa"/>
            <w:tcBorders>
              <w:top w:val="single" w:sz="4" w:space="0" w:color="auto"/>
              <w:left w:val="single" w:sz="4" w:space="0" w:color="auto"/>
              <w:bottom w:val="single" w:sz="4" w:space="0" w:color="auto"/>
              <w:right w:val="single" w:sz="4" w:space="0" w:color="auto"/>
            </w:tcBorders>
          </w:tcPr>
          <w:p w:rsidR="00973B44" w:rsidRDefault="00973B44" w:rsidP="00101F15">
            <w:pPr>
              <w:rPr>
                <w:rFonts w:cs="Arial"/>
                <w:iCs/>
              </w:rPr>
            </w:pPr>
            <w:r>
              <w:rPr>
                <w:rFonts w:cs="Arial"/>
                <w:iCs/>
              </w:rPr>
              <w:t>Sept. 19, 2017</w:t>
            </w:r>
          </w:p>
        </w:tc>
        <w:tc>
          <w:tcPr>
            <w:tcW w:w="4320" w:type="dxa"/>
            <w:tcBorders>
              <w:top w:val="single" w:sz="4" w:space="0" w:color="auto"/>
              <w:left w:val="single" w:sz="4" w:space="0" w:color="auto"/>
              <w:bottom w:val="single" w:sz="4" w:space="0" w:color="auto"/>
              <w:right w:val="single" w:sz="4" w:space="0" w:color="auto"/>
            </w:tcBorders>
          </w:tcPr>
          <w:p w:rsidR="00973B44" w:rsidRDefault="00973B44" w:rsidP="00101F15">
            <w:pPr>
              <w:rPr>
                <w:rFonts w:cs="Arial"/>
                <w:iCs/>
              </w:rPr>
            </w:pPr>
            <w:r>
              <w:rPr>
                <w:rFonts w:cs="Arial"/>
                <w:iCs/>
              </w:rPr>
              <w:t>Removed Acidification of Urine per publications</w:t>
            </w:r>
          </w:p>
        </w:tc>
      </w:tr>
    </w:tbl>
    <w:p w:rsidR="007B0D03" w:rsidRDefault="007B0D03" w:rsidP="0087480A">
      <w:pPr>
        <w:pStyle w:val="NoSpacing"/>
      </w:pPr>
    </w:p>
    <w:sectPr w:rsidR="007B0D03" w:rsidSect="00EA53DA">
      <w:headerReference w:type="default" r:id="rId11"/>
      <w:pgSz w:w="12240" w:h="15840"/>
      <w:pgMar w:top="1440" w:right="1440" w:bottom="144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3DA" w:rsidRDefault="00EA53DA" w:rsidP="00EA53DA">
      <w:r>
        <w:separator/>
      </w:r>
    </w:p>
  </w:endnote>
  <w:endnote w:type="continuationSeparator" w:id="0">
    <w:p w:rsidR="00EA53DA" w:rsidRDefault="00EA53DA" w:rsidP="00EA5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Pro-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3DA" w:rsidRDefault="00EA53DA" w:rsidP="00EA53DA">
      <w:r>
        <w:separator/>
      </w:r>
    </w:p>
  </w:footnote>
  <w:footnote w:type="continuationSeparator" w:id="0">
    <w:p w:rsidR="00EA53DA" w:rsidRDefault="00EA53DA" w:rsidP="00EA5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DA" w:rsidRDefault="00EA53DA">
    <w:pPr>
      <w:pStyle w:val="Header"/>
    </w:pPr>
    <w:r>
      <w:rPr>
        <w:noProof/>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-40005</wp:posOffset>
          </wp:positionV>
          <wp:extent cx="2016760" cy="647700"/>
          <wp:effectExtent l="19050" t="0" r="2540" b="0"/>
          <wp:wrapTight wrapText="bothSides">
            <wp:wrapPolygon edited="0">
              <wp:start x="-204" y="0"/>
              <wp:lineTo x="-204" y="20965"/>
              <wp:lineTo x="21627" y="20965"/>
              <wp:lineTo x="21627" y="0"/>
              <wp:lineTo x="-204" y="0"/>
            </wp:wrapPolygon>
          </wp:wrapTight>
          <wp:docPr id="2" name="Picture 1"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2016760" cy="647700"/>
                  </a:xfrm>
                  <a:prstGeom prst="rect">
                    <a:avLst/>
                  </a:prstGeom>
                  <a:noFill/>
                  <a:ln w="9525">
                    <a:noFill/>
                    <a:miter lim="800000"/>
                    <a:headEnd/>
                    <a:tailEnd/>
                  </a:ln>
                </pic:spPr>
              </pic:pic>
            </a:graphicData>
          </a:graphic>
        </wp:anchor>
      </w:drawing>
    </w:r>
  </w:p>
  <w:p w:rsidR="00EA53DA" w:rsidRDefault="00EA53DA" w:rsidP="00EA53DA">
    <w:pPr>
      <w:ind w:left="-1260" w:right="-1260"/>
      <w:rPr>
        <w:rFonts w:cs="Arial"/>
        <w:sz w:val="18"/>
      </w:rPr>
    </w:pPr>
    <w:r>
      <w:rPr>
        <w:rFonts w:cs="Arial"/>
        <w:sz w:val="18"/>
      </w:rPr>
      <w:t xml:space="preserve">        </w:t>
    </w:r>
    <w:r>
      <w:rPr>
        <w:rFonts w:cs="Arial"/>
        <w:sz w:val="18"/>
      </w:rPr>
      <w:tab/>
      <w:t>CH 6.57 Magnesium in Plasma/Serum or Urine</w:t>
    </w:r>
  </w:p>
  <w:p w:rsidR="00EA53DA" w:rsidRDefault="00973B44" w:rsidP="00EA53DA">
    <w:pPr>
      <w:ind w:left="-1260" w:right="-1260"/>
      <w:rPr>
        <w:rFonts w:cs="Arial"/>
        <w:sz w:val="18"/>
      </w:rPr>
    </w:pPr>
    <w:r>
      <w:rPr>
        <w:rFonts w:cs="Arial"/>
        <w:sz w:val="18"/>
      </w:rPr>
      <w:t xml:space="preserve">       </w:t>
    </w:r>
    <w:r>
      <w:rPr>
        <w:rFonts w:cs="Arial"/>
        <w:sz w:val="18"/>
      </w:rPr>
      <w:tab/>
      <w:t xml:space="preserve"> Version 11</w:t>
    </w:r>
  </w:p>
  <w:p w:rsidR="00EA53DA" w:rsidRDefault="00973B44" w:rsidP="00EA53DA">
    <w:pPr>
      <w:ind w:left="-1260" w:right="-1260"/>
      <w:rPr>
        <w:rFonts w:cs="Arial"/>
        <w:sz w:val="18"/>
      </w:rPr>
    </w:pPr>
    <w:r>
      <w:rPr>
        <w:rFonts w:cs="Arial"/>
        <w:sz w:val="18"/>
      </w:rPr>
      <w:t xml:space="preserve">        </w:t>
    </w:r>
    <w:r>
      <w:rPr>
        <w:rFonts w:cs="Arial"/>
        <w:sz w:val="18"/>
      </w:rPr>
      <w:tab/>
      <w:t>Effective Date: Sept 19</w:t>
    </w:r>
    <w:r w:rsidR="00EA53DA">
      <w:rPr>
        <w:rFonts w:cs="Arial"/>
        <w:sz w:val="18"/>
      </w:rPr>
      <w:t>, 2017</w:t>
    </w:r>
  </w:p>
  <w:p w:rsidR="00EA53DA" w:rsidRDefault="00EA53DA">
    <w:pPr>
      <w:pStyle w:val="Header"/>
    </w:pPr>
  </w:p>
  <w:p w:rsidR="00EA53DA" w:rsidRDefault="00EA53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30913"/>
    <w:multiLevelType w:val="hybridMultilevel"/>
    <w:tmpl w:val="6C92A9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362220"/>
    <w:multiLevelType w:val="hybridMultilevel"/>
    <w:tmpl w:val="11869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D61E47"/>
    <w:multiLevelType w:val="hybridMultilevel"/>
    <w:tmpl w:val="814A5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30C6EF5"/>
    <w:multiLevelType w:val="hybridMultilevel"/>
    <w:tmpl w:val="1C009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995DA5"/>
    <w:multiLevelType w:val="hybridMultilevel"/>
    <w:tmpl w:val="AEA47F00"/>
    <w:lvl w:ilvl="0" w:tplc="12A23B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6C53050"/>
    <w:multiLevelType w:val="hybridMultilevel"/>
    <w:tmpl w:val="9E1E8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016ADF"/>
    <w:rsid w:val="00001AFD"/>
    <w:rsid w:val="00016ADF"/>
    <w:rsid w:val="00357F8D"/>
    <w:rsid w:val="00621E19"/>
    <w:rsid w:val="006602C2"/>
    <w:rsid w:val="00755A86"/>
    <w:rsid w:val="007B0D03"/>
    <w:rsid w:val="0087480A"/>
    <w:rsid w:val="00973B44"/>
    <w:rsid w:val="00C20AE1"/>
    <w:rsid w:val="00EA53DA"/>
    <w:rsid w:val="00FA1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DF"/>
    <w:pPr>
      <w:spacing w:after="0" w:line="240" w:lineRule="auto"/>
    </w:pPr>
    <w:rPr>
      <w:rFonts w:ascii="Arial" w:eastAsia="Times New Roman" w:hAnsi="Arial"/>
      <w:sz w:val="20"/>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rsid w:val="00016ADF"/>
    <w:pPr>
      <w:tabs>
        <w:tab w:val="center" w:pos="4320"/>
        <w:tab w:val="right" w:pos="8640"/>
      </w:tabs>
    </w:pPr>
  </w:style>
  <w:style w:type="character" w:customStyle="1" w:styleId="HeaderChar">
    <w:name w:val="Header Char"/>
    <w:basedOn w:val="DefaultParagraphFont"/>
    <w:link w:val="Header"/>
    <w:uiPriority w:val="99"/>
    <w:rsid w:val="00016ADF"/>
    <w:rPr>
      <w:rFonts w:ascii="Arial" w:eastAsia="Times New Roman" w:hAnsi="Arial"/>
      <w:sz w:val="20"/>
      <w:szCs w:val="24"/>
      <w:lang w:bidi="ar-SA"/>
    </w:rPr>
  </w:style>
  <w:style w:type="paragraph" w:customStyle="1" w:styleId="CalVerTable">
    <w:name w:val="CalVerTable"/>
    <w:basedOn w:val="BodyText"/>
    <w:rsid w:val="00016ADF"/>
    <w:pPr>
      <w:spacing w:after="40" w:line="160" w:lineRule="atLeast"/>
      <w:ind w:left="3240" w:hanging="3240"/>
    </w:pPr>
    <w:rPr>
      <w:rFonts w:ascii="Times New Roman" w:hAnsi="Times New Roman"/>
      <w:szCs w:val="20"/>
    </w:rPr>
  </w:style>
  <w:style w:type="paragraph" w:styleId="BodyText">
    <w:name w:val="Body Text"/>
    <w:basedOn w:val="Normal"/>
    <w:link w:val="BodyTextChar"/>
    <w:rsid w:val="00016ADF"/>
    <w:pPr>
      <w:spacing w:after="120"/>
    </w:pPr>
  </w:style>
  <w:style w:type="character" w:customStyle="1" w:styleId="BodyTextChar">
    <w:name w:val="Body Text Char"/>
    <w:basedOn w:val="DefaultParagraphFont"/>
    <w:link w:val="BodyText"/>
    <w:rsid w:val="00016ADF"/>
    <w:rPr>
      <w:rFonts w:ascii="Arial" w:eastAsia="Times New Roman" w:hAnsi="Arial"/>
      <w:sz w:val="20"/>
      <w:szCs w:val="24"/>
      <w:lang w:bidi="ar-SA"/>
    </w:rPr>
  </w:style>
  <w:style w:type="paragraph" w:customStyle="1" w:styleId="Reagents">
    <w:name w:val="Reagents"/>
    <w:basedOn w:val="Normal"/>
    <w:rsid w:val="00016ADF"/>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Bullets">
    <w:name w:val="Bullets"/>
    <w:basedOn w:val="Normal"/>
    <w:rsid w:val="00016ADF"/>
    <w:pPr>
      <w:spacing w:after="40" w:line="160" w:lineRule="atLeast"/>
      <w:ind w:left="274" w:hanging="274"/>
    </w:pPr>
    <w:rPr>
      <w:rFonts w:ascii="Times New Roman" w:hAnsi="Times New Roman"/>
      <w:szCs w:val="20"/>
    </w:rPr>
  </w:style>
  <w:style w:type="paragraph" w:styleId="BodyText2">
    <w:name w:val="Body Text 2"/>
    <w:basedOn w:val="Normal"/>
    <w:link w:val="BodyText2Char"/>
    <w:semiHidden/>
    <w:rsid w:val="00016ADF"/>
    <w:pPr>
      <w:widowControl w:val="0"/>
    </w:pPr>
    <w:rPr>
      <w:rFonts w:cs="Arial"/>
      <w:i/>
      <w:snapToGrid w:val="0"/>
      <w:sz w:val="24"/>
      <w:szCs w:val="20"/>
    </w:rPr>
  </w:style>
  <w:style w:type="character" w:customStyle="1" w:styleId="BodyText2Char">
    <w:name w:val="Body Text 2 Char"/>
    <w:basedOn w:val="DefaultParagraphFont"/>
    <w:link w:val="BodyText2"/>
    <w:semiHidden/>
    <w:rsid w:val="00016ADF"/>
    <w:rPr>
      <w:rFonts w:ascii="Arial" w:eastAsia="Times New Roman" w:hAnsi="Arial" w:cs="Arial"/>
      <w:i/>
      <w:snapToGrid w:val="0"/>
      <w:sz w:val="24"/>
      <w:szCs w:val="20"/>
      <w:lang w:bidi="ar-SA"/>
    </w:rPr>
  </w:style>
  <w:style w:type="paragraph" w:styleId="BodyText3">
    <w:name w:val="Body Text 3"/>
    <w:basedOn w:val="Normal"/>
    <w:link w:val="BodyText3Char"/>
    <w:semiHidden/>
    <w:rsid w:val="00016ADF"/>
    <w:rPr>
      <w:sz w:val="18"/>
    </w:rPr>
  </w:style>
  <w:style w:type="character" w:customStyle="1" w:styleId="BodyText3Char">
    <w:name w:val="Body Text 3 Char"/>
    <w:basedOn w:val="DefaultParagraphFont"/>
    <w:link w:val="BodyText3"/>
    <w:semiHidden/>
    <w:rsid w:val="00016ADF"/>
    <w:rPr>
      <w:rFonts w:ascii="Arial" w:eastAsia="Times New Roman" w:hAnsi="Arial"/>
      <w:sz w:val="18"/>
      <w:szCs w:val="24"/>
      <w:lang w:bidi="ar-SA"/>
    </w:rPr>
  </w:style>
  <w:style w:type="paragraph" w:customStyle="1" w:styleId="Pa5">
    <w:name w:val="Pa5"/>
    <w:basedOn w:val="Normal"/>
    <w:next w:val="Normal"/>
    <w:rsid w:val="00016ADF"/>
    <w:pPr>
      <w:autoSpaceDE w:val="0"/>
      <w:autoSpaceDN w:val="0"/>
      <w:adjustRightInd w:val="0"/>
      <w:spacing w:line="151" w:lineRule="atLeast"/>
    </w:pPr>
    <w:rPr>
      <w:rFonts w:ascii="Helen Pro Cond" w:hAnsi="Helen Pro Cond"/>
      <w:sz w:val="24"/>
    </w:rPr>
  </w:style>
  <w:style w:type="paragraph" w:customStyle="1" w:styleId="TableText">
    <w:name w:val="Table Text"/>
    <w:basedOn w:val="Normal"/>
    <w:rsid w:val="00016ADF"/>
    <w:pPr>
      <w:autoSpaceDE w:val="0"/>
      <w:autoSpaceDN w:val="0"/>
    </w:pPr>
    <w:rPr>
      <w:rFonts w:ascii="Times New Roman" w:hAnsi="Times New Roman"/>
    </w:rPr>
  </w:style>
  <w:style w:type="paragraph" w:customStyle="1" w:styleId="Pa4">
    <w:name w:val="Pa4"/>
    <w:basedOn w:val="Normal"/>
    <w:next w:val="Normal"/>
    <w:rsid w:val="00016ADF"/>
    <w:pPr>
      <w:autoSpaceDE w:val="0"/>
      <w:autoSpaceDN w:val="0"/>
      <w:adjustRightInd w:val="0"/>
      <w:spacing w:line="151" w:lineRule="atLeast"/>
    </w:pPr>
    <w:rPr>
      <w:rFonts w:ascii="Helen Pro Cond" w:hAnsi="Helen Pro Cond"/>
      <w:sz w:val="24"/>
    </w:rPr>
  </w:style>
  <w:style w:type="character" w:customStyle="1" w:styleId="A7">
    <w:name w:val="A7"/>
    <w:rsid w:val="00016ADF"/>
    <w:rPr>
      <w:color w:val="000000"/>
      <w:sz w:val="15"/>
      <w:szCs w:val="15"/>
    </w:rPr>
  </w:style>
  <w:style w:type="character" w:customStyle="1" w:styleId="ShadeBodyTextCondensed">
    <w:name w:val="Shade Body Text (Condensed)"/>
    <w:uiPriority w:val="99"/>
    <w:rsid w:val="00016ADF"/>
    <w:rPr>
      <w:rFonts w:ascii="HelenPro-Cond" w:hAnsi="HelenPro-Cond"/>
      <w:u w:val="thick" w:color="000000"/>
    </w:rPr>
  </w:style>
  <w:style w:type="character" w:styleId="Hyperlink">
    <w:name w:val="Hyperlink"/>
    <w:basedOn w:val="DefaultParagraphFont"/>
    <w:rsid w:val="00016ADF"/>
    <w:rPr>
      <w:color w:val="0000FF"/>
      <w:u w:val="single"/>
    </w:rPr>
  </w:style>
  <w:style w:type="table" w:styleId="TableGrid">
    <w:name w:val="Table Grid"/>
    <w:basedOn w:val="TableNormal"/>
    <w:uiPriority w:val="59"/>
    <w:rsid w:val="00016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EA53DA"/>
    <w:pPr>
      <w:tabs>
        <w:tab w:val="center" w:pos="4680"/>
        <w:tab w:val="right" w:pos="9360"/>
      </w:tabs>
    </w:pPr>
  </w:style>
  <w:style w:type="character" w:customStyle="1" w:styleId="FooterChar">
    <w:name w:val="Footer Char"/>
    <w:basedOn w:val="DefaultParagraphFont"/>
    <w:link w:val="Footer"/>
    <w:uiPriority w:val="99"/>
    <w:semiHidden/>
    <w:rsid w:val="00EA53DA"/>
    <w:rPr>
      <w:rFonts w:ascii="Arial" w:eastAsia="Times New Roman" w:hAnsi="Arial"/>
      <w:sz w:val="20"/>
      <w:szCs w:val="24"/>
      <w:lang w:bidi="ar-SA"/>
    </w:rPr>
  </w:style>
  <w:style w:type="paragraph" w:styleId="BalloonText">
    <w:name w:val="Balloon Text"/>
    <w:basedOn w:val="Normal"/>
    <w:link w:val="BalloonTextChar"/>
    <w:uiPriority w:val="99"/>
    <w:semiHidden/>
    <w:unhideWhenUsed/>
    <w:rsid w:val="00EA53DA"/>
    <w:rPr>
      <w:rFonts w:ascii="Tahoma" w:hAnsi="Tahoma" w:cs="Tahoma"/>
      <w:sz w:val="16"/>
      <w:szCs w:val="16"/>
    </w:rPr>
  </w:style>
  <w:style w:type="character" w:customStyle="1" w:styleId="BalloonTextChar">
    <w:name w:val="Balloon Text Char"/>
    <w:basedOn w:val="DefaultParagraphFont"/>
    <w:link w:val="BalloonText"/>
    <w:uiPriority w:val="99"/>
    <w:semiHidden/>
    <w:rsid w:val="00EA53DA"/>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711541096">
      <w:bodyDiv w:val="1"/>
      <w:marLeft w:val="0"/>
      <w:marRight w:val="0"/>
      <w:marTop w:val="0"/>
      <w:marBottom w:val="0"/>
      <w:divBdr>
        <w:top w:val="none" w:sz="0" w:space="0" w:color="auto"/>
        <w:left w:val="none" w:sz="0" w:space="0" w:color="auto"/>
        <w:bottom w:val="none" w:sz="0" w:space="0" w:color="auto"/>
        <w:right w:val="none" w:sz="0" w:space="0" w:color="auto"/>
      </w:divBdr>
      <w:divsChild>
        <w:div w:id="310326407">
          <w:marLeft w:val="0"/>
          <w:marRight w:val="1"/>
          <w:marTop w:val="0"/>
          <w:marBottom w:val="0"/>
          <w:divBdr>
            <w:top w:val="none" w:sz="0" w:space="0" w:color="auto"/>
            <w:left w:val="none" w:sz="0" w:space="0" w:color="auto"/>
            <w:bottom w:val="none" w:sz="0" w:space="0" w:color="auto"/>
            <w:right w:val="none" w:sz="0" w:space="0" w:color="auto"/>
          </w:divBdr>
          <w:divsChild>
            <w:div w:id="580140544">
              <w:marLeft w:val="0"/>
              <w:marRight w:val="0"/>
              <w:marTop w:val="0"/>
              <w:marBottom w:val="0"/>
              <w:divBdr>
                <w:top w:val="none" w:sz="0" w:space="0" w:color="auto"/>
                <w:left w:val="none" w:sz="0" w:space="0" w:color="auto"/>
                <w:bottom w:val="none" w:sz="0" w:space="0" w:color="auto"/>
                <w:right w:val="none" w:sz="0" w:space="0" w:color="auto"/>
              </w:divBdr>
              <w:divsChild>
                <w:div w:id="1939098166">
                  <w:marLeft w:val="0"/>
                  <w:marRight w:val="1"/>
                  <w:marTop w:val="0"/>
                  <w:marBottom w:val="0"/>
                  <w:divBdr>
                    <w:top w:val="none" w:sz="0" w:space="0" w:color="auto"/>
                    <w:left w:val="none" w:sz="0" w:space="0" w:color="auto"/>
                    <w:bottom w:val="none" w:sz="0" w:space="0" w:color="auto"/>
                    <w:right w:val="none" w:sz="0" w:space="0" w:color="auto"/>
                  </w:divBdr>
                  <w:divsChild>
                    <w:div w:id="1218011469">
                      <w:marLeft w:val="0"/>
                      <w:marRight w:val="0"/>
                      <w:marTop w:val="0"/>
                      <w:marBottom w:val="0"/>
                      <w:divBdr>
                        <w:top w:val="none" w:sz="0" w:space="0" w:color="auto"/>
                        <w:left w:val="none" w:sz="0" w:space="0" w:color="auto"/>
                        <w:bottom w:val="none" w:sz="0" w:space="0" w:color="auto"/>
                        <w:right w:val="none" w:sz="0" w:space="0" w:color="auto"/>
                      </w:divBdr>
                      <w:divsChild>
                        <w:div w:id="1829977501">
                          <w:marLeft w:val="0"/>
                          <w:marRight w:val="0"/>
                          <w:marTop w:val="0"/>
                          <w:marBottom w:val="0"/>
                          <w:divBdr>
                            <w:top w:val="none" w:sz="0" w:space="0" w:color="auto"/>
                            <w:left w:val="none" w:sz="0" w:space="0" w:color="auto"/>
                            <w:bottom w:val="none" w:sz="0" w:space="0" w:color="auto"/>
                            <w:right w:val="none" w:sz="0" w:space="0" w:color="auto"/>
                          </w:divBdr>
                          <w:divsChild>
                            <w:div w:id="918448091">
                              <w:marLeft w:val="0"/>
                              <w:marRight w:val="0"/>
                              <w:marTop w:val="0"/>
                              <w:marBottom w:val="0"/>
                              <w:divBdr>
                                <w:top w:val="none" w:sz="0" w:space="0" w:color="auto"/>
                                <w:left w:val="none" w:sz="0" w:space="0" w:color="auto"/>
                                <w:bottom w:val="none" w:sz="0" w:space="0" w:color="auto"/>
                                <w:right w:val="none" w:sz="0" w:space="0" w:color="auto"/>
                              </w:divBdr>
                            </w:div>
                          </w:divsChild>
                        </w:div>
                        <w:div w:id="1291783294">
                          <w:marLeft w:val="0"/>
                          <w:marRight w:val="0"/>
                          <w:marTop w:val="0"/>
                          <w:marBottom w:val="0"/>
                          <w:divBdr>
                            <w:top w:val="none" w:sz="0" w:space="0" w:color="auto"/>
                            <w:left w:val="none" w:sz="0" w:space="0" w:color="auto"/>
                            <w:bottom w:val="none" w:sz="0" w:space="0" w:color="auto"/>
                            <w:right w:val="none" w:sz="0" w:space="0" w:color="auto"/>
                          </w:divBdr>
                          <w:divsChild>
                            <w:div w:id="1348948486">
                              <w:marLeft w:val="0"/>
                              <w:marRight w:val="0"/>
                              <w:marTop w:val="120"/>
                              <w:marBottom w:val="360"/>
                              <w:divBdr>
                                <w:top w:val="none" w:sz="0" w:space="0" w:color="auto"/>
                                <w:left w:val="none" w:sz="0" w:space="0" w:color="auto"/>
                                <w:bottom w:val="none" w:sz="0" w:space="0" w:color="auto"/>
                                <w:right w:val="none" w:sz="0" w:space="0" w:color="auto"/>
                              </w:divBdr>
                              <w:divsChild>
                                <w:div w:id="14716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Chem/Procedure/2068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emens.com/diagnost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cbi.nlm.nih.gov/pubmed/27155007" TargetMode="External"/><Relationship Id="rId4" Type="http://schemas.openxmlformats.org/officeDocument/2006/relationships/webSettings" Target="webSettings.xml"/><Relationship Id="rId9" Type="http://schemas.openxmlformats.org/officeDocument/2006/relationships/hyperlink" Target="https://www.ncbi.nlm.nih.gov/pubmed/240128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CE155291</dc:creator>
  <cp:lastModifiedBy>CE155076</cp:lastModifiedBy>
  <cp:revision>3</cp:revision>
  <dcterms:created xsi:type="dcterms:W3CDTF">2017-09-19T12:51:00Z</dcterms:created>
  <dcterms:modified xsi:type="dcterms:W3CDTF">2017-09-19T13:03:00Z</dcterms:modified>
</cp:coreProperties>
</file>