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8568"/>
      </w:tblGrid>
      <w:tr w:rsidR="0090182E">
        <w:trPr>
          <w:trHeight w:val="702"/>
        </w:trPr>
        <w:tc>
          <w:tcPr>
            <w:tcW w:w="10368" w:type="dxa"/>
            <w:gridSpan w:val="2"/>
            <w:tcBorders>
              <w:top w:val="nil"/>
              <w:left w:val="nil"/>
              <w:bottom w:val="nil"/>
              <w:right w:val="nil"/>
            </w:tcBorders>
          </w:tcPr>
          <w:p w:rsidR="0090182E" w:rsidRDefault="0090182E">
            <w:pPr>
              <w:pStyle w:val="Title"/>
              <w:jc w:val="left"/>
              <w:rPr>
                <w:b w:val="0"/>
                <w:bCs w:val="0"/>
                <w:color w:val="0000FF"/>
              </w:rPr>
            </w:pPr>
            <w:r>
              <w:rPr>
                <w:color w:val="0000FF"/>
              </w:rPr>
              <w:t xml:space="preserve"> Microbiology Packing and Shipping Policy for Courier Transport </w:t>
            </w:r>
          </w:p>
          <w:p w:rsidR="0090182E" w:rsidRDefault="0090182E">
            <w:pPr>
              <w:pStyle w:val="Custom"/>
            </w:pPr>
          </w:p>
        </w:tc>
      </w:tr>
      <w:tr w:rsidR="0090182E">
        <w:trPr>
          <w:trHeight w:val="882"/>
        </w:trPr>
        <w:tc>
          <w:tcPr>
            <w:tcW w:w="1800" w:type="dxa"/>
            <w:tcBorders>
              <w:top w:val="nil"/>
              <w:left w:val="nil"/>
              <w:bottom w:val="nil"/>
              <w:right w:val="nil"/>
            </w:tcBorders>
          </w:tcPr>
          <w:p w:rsidR="0090182E" w:rsidRDefault="0090182E">
            <w:pPr>
              <w:rPr>
                <w:rFonts w:cs="Arial"/>
                <w:b/>
                <w:color w:val="0000FF"/>
              </w:rPr>
            </w:pPr>
            <w:r>
              <w:rPr>
                <w:rFonts w:cs="Arial"/>
                <w:b/>
                <w:color w:val="0000FF"/>
              </w:rPr>
              <w:t>Policy Statement</w:t>
            </w:r>
          </w:p>
        </w:tc>
        <w:tc>
          <w:tcPr>
            <w:tcW w:w="8568" w:type="dxa"/>
            <w:tcBorders>
              <w:top w:val="nil"/>
              <w:left w:val="nil"/>
              <w:bottom w:val="single" w:sz="4" w:space="0" w:color="auto"/>
              <w:right w:val="nil"/>
            </w:tcBorders>
            <w:noWrap/>
          </w:tcPr>
          <w:p w:rsidR="0090182E" w:rsidRDefault="0090182E">
            <w:pPr>
              <w:pStyle w:val="NormalWeb"/>
              <w:rPr>
                <w:rFonts w:ascii="Arial" w:hAnsi="Arial" w:cs="Arial"/>
                <w:sz w:val="20"/>
              </w:rPr>
            </w:pPr>
            <w:r>
              <w:rPr>
                <w:rFonts w:ascii="Arial" w:hAnsi="Arial" w:cs="Arial"/>
                <w:sz w:val="20"/>
              </w:rPr>
              <w:t>Children’s Hospitals and Clinics of Minnesota complies with the U.S. Department of Transportation (DOT) regulations regarding the transport of patient specimens and culture isolates.</w:t>
            </w:r>
          </w:p>
        </w:tc>
      </w:tr>
      <w:tr w:rsidR="0090182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right w:val="nil"/>
            </w:tcBorders>
          </w:tcPr>
          <w:p w:rsidR="0090182E" w:rsidRDefault="0090182E">
            <w:pPr>
              <w:rPr>
                <w:rFonts w:cs="Arial"/>
                <w:b/>
                <w:color w:val="0000FF"/>
              </w:rPr>
            </w:pPr>
            <w:r>
              <w:rPr>
                <w:rFonts w:cs="Arial"/>
                <w:b/>
                <w:color w:val="0000FF"/>
              </w:rPr>
              <w:t>Purpose</w:t>
            </w:r>
          </w:p>
          <w:p w:rsidR="0090182E" w:rsidRDefault="0090182E">
            <w:pPr>
              <w:rPr>
                <w:rFonts w:cs="Arial"/>
                <w:b/>
                <w:color w:val="0000FF"/>
              </w:rPr>
            </w:pPr>
          </w:p>
        </w:tc>
        <w:tc>
          <w:tcPr>
            <w:tcW w:w="8568" w:type="dxa"/>
            <w:tcBorders>
              <w:top w:val="nil"/>
              <w:left w:val="nil"/>
              <w:bottom w:val="nil"/>
              <w:right w:val="nil"/>
            </w:tcBorders>
          </w:tcPr>
          <w:p w:rsidR="0090182E" w:rsidRDefault="0090182E">
            <w:pPr>
              <w:pStyle w:val="TableText"/>
              <w:tabs>
                <w:tab w:val="left" w:pos="3382"/>
              </w:tabs>
              <w:autoSpaceDE/>
              <w:autoSpaceDN/>
              <w:rPr>
                <w:rFonts w:cs="Arial"/>
              </w:rPr>
            </w:pPr>
            <w:r>
              <w:rPr>
                <w:rFonts w:cs="Arial"/>
              </w:rPr>
              <w:t>This policy documents and provides guidance for the processes and procedures used to package and ship Microbiology Diagnostic Specimens, and culture plates between the Minneapolis and St Paul campuses and for courier transport of isolates to the Minnesota Department of Health.</w:t>
            </w:r>
          </w:p>
        </w:tc>
      </w:tr>
      <w:tr w:rsidR="0090182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bottom w:val="nil"/>
              <w:right w:val="nil"/>
            </w:tcBorders>
          </w:tcPr>
          <w:p w:rsidR="0090182E" w:rsidRDefault="0090182E">
            <w:pPr>
              <w:rPr>
                <w:rFonts w:cs="Arial"/>
                <w:b/>
                <w:color w:val="0000FF"/>
              </w:rPr>
            </w:pPr>
          </w:p>
          <w:p w:rsidR="0090182E" w:rsidRDefault="0090182E">
            <w:pPr>
              <w:rPr>
                <w:rFonts w:cs="Arial"/>
                <w:b/>
                <w:color w:val="0000FF"/>
              </w:rPr>
            </w:pPr>
            <w:r>
              <w:rPr>
                <w:rFonts w:cs="Arial"/>
                <w:b/>
                <w:color w:val="0000FF"/>
              </w:rPr>
              <w:t>Responsibility</w:t>
            </w:r>
          </w:p>
        </w:tc>
        <w:tc>
          <w:tcPr>
            <w:tcW w:w="8568" w:type="dxa"/>
            <w:tcBorders>
              <w:top w:val="nil"/>
              <w:left w:val="nil"/>
              <w:bottom w:val="single" w:sz="4" w:space="0" w:color="auto"/>
              <w:right w:val="nil"/>
            </w:tcBorders>
          </w:tcPr>
          <w:p w:rsidR="0090182E" w:rsidRDefault="0090182E">
            <w:pPr>
              <w:tabs>
                <w:tab w:val="left" w:pos="3382"/>
              </w:tabs>
              <w:jc w:val="left"/>
              <w:rPr>
                <w:rFonts w:cs="Arial"/>
              </w:rPr>
            </w:pPr>
          </w:p>
          <w:p w:rsidR="0090182E" w:rsidRDefault="0090182E">
            <w:pPr>
              <w:pStyle w:val="TableText"/>
              <w:autoSpaceDE/>
              <w:autoSpaceDN/>
              <w:rPr>
                <w:rFonts w:cs="Arial"/>
              </w:rPr>
            </w:pPr>
            <w:r>
              <w:rPr>
                <w:rFonts w:cs="Arial"/>
              </w:rPr>
              <w:t>All Microbiology staff and all Send-out staff must abide by the following regulations.</w:t>
            </w:r>
          </w:p>
          <w:p w:rsidR="0090182E" w:rsidRDefault="0090182E">
            <w:pPr>
              <w:pStyle w:val="TableText"/>
              <w:numPr>
                <w:ilvl w:val="0"/>
                <w:numId w:val="29"/>
              </w:numPr>
              <w:autoSpaceDE/>
              <w:autoSpaceDN/>
              <w:rPr>
                <w:rFonts w:cs="Arial"/>
              </w:rPr>
            </w:pPr>
            <w:r>
              <w:rPr>
                <w:rFonts w:cs="Arial"/>
              </w:rPr>
              <w:t>Proper classification of specimens</w:t>
            </w:r>
          </w:p>
          <w:p w:rsidR="0090182E" w:rsidRDefault="0090182E">
            <w:pPr>
              <w:pStyle w:val="TableText"/>
              <w:numPr>
                <w:ilvl w:val="0"/>
                <w:numId w:val="29"/>
              </w:numPr>
              <w:autoSpaceDE/>
              <w:autoSpaceDN/>
              <w:rPr>
                <w:rFonts w:cs="Arial"/>
              </w:rPr>
            </w:pPr>
            <w:r>
              <w:rPr>
                <w:rFonts w:cs="Arial"/>
              </w:rPr>
              <w:t>Proper packaging of specimens.</w:t>
            </w:r>
          </w:p>
          <w:p w:rsidR="0090182E" w:rsidRDefault="0090182E">
            <w:pPr>
              <w:pStyle w:val="TableText"/>
              <w:numPr>
                <w:ilvl w:val="0"/>
                <w:numId w:val="29"/>
              </w:numPr>
              <w:autoSpaceDE/>
              <w:autoSpaceDN/>
              <w:rPr>
                <w:rFonts w:cs="Arial"/>
              </w:rPr>
            </w:pPr>
            <w:r>
              <w:rPr>
                <w:rFonts w:cs="Arial"/>
              </w:rPr>
              <w:t>Proper labeling of specimens and packages.</w:t>
            </w:r>
          </w:p>
          <w:p w:rsidR="0090182E" w:rsidRDefault="0090182E">
            <w:pPr>
              <w:pStyle w:val="TableText"/>
              <w:numPr>
                <w:ilvl w:val="0"/>
                <w:numId w:val="29"/>
              </w:numPr>
              <w:autoSpaceDE/>
              <w:autoSpaceDN/>
              <w:rPr>
                <w:rFonts w:cs="Arial"/>
              </w:rPr>
            </w:pPr>
            <w:r>
              <w:rPr>
                <w:rFonts w:cs="Arial"/>
              </w:rPr>
              <w:t>Proper documentation of specimens for transport.</w:t>
            </w:r>
          </w:p>
          <w:p w:rsidR="0090182E" w:rsidRDefault="0090182E">
            <w:pPr>
              <w:pStyle w:val="TableText"/>
              <w:numPr>
                <w:ilvl w:val="0"/>
                <w:numId w:val="29"/>
              </w:numPr>
              <w:autoSpaceDE/>
              <w:autoSpaceDN/>
              <w:rPr>
                <w:rFonts w:cs="Arial"/>
              </w:rPr>
            </w:pPr>
            <w:r>
              <w:rPr>
                <w:rFonts w:cs="Arial"/>
              </w:rPr>
              <w:t>Proper training of staff that handle specimens.</w:t>
            </w:r>
          </w:p>
          <w:p w:rsidR="0090182E" w:rsidRDefault="0090182E">
            <w:pPr>
              <w:tabs>
                <w:tab w:val="left" w:pos="3382"/>
              </w:tabs>
              <w:jc w:val="left"/>
              <w:rPr>
                <w:rFonts w:cs="Arial"/>
              </w:rPr>
            </w:pPr>
          </w:p>
        </w:tc>
      </w:tr>
      <w:tr w:rsidR="0090182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right w:val="nil"/>
            </w:tcBorders>
          </w:tcPr>
          <w:p w:rsidR="0090182E" w:rsidRDefault="0090182E">
            <w:pPr>
              <w:pStyle w:val="Custom2"/>
            </w:pPr>
            <w:r>
              <w:t>Procedure</w:t>
            </w:r>
          </w:p>
        </w:tc>
        <w:tc>
          <w:tcPr>
            <w:tcW w:w="8568" w:type="dxa"/>
            <w:tcBorders>
              <w:top w:val="nil"/>
              <w:left w:val="nil"/>
              <w:bottom w:val="nil"/>
              <w:right w:val="nil"/>
            </w:tcBorders>
          </w:tcPr>
          <w:p w:rsidR="0090182E" w:rsidRDefault="0090182E">
            <w:pPr>
              <w:tabs>
                <w:tab w:val="left" w:pos="3382"/>
              </w:tabs>
              <w:rPr>
                <w:rFonts w:cs="Arial"/>
              </w:rPr>
            </w:pPr>
          </w:p>
        </w:tc>
      </w:tr>
      <w:tr w:rsidR="0090182E">
        <w:trPr>
          <w:trHeight w:val="383"/>
        </w:trPr>
        <w:tc>
          <w:tcPr>
            <w:tcW w:w="1800" w:type="dxa"/>
            <w:tcBorders>
              <w:top w:val="nil"/>
              <w:left w:val="nil"/>
              <w:bottom w:val="nil"/>
              <w:right w:val="nil"/>
            </w:tcBorders>
          </w:tcPr>
          <w:p w:rsidR="0090182E" w:rsidRDefault="0090182E">
            <w:pPr>
              <w:pStyle w:val="Custom2"/>
            </w:pPr>
            <w:r>
              <w:t>Training</w:t>
            </w:r>
          </w:p>
          <w:p w:rsidR="0090182E" w:rsidRDefault="00494343">
            <w:pPr>
              <w:pStyle w:val="Custom2"/>
            </w:pPr>
            <w:r>
              <w:t>and</w:t>
            </w:r>
          </w:p>
          <w:p w:rsidR="0090182E" w:rsidRDefault="0090182E">
            <w:pPr>
              <w:pStyle w:val="Custom2"/>
            </w:pPr>
            <w:r>
              <w:t>Competency</w:t>
            </w:r>
          </w:p>
        </w:tc>
        <w:tc>
          <w:tcPr>
            <w:tcW w:w="8568" w:type="dxa"/>
            <w:tcBorders>
              <w:top w:val="single" w:sz="4" w:space="0" w:color="auto"/>
              <w:left w:val="nil"/>
              <w:bottom w:val="single" w:sz="4" w:space="0" w:color="auto"/>
              <w:right w:val="nil"/>
            </w:tcBorders>
          </w:tcPr>
          <w:p w:rsidR="0090182E" w:rsidRDefault="0090182E">
            <w:pPr>
              <w:numPr>
                <w:ilvl w:val="0"/>
                <w:numId w:val="24"/>
              </w:numPr>
              <w:jc w:val="left"/>
              <w:rPr>
                <w:rFonts w:cs="Arial"/>
              </w:rPr>
            </w:pPr>
            <w:r>
              <w:rPr>
                <w:rFonts w:cs="Arial"/>
              </w:rPr>
              <w:t xml:space="preserve">Federal regulations require that anyone who packages and ships a potentially dangerous material receive documented packaging and shipping training from an approved training provider at least every three years, or whenever the regulations have been revised.  </w:t>
            </w:r>
          </w:p>
          <w:p w:rsidR="0090182E" w:rsidRDefault="0090182E">
            <w:pPr>
              <w:numPr>
                <w:ilvl w:val="0"/>
                <w:numId w:val="24"/>
              </w:numPr>
              <w:jc w:val="left"/>
              <w:rPr>
                <w:rFonts w:cs="Arial"/>
              </w:rPr>
            </w:pPr>
            <w:r>
              <w:rPr>
                <w:rFonts w:cs="Arial"/>
              </w:rPr>
              <w:t xml:space="preserve">The Children’s Hospitals and Clinics of Minnesota Microbiology staff and all send-out staff are required to successfully complete </w:t>
            </w:r>
            <w:r w:rsidR="00D166C8">
              <w:rPr>
                <w:rFonts w:cs="Arial"/>
              </w:rPr>
              <w:t>the MML Transporting Dangerous G</w:t>
            </w:r>
            <w:r>
              <w:rPr>
                <w:rFonts w:cs="Arial"/>
              </w:rPr>
              <w:t>oods online training every two years.</w:t>
            </w:r>
          </w:p>
        </w:tc>
      </w:tr>
      <w:tr w:rsidR="0090182E">
        <w:trPr>
          <w:trHeight w:val="449"/>
        </w:trPr>
        <w:tc>
          <w:tcPr>
            <w:tcW w:w="1800" w:type="dxa"/>
            <w:tcBorders>
              <w:top w:val="nil"/>
              <w:left w:val="nil"/>
              <w:bottom w:val="nil"/>
              <w:right w:val="nil"/>
            </w:tcBorders>
          </w:tcPr>
          <w:p w:rsidR="00A05256" w:rsidRDefault="0090182E">
            <w:pPr>
              <w:pStyle w:val="Custom2"/>
            </w:pPr>
            <w:r>
              <w:t>Intra-Campus Shipping</w:t>
            </w:r>
          </w:p>
        </w:tc>
        <w:tc>
          <w:tcPr>
            <w:tcW w:w="8568" w:type="dxa"/>
            <w:tcBorders>
              <w:top w:val="single" w:sz="4" w:space="0" w:color="auto"/>
              <w:left w:val="nil"/>
              <w:bottom w:val="single" w:sz="4" w:space="0" w:color="auto"/>
              <w:right w:val="nil"/>
            </w:tcBorders>
          </w:tcPr>
          <w:p w:rsidR="0090182E" w:rsidRDefault="0090182E">
            <w:pPr>
              <w:pStyle w:val="TableText"/>
              <w:autoSpaceDE/>
              <w:autoSpaceDN/>
              <w:rPr>
                <w:rFonts w:cs="Arial"/>
              </w:rPr>
            </w:pPr>
          </w:p>
          <w:p w:rsidR="005C11EE" w:rsidRDefault="005C11EE">
            <w:pPr>
              <w:pStyle w:val="TableText"/>
              <w:autoSpaceDE/>
              <w:autoSpaceDN/>
              <w:rPr>
                <w:rFonts w:cs="Arial"/>
              </w:rPr>
            </w:pPr>
          </w:p>
          <w:p w:rsidR="005C11EE" w:rsidRDefault="005C11EE">
            <w:pPr>
              <w:pStyle w:val="TableText"/>
              <w:autoSpaceDE/>
              <w:autoSpaceDN/>
              <w:rPr>
                <w:rFonts w:cs="Arial"/>
              </w:rPr>
            </w:pPr>
          </w:p>
        </w:tc>
      </w:tr>
      <w:tr w:rsidR="0090182E">
        <w:trPr>
          <w:trHeight w:val="2132"/>
        </w:trPr>
        <w:tc>
          <w:tcPr>
            <w:tcW w:w="1800" w:type="dxa"/>
            <w:tcBorders>
              <w:top w:val="nil"/>
              <w:left w:val="nil"/>
              <w:bottom w:val="nil"/>
              <w:right w:val="nil"/>
            </w:tcBorders>
          </w:tcPr>
          <w:p w:rsidR="0090182E" w:rsidRPr="005C11EE" w:rsidRDefault="00A05256" w:rsidP="005C11EE">
            <w:pPr>
              <w:pStyle w:val="Custom2"/>
              <w:numPr>
                <w:ilvl w:val="0"/>
                <w:numId w:val="48"/>
              </w:numPr>
              <w:ind w:left="90" w:hanging="180"/>
              <w:rPr>
                <w:szCs w:val="20"/>
              </w:rPr>
            </w:pPr>
            <w:r w:rsidRPr="005C11EE">
              <w:rPr>
                <w:szCs w:val="20"/>
              </w:rPr>
              <w:t>Cooler transport</w:t>
            </w:r>
          </w:p>
          <w:p w:rsidR="00A05256" w:rsidRDefault="00A05256" w:rsidP="00A05256">
            <w:pPr>
              <w:pStyle w:val="Custom2"/>
            </w:pPr>
          </w:p>
          <w:p w:rsidR="005C11EE" w:rsidRPr="005C11EE" w:rsidRDefault="005C11EE" w:rsidP="005C11EE">
            <w:pPr>
              <w:pStyle w:val="Custom2"/>
              <w:rPr>
                <w:sz w:val="16"/>
                <w:szCs w:val="16"/>
              </w:rPr>
            </w:pPr>
            <w:r w:rsidRPr="005C11EE">
              <w:rPr>
                <w:sz w:val="16"/>
                <w:szCs w:val="16"/>
              </w:rPr>
              <w:t>Diagnostic                    Specimens</w:t>
            </w:r>
          </w:p>
          <w:p w:rsidR="005C11EE" w:rsidRDefault="005C11EE" w:rsidP="00A05256">
            <w:pPr>
              <w:pStyle w:val="Custom2"/>
            </w:pPr>
          </w:p>
          <w:p w:rsidR="0090182E" w:rsidRDefault="0090182E">
            <w:pPr>
              <w:pStyle w:val="Custom2"/>
              <w:jc w:val="right"/>
            </w:pPr>
          </w:p>
          <w:p w:rsidR="0090182E" w:rsidRDefault="0090182E">
            <w:pPr>
              <w:pStyle w:val="Custom2"/>
              <w:jc w:val="right"/>
            </w:pPr>
          </w:p>
          <w:p w:rsidR="0090182E" w:rsidRDefault="0090182E">
            <w:pPr>
              <w:pStyle w:val="Custom2"/>
              <w:jc w:val="right"/>
            </w:pPr>
          </w:p>
          <w:p w:rsidR="0090182E" w:rsidRDefault="0090182E">
            <w:pPr>
              <w:pStyle w:val="Custom2"/>
              <w:jc w:val="right"/>
            </w:pPr>
          </w:p>
          <w:p w:rsidR="0090182E" w:rsidRDefault="0090182E">
            <w:pPr>
              <w:pStyle w:val="Custom2"/>
              <w:jc w:val="right"/>
            </w:pPr>
          </w:p>
          <w:p w:rsidR="00A05256" w:rsidRDefault="00A05256" w:rsidP="00A05256">
            <w:pPr>
              <w:pStyle w:val="Custom2"/>
            </w:pPr>
          </w:p>
          <w:p w:rsidR="005C11EE" w:rsidRDefault="005C11EE" w:rsidP="00A05256">
            <w:pPr>
              <w:pStyle w:val="Custom2"/>
            </w:pPr>
          </w:p>
          <w:p w:rsidR="00A05256" w:rsidRDefault="00A05256" w:rsidP="00A05256">
            <w:pPr>
              <w:pStyle w:val="Custom2"/>
            </w:pPr>
          </w:p>
          <w:p w:rsidR="0090182E" w:rsidRPr="005C11EE" w:rsidRDefault="005C11EE" w:rsidP="005C11EE">
            <w:pPr>
              <w:pStyle w:val="Custom2"/>
              <w:numPr>
                <w:ilvl w:val="0"/>
                <w:numId w:val="47"/>
              </w:numPr>
              <w:ind w:left="0" w:hanging="180"/>
              <w:rPr>
                <w:szCs w:val="20"/>
              </w:rPr>
            </w:pPr>
            <w:r w:rsidRPr="005C11EE">
              <w:rPr>
                <w:szCs w:val="20"/>
              </w:rPr>
              <w:t xml:space="preserve">Gray Box </w:t>
            </w:r>
            <w:r w:rsidR="00A05256" w:rsidRPr="005C11EE">
              <w:rPr>
                <w:szCs w:val="20"/>
              </w:rPr>
              <w:t>Transport</w:t>
            </w:r>
          </w:p>
          <w:p w:rsidR="00A05256" w:rsidRDefault="00A05256" w:rsidP="00A05256">
            <w:pPr>
              <w:pStyle w:val="Custom2"/>
            </w:pPr>
          </w:p>
          <w:p w:rsidR="0090182E" w:rsidRPr="005C11EE" w:rsidRDefault="0090182E" w:rsidP="005C11EE">
            <w:pPr>
              <w:pStyle w:val="Custom2"/>
              <w:rPr>
                <w:sz w:val="16"/>
                <w:szCs w:val="16"/>
              </w:rPr>
            </w:pPr>
            <w:r w:rsidRPr="005C11EE">
              <w:rPr>
                <w:sz w:val="16"/>
                <w:szCs w:val="16"/>
              </w:rPr>
              <w:t>Plated/Tube Bacteriology  Cultures</w:t>
            </w:r>
          </w:p>
          <w:p w:rsidR="00A05256" w:rsidRDefault="00A05256">
            <w:pPr>
              <w:pStyle w:val="Custom2"/>
              <w:jc w:val="right"/>
            </w:pPr>
          </w:p>
          <w:p w:rsidR="005C11EE" w:rsidRDefault="0090182E" w:rsidP="005C11EE">
            <w:pPr>
              <w:pStyle w:val="Custom2"/>
              <w:rPr>
                <w:sz w:val="16"/>
                <w:szCs w:val="16"/>
              </w:rPr>
            </w:pPr>
            <w:r w:rsidRPr="005C11EE">
              <w:rPr>
                <w:sz w:val="16"/>
                <w:szCs w:val="16"/>
              </w:rPr>
              <w:t>Biolo</w:t>
            </w:r>
            <w:r w:rsidR="005C11EE">
              <w:rPr>
                <w:sz w:val="16"/>
                <w:szCs w:val="16"/>
              </w:rPr>
              <w:t>gical S</w:t>
            </w:r>
            <w:r w:rsidRPr="005C11EE">
              <w:rPr>
                <w:sz w:val="16"/>
                <w:szCs w:val="16"/>
              </w:rPr>
              <w:t xml:space="preserve">ubstance </w:t>
            </w:r>
          </w:p>
          <w:p w:rsidR="0090182E" w:rsidRPr="005C11EE" w:rsidRDefault="0090182E" w:rsidP="005C11EE">
            <w:pPr>
              <w:pStyle w:val="Custom2"/>
              <w:rPr>
                <w:sz w:val="16"/>
                <w:szCs w:val="16"/>
              </w:rPr>
            </w:pPr>
            <w:r w:rsidRPr="005C11EE">
              <w:rPr>
                <w:sz w:val="16"/>
                <w:szCs w:val="16"/>
              </w:rPr>
              <w:t>Category B</w:t>
            </w:r>
          </w:p>
          <w:p w:rsidR="0090182E" w:rsidRPr="005C11EE" w:rsidRDefault="0090182E" w:rsidP="005C11EE">
            <w:pPr>
              <w:pStyle w:val="Custom2"/>
              <w:rPr>
                <w:sz w:val="16"/>
                <w:szCs w:val="16"/>
              </w:rPr>
            </w:pPr>
            <w:r w:rsidRPr="005C11EE">
              <w:rPr>
                <w:sz w:val="16"/>
                <w:szCs w:val="16"/>
              </w:rPr>
              <w:t>UN 3373</w:t>
            </w:r>
          </w:p>
          <w:p w:rsidR="0090182E" w:rsidRDefault="0090182E">
            <w:pPr>
              <w:pStyle w:val="Custom2"/>
              <w:jc w:val="right"/>
            </w:pPr>
          </w:p>
          <w:p w:rsidR="0090182E" w:rsidRDefault="0090182E">
            <w:pPr>
              <w:pStyle w:val="Custom2"/>
              <w:jc w:val="right"/>
            </w:pPr>
          </w:p>
        </w:tc>
        <w:tc>
          <w:tcPr>
            <w:tcW w:w="8568" w:type="dxa"/>
            <w:tcBorders>
              <w:top w:val="single" w:sz="4" w:space="0" w:color="auto"/>
              <w:left w:val="nil"/>
              <w:bottom w:val="single" w:sz="4" w:space="0" w:color="auto"/>
              <w:right w:val="nil"/>
            </w:tcBorders>
          </w:tcPr>
          <w:p w:rsidR="0090182E" w:rsidRDefault="0090182E">
            <w:pPr>
              <w:rPr>
                <w:rFonts w:cs="Arial"/>
              </w:rPr>
            </w:pPr>
            <w:r>
              <w:rPr>
                <w:rFonts w:cs="Arial"/>
                <w:b/>
                <w:bCs/>
              </w:rPr>
              <w:t>Diagnostic specimens</w:t>
            </w:r>
            <w:r>
              <w:rPr>
                <w:rFonts w:cs="Arial"/>
              </w:rPr>
              <w:t xml:space="preserve"> are patient specimens that are directly collected, including, but not limited to, excreta, secreta, blood and its components, tissue and tissue fluid swabs, transported for purposes such as research, diagnosis, investigational activities, disease treatment and prevention and shipped before amplification or propagation by culture techniques.  A diagnostic specimen may consist of a patient swab in culture transport system, swab in viral transport media, and body fluid specimens in sterile containers, fecal specimens in preservative or in a sterile container.</w:t>
            </w:r>
          </w:p>
          <w:p w:rsidR="0090182E" w:rsidRDefault="0090182E">
            <w:pPr>
              <w:rPr>
                <w:rFonts w:cs="Arial"/>
              </w:rPr>
            </w:pPr>
          </w:p>
          <w:p w:rsidR="0090182E" w:rsidRDefault="0090182E">
            <w:pPr>
              <w:pStyle w:val="List"/>
              <w:numPr>
                <w:ilvl w:val="0"/>
                <w:numId w:val="30"/>
              </w:numPr>
              <w:rPr>
                <w:rFonts w:cs="Arial"/>
              </w:rPr>
            </w:pPr>
            <w:r>
              <w:rPr>
                <w:rFonts w:cs="Arial"/>
              </w:rPr>
              <w:t xml:space="preserve">All diagnostic specimens require triple packaging for shipment:  </w:t>
            </w:r>
          </w:p>
          <w:p w:rsidR="0090182E" w:rsidRDefault="0090182E">
            <w:pPr>
              <w:pStyle w:val="List"/>
              <w:numPr>
                <w:ilvl w:val="1"/>
                <w:numId w:val="30"/>
              </w:numPr>
              <w:rPr>
                <w:rFonts w:cs="Arial"/>
              </w:rPr>
            </w:pPr>
            <w:r>
              <w:rPr>
                <w:rFonts w:cs="Arial"/>
              </w:rPr>
              <w:t>Primary receptacle—the specimen container.</w:t>
            </w:r>
          </w:p>
          <w:p w:rsidR="0090182E" w:rsidRDefault="0090182E">
            <w:pPr>
              <w:pStyle w:val="List"/>
              <w:numPr>
                <w:ilvl w:val="1"/>
                <w:numId w:val="30"/>
              </w:numPr>
              <w:rPr>
                <w:rFonts w:cs="Arial"/>
              </w:rPr>
            </w:pPr>
            <w:r>
              <w:rPr>
                <w:rFonts w:cs="Arial"/>
              </w:rPr>
              <w:t>Secondary packaging—the biohazard bag and absorbent DRIMOP.</w:t>
            </w:r>
          </w:p>
          <w:p w:rsidR="0090182E" w:rsidRDefault="0090182E">
            <w:pPr>
              <w:pStyle w:val="List"/>
              <w:numPr>
                <w:ilvl w:val="1"/>
                <w:numId w:val="30"/>
              </w:numPr>
              <w:rPr>
                <w:rFonts w:cs="Arial"/>
              </w:rPr>
            </w:pPr>
            <w:r>
              <w:rPr>
                <w:rFonts w:cs="Arial"/>
              </w:rPr>
              <w:t>Rigid outer packaging—the cooler.</w:t>
            </w:r>
          </w:p>
          <w:p w:rsidR="0090182E" w:rsidRDefault="0090182E">
            <w:pPr>
              <w:pStyle w:val="List"/>
              <w:numPr>
                <w:ilvl w:val="0"/>
                <w:numId w:val="30"/>
              </w:numPr>
              <w:rPr>
                <w:rFonts w:cs="Arial"/>
              </w:rPr>
            </w:pPr>
            <w:r>
              <w:rPr>
                <w:rFonts w:cs="Arial"/>
              </w:rPr>
              <w:t>Tracking sheets to document the transport of specimens must be included.</w:t>
            </w:r>
          </w:p>
          <w:p w:rsidR="0090182E" w:rsidRDefault="0090182E">
            <w:pPr>
              <w:pStyle w:val="List"/>
              <w:ind w:left="0" w:firstLine="0"/>
              <w:rPr>
                <w:rFonts w:cs="Arial"/>
              </w:rPr>
            </w:pPr>
          </w:p>
          <w:p w:rsidR="0090182E" w:rsidRDefault="0090182E">
            <w:pPr>
              <w:pStyle w:val="List"/>
              <w:ind w:left="0" w:firstLine="0"/>
              <w:rPr>
                <w:rFonts w:cs="Arial"/>
              </w:rPr>
            </w:pPr>
            <w:r>
              <w:rPr>
                <w:rFonts w:cs="Arial"/>
                <w:b/>
                <w:bCs/>
              </w:rPr>
              <w:t>Cultures</w:t>
            </w:r>
            <w:r>
              <w:rPr>
                <w:rFonts w:cs="Arial"/>
              </w:rPr>
              <w:t xml:space="preserve"> are the result of a process by which pathogens are </w:t>
            </w:r>
            <w:r>
              <w:rPr>
                <w:rFonts w:cs="Arial"/>
                <w:u w:val="single"/>
              </w:rPr>
              <w:t>intentionally</w:t>
            </w:r>
            <w:r>
              <w:rPr>
                <w:rFonts w:cs="Arial"/>
              </w:rPr>
              <w:t xml:space="preserve"> propagated in order to generate high concentrations.  As such, the risk of infection is increased if exposure occurs.  </w:t>
            </w:r>
          </w:p>
          <w:p w:rsidR="0090182E" w:rsidRDefault="0090182E">
            <w:pPr>
              <w:pStyle w:val="List"/>
              <w:ind w:left="0" w:firstLine="0"/>
              <w:rPr>
                <w:rFonts w:cs="Arial"/>
              </w:rPr>
            </w:pPr>
          </w:p>
          <w:p w:rsidR="0090182E" w:rsidRDefault="0090182E">
            <w:pPr>
              <w:pStyle w:val="List"/>
              <w:ind w:left="0" w:firstLine="0"/>
              <w:rPr>
                <w:rFonts w:cs="Arial"/>
              </w:rPr>
            </w:pPr>
            <w:r>
              <w:rPr>
                <w:rFonts w:cs="Arial"/>
              </w:rPr>
              <w:t xml:space="preserve">Patient culture plates can be classified as </w:t>
            </w:r>
            <w:r w:rsidRPr="005C11EE">
              <w:rPr>
                <w:rFonts w:cs="Arial"/>
                <w:b/>
              </w:rPr>
              <w:t>Biologic substance --Category B UN3373</w:t>
            </w:r>
            <w:r>
              <w:rPr>
                <w:rFonts w:cs="Arial"/>
              </w:rPr>
              <w:t>.</w:t>
            </w:r>
          </w:p>
          <w:p w:rsidR="0090182E" w:rsidRDefault="0090182E">
            <w:pPr>
              <w:pStyle w:val="List"/>
              <w:ind w:left="0" w:firstLine="0"/>
              <w:rPr>
                <w:rFonts w:cs="Arial"/>
              </w:rPr>
            </w:pPr>
          </w:p>
          <w:p w:rsidR="0090182E" w:rsidRDefault="0090182E">
            <w:pPr>
              <w:pStyle w:val="List"/>
              <w:ind w:left="720" w:firstLine="0"/>
              <w:rPr>
                <w:rFonts w:cs="Arial"/>
              </w:rPr>
            </w:pPr>
            <w:r>
              <w:rPr>
                <w:rFonts w:cs="Arial"/>
              </w:rPr>
              <w:t xml:space="preserve">1.  All culture specimens require triple packaging for shipment:  </w:t>
            </w:r>
          </w:p>
          <w:p w:rsidR="0090182E" w:rsidRDefault="0090182E">
            <w:pPr>
              <w:pStyle w:val="List"/>
              <w:numPr>
                <w:ilvl w:val="1"/>
                <w:numId w:val="30"/>
              </w:numPr>
              <w:rPr>
                <w:rFonts w:cs="Arial"/>
              </w:rPr>
            </w:pPr>
            <w:r>
              <w:rPr>
                <w:rFonts w:cs="Arial"/>
                <w:b/>
              </w:rPr>
              <w:t>If</w:t>
            </w:r>
            <w:r>
              <w:rPr>
                <w:rFonts w:cs="Arial"/>
              </w:rPr>
              <w:t xml:space="preserve"> the primary receptacle is —the Petri plate</w:t>
            </w:r>
          </w:p>
          <w:p w:rsidR="0090182E" w:rsidRDefault="0090182E">
            <w:pPr>
              <w:pStyle w:val="List"/>
              <w:numPr>
                <w:ilvl w:val="2"/>
                <w:numId w:val="30"/>
              </w:numPr>
              <w:rPr>
                <w:rFonts w:cs="Arial"/>
              </w:rPr>
            </w:pPr>
            <w:r>
              <w:rPr>
                <w:rFonts w:cs="Arial"/>
                <w:b/>
              </w:rPr>
              <w:t>Then</w:t>
            </w:r>
            <w:r>
              <w:rPr>
                <w:rFonts w:cs="Arial"/>
              </w:rPr>
              <w:t xml:space="preserve"> the secondary packaging is —metal Petri plate can with cover.  </w:t>
            </w:r>
            <w:r>
              <w:rPr>
                <w:rFonts w:cs="Arial"/>
                <w:b/>
              </w:rPr>
              <w:t>If</w:t>
            </w:r>
            <w:r>
              <w:rPr>
                <w:rFonts w:cs="Arial"/>
              </w:rPr>
              <w:t xml:space="preserve"> there is empty space above the plates </w:t>
            </w:r>
            <w:r>
              <w:rPr>
                <w:rFonts w:cs="Arial"/>
                <w:b/>
              </w:rPr>
              <w:t>use</w:t>
            </w:r>
            <w:r>
              <w:rPr>
                <w:rFonts w:cs="Arial"/>
              </w:rPr>
              <w:t xml:space="preserve"> enough fill material (paper towel) above the top plate to keep cultures from shifting position during transport.</w:t>
            </w:r>
          </w:p>
          <w:p w:rsidR="0090182E" w:rsidRDefault="0090182E">
            <w:pPr>
              <w:pStyle w:val="List"/>
              <w:numPr>
                <w:ilvl w:val="1"/>
                <w:numId w:val="30"/>
              </w:numPr>
              <w:rPr>
                <w:rFonts w:cs="Arial"/>
              </w:rPr>
            </w:pPr>
            <w:r>
              <w:rPr>
                <w:rFonts w:cs="Arial"/>
                <w:b/>
              </w:rPr>
              <w:lastRenderedPageBreak/>
              <w:t>If</w:t>
            </w:r>
            <w:r>
              <w:rPr>
                <w:rFonts w:cs="Arial"/>
              </w:rPr>
              <w:t xml:space="preserve"> the primary receptacle is—a THIO, SEL or GN</w:t>
            </w:r>
            <w:r w:rsidR="004D7330">
              <w:rPr>
                <w:rFonts w:cs="Arial"/>
              </w:rPr>
              <w:t>. Place</w:t>
            </w:r>
            <w:r>
              <w:rPr>
                <w:rFonts w:cs="Arial"/>
              </w:rPr>
              <w:t xml:space="preserve"> tube</w:t>
            </w:r>
            <w:r w:rsidR="004D7330">
              <w:rPr>
                <w:rFonts w:cs="Arial"/>
              </w:rPr>
              <w:t>s in a rack (tubes must be rubber banded together so they do not break in transport).</w:t>
            </w:r>
          </w:p>
          <w:p w:rsidR="0090182E" w:rsidRDefault="0090182E">
            <w:pPr>
              <w:pStyle w:val="List"/>
              <w:numPr>
                <w:ilvl w:val="2"/>
                <w:numId w:val="30"/>
              </w:numPr>
              <w:rPr>
                <w:rFonts w:cs="Arial"/>
              </w:rPr>
            </w:pPr>
            <w:r>
              <w:rPr>
                <w:rFonts w:cs="Arial"/>
                <w:b/>
              </w:rPr>
              <w:t>Then</w:t>
            </w:r>
            <w:r>
              <w:rPr>
                <w:rFonts w:cs="Arial"/>
              </w:rPr>
              <w:t xml:space="preserve"> the secondary pack</w:t>
            </w:r>
            <w:r w:rsidR="004D7330">
              <w:rPr>
                <w:rFonts w:cs="Arial"/>
              </w:rPr>
              <w:t xml:space="preserve">aging is the plastic bag, the grey box liner, a leak proof barrier. </w:t>
            </w:r>
          </w:p>
          <w:p w:rsidR="004D7330" w:rsidRDefault="004D7330" w:rsidP="004D7330">
            <w:pPr>
              <w:pStyle w:val="List"/>
              <w:numPr>
                <w:ilvl w:val="2"/>
                <w:numId w:val="30"/>
              </w:numPr>
              <w:rPr>
                <w:rFonts w:cs="Arial"/>
              </w:rPr>
            </w:pPr>
            <w:r>
              <w:rPr>
                <w:rFonts w:cs="Arial"/>
              </w:rPr>
              <w:t xml:space="preserve">The bottom of the bag </w:t>
            </w:r>
            <w:r>
              <w:rPr>
                <w:rFonts w:cs="Arial"/>
                <w:u w:val="single"/>
              </w:rPr>
              <w:t>must</w:t>
            </w:r>
            <w:r>
              <w:rPr>
                <w:rFonts w:cs="Arial"/>
              </w:rPr>
              <w:t xml:space="preserve"> contain enough absorbent material (DRIMOP) to soak up the entire contents of the gray box in case of a spill.</w:t>
            </w:r>
          </w:p>
          <w:p w:rsidR="004D7330" w:rsidRPr="004D7330" w:rsidRDefault="004D7330" w:rsidP="004D7330">
            <w:pPr>
              <w:pStyle w:val="List"/>
              <w:numPr>
                <w:ilvl w:val="2"/>
                <w:numId w:val="30"/>
              </w:numPr>
              <w:rPr>
                <w:rFonts w:cs="Arial"/>
              </w:rPr>
            </w:pPr>
            <w:r>
              <w:rPr>
                <w:rFonts w:cs="Arial"/>
              </w:rPr>
              <w:t xml:space="preserve">The bag </w:t>
            </w:r>
            <w:r>
              <w:rPr>
                <w:rFonts w:cs="Arial"/>
                <w:u w:val="single"/>
              </w:rPr>
              <w:t xml:space="preserve">must </w:t>
            </w:r>
            <w:r>
              <w:rPr>
                <w:rFonts w:cs="Arial"/>
              </w:rPr>
              <w:t>be closed securely.</w:t>
            </w:r>
          </w:p>
          <w:p w:rsidR="0090182E" w:rsidRDefault="0090182E">
            <w:pPr>
              <w:pStyle w:val="List"/>
              <w:numPr>
                <w:ilvl w:val="1"/>
                <w:numId w:val="30"/>
              </w:numPr>
              <w:rPr>
                <w:rFonts w:cs="Arial"/>
              </w:rPr>
            </w:pPr>
            <w:r>
              <w:rPr>
                <w:rFonts w:cs="Arial"/>
              </w:rPr>
              <w:t>Gram stain slides should be sent in a slide box, which is closed securely.</w:t>
            </w:r>
          </w:p>
          <w:p w:rsidR="0090182E" w:rsidRDefault="0090182E">
            <w:pPr>
              <w:pStyle w:val="List"/>
              <w:numPr>
                <w:ilvl w:val="1"/>
                <w:numId w:val="30"/>
              </w:numPr>
              <w:rPr>
                <w:rFonts w:cs="Arial"/>
              </w:rPr>
            </w:pPr>
            <w:r>
              <w:rPr>
                <w:rFonts w:cs="Arial"/>
              </w:rPr>
              <w:t>Rigid outer packaging—the gray box.</w:t>
            </w:r>
          </w:p>
          <w:p w:rsidR="00D166C8" w:rsidRDefault="00D166C8" w:rsidP="00A05256">
            <w:pPr>
              <w:pStyle w:val="List"/>
              <w:ind w:left="1440" w:firstLine="0"/>
              <w:rPr>
                <w:rFonts w:cs="Arial"/>
              </w:rPr>
            </w:pPr>
          </w:p>
          <w:p w:rsidR="0090182E" w:rsidRDefault="0090182E">
            <w:pPr>
              <w:pStyle w:val="List"/>
              <w:ind w:left="720" w:firstLine="0"/>
              <w:rPr>
                <w:rFonts w:cs="Arial"/>
              </w:rPr>
            </w:pPr>
            <w:r>
              <w:rPr>
                <w:rFonts w:cs="Arial"/>
              </w:rPr>
              <w:t>2.  Tracking sheets to document the transport of specimens must be included.</w:t>
            </w:r>
          </w:p>
        </w:tc>
      </w:tr>
      <w:tr w:rsidR="0090182E">
        <w:trPr>
          <w:trHeight w:val="359"/>
        </w:trPr>
        <w:tc>
          <w:tcPr>
            <w:tcW w:w="1800" w:type="dxa"/>
            <w:tcBorders>
              <w:top w:val="nil"/>
              <w:left w:val="nil"/>
              <w:bottom w:val="nil"/>
              <w:right w:val="nil"/>
            </w:tcBorders>
          </w:tcPr>
          <w:p w:rsidR="0090182E" w:rsidRDefault="0090182E" w:rsidP="00E813F7">
            <w:pPr>
              <w:pStyle w:val="Custom2"/>
              <w:tabs>
                <w:tab w:val="left" w:pos="202"/>
              </w:tabs>
            </w:pPr>
            <w:r>
              <w:lastRenderedPageBreak/>
              <w:t>MDH Shipping</w:t>
            </w:r>
          </w:p>
        </w:tc>
        <w:tc>
          <w:tcPr>
            <w:tcW w:w="8568" w:type="dxa"/>
            <w:tcBorders>
              <w:top w:val="single" w:sz="4" w:space="0" w:color="auto"/>
              <w:left w:val="nil"/>
              <w:bottom w:val="single" w:sz="4" w:space="0" w:color="auto"/>
              <w:right w:val="nil"/>
            </w:tcBorders>
          </w:tcPr>
          <w:p w:rsidR="0090182E" w:rsidRDefault="0090182E">
            <w:pPr>
              <w:rPr>
                <w:rFonts w:cs="Arial"/>
              </w:rPr>
            </w:pPr>
          </w:p>
        </w:tc>
      </w:tr>
      <w:tr w:rsidR="0090182E">
        <w:trPr>
          <w:trHeight w:val="2492"/>
        </w:trPr>
        <w:tc>
          <w:tcPr>
            <w:tcW w:w="1800" w:type="dxa"/>
            <w:tcBorders>
              <w:top w:val="nil"/>
              <w:left w:val="nil"/>
              <w:bottom w:val="nil"/>
              <w:right w:val="nil"/>
            </w:tcBorders>
          </w:tcPr>
          <w:p w:rsidR="0090182E" w:rsidRDefault="0090182E">
            <w:pPr>
              <w:pStyle w:val="Custom2"/>
            </w:pPr>
          </w:p>
          <w:p w:rsidR="0090182E" w:rsidRDefault="0090182E">
            <w:pPr>
              <w:pStyle w:val="Custom2"/>
            </w:pPr>
          </w:p>
          <w:p w:rsidR="0090182E" w:rsidRDefault="0090182E">
            <w:pPr>
              <w:pStyle w:val="Custom2"/>
            </w:pPr>
          </w:p>
          <w:p w:rsidR="0090182E" w:rsidRDefault="0090182E">
            <w:pPr>
              <w:pStyle w:val="Custom2"/>
            </w:pPr>
          </w:p>
          <w:p w:rsidR="0090182E" w:rsidRDefault="0090182E">
            <w:pPr>
              <w:pStyle w:val="Custom2"/>
              <w:jc w:val="right"/>
            </w:pPr>
          </w:p>
        </w:tc>
        <w:tc>
          <w:tcPr>
            <w:tcW w:w="8568" w:type="dxa"/>
            <w:tcBorders>
              <w:top w:val="single" w:sz="4" w:space="0" w:color="auto"/>
              <w:left w:val="nil"/>
              <w:bottom w:val="single" w:sz="4" w:space="0" w:color="auto"/>
              <w:right w:val="nil"/>
            </w:tcBorders>
          </w:tcPr>
          <w:p w:rsidR="0090182E" w:rsidRDefault="0090182E">
            <w:pPr>
              <w:jc w:val="left"/>
              <w:rPr>
                <w:bCs/>
              </w:rPr>
            </w:pPr>
            <w:r>
              <w:rPr>
                <w:bCs/>
              </w:rPr>
              <w:t xml:space="preserve">MDH shipments must be packaged in the </w:t>
            </w:r>
            <w:r w:rsidRPr="00E813F7">
              <w:rPr>
                <w:b/>
                <w:bCs/>
              </w:rPr>
              <w:t>Category B, Biological UN3373</w:t>
            </w:r>
            <w:r>
              <w:rPr>
                <w:bCs/>
              </w:rPr>
              <w:t xml:space="preserve"> containers or the </w:t>
            </w:r>
            <w:r w:rsidRPr="00E813F7">
              <w:rPr>
                <w:b/>
                <w:bCs/>
              </w:rPr>
              <w:t>Category A Infectious UN2814</w:t>
            </w:r>
            <w:r>
              <w:rPr>
                <w:bCs/>
              </w:rPr>
              <w:t xml:space="preserve"> containers.  These are provided by MDH and can be ordered by faxing in the MDH request form.  These include the primary, secondary, rigid outer container and absorbent material and are labeled accordingly.</w:t>
            </w:r>
          </w:p>
          <w:p w:rsidR="005C11EE" w:rsidRDefault="005C11EE">
            <w:pPr>
              <w:jc w:val="left"/>
              <w:rPr>
                <w:bCs/>
              </w:rPr>
            </w:pPr>
          </w:p>
          <w:p w:rsidR="005C11EE" w:rsidRDefault="005C11EE">
            <w:pPr>
              <w:jc w:val="left"/>
              <w:rPr>
                <w:bCs/>
              </w:rPr>
            </w:pPr>
            <w:r w:rsidRPr="005C11EE">
              <w:rPr>
                <w:bCs/>
                <w:u w:val="single"/>
              </w:rPr>
              <w:t xml:space="preserve">It is the responsibility of the lab staff to classify the specimen as </w:t>
            </w:r>
            <w:r w:rsidRPr="005C11EE">
              <w:rPr>
                <w:b/>
                <w:bCs/>
                <w:u w:val="single"/>
              </w:rPr>
              <w:t>Category B</w:t>
            </w:r>
            <w:r w:rsidRPr="005C11EE">
              <w:rPr>
                <w:bCs/>
                <w:u w:val="single"/>
              </w:rPr>
              <w:t xml:space="preserve"> or </w:t>
            </w:r>
            <w:r w:rsidRPr="008D76A7">
              <w:rPr>
                <w:b/>
                <w:bCs/>
                <w:u w:val="single"/>
              </w:rPr>
              <w:t>Category A</w:t>
            </w:r>
            <w:r>
              <w:rPr>
                <w:bCs/>
              </w:rPr>
              <w:t xml:space="preserve"> (see list below)</w:t>
            </w:r>
          </w:p>
          <w:p w:rsidR="00CA273F" w:rsidRDefault="00CA273F">
            <w:pPr>
              <w:jc w:val="left"/>
              <w:rPr>
                <w:bCs/>
              </w:rPr>
            </w:pPr>
            <w:r>
              <w:rPr>
                <w:bCs/>
              </w:rPr>
              <w:t xml:space="preserve">Refer to </w:t>
            </w:r>
            <w:hyperlink r:id="rId7" w:history="1">
              <w:r w:rsidRPr="006C09D8">
                <w:rPr>
                  <w:rStyle w:val="Hyperlink"/>
                  <w:bCs/>
                </w:rPr>
                <w:t>MCVI 3.51 Pack</w:t>
              </w:r>
              <w:r w:rsidR="006C09D8">
                <w:rPr>
                  <w:rStyle w:val="Hyperlink"/>
                  <w:bCs/>
                </w:rPr>
                <w:t>ag</w:t>
              </w:r>
              <w:r w:rsidRPr="006C09D8">
                <w:rPr>
                  <w:rStyle w:val="Hyperlink"/>
                  <w:bCs/>
                </w:rPr>
                <w:t>i</w:t>
              </w:r>
              <w:r w:rsidR="006C09D8" w:rsidRPr="006C09D8">
                <w:rPr>
                  <w:rStyle w:val="Hyperlink"/>
                  <w:bCs/>
                </w:rPr>
                <w:t>ng</w:t>
              </w:r>
              <w:r w:rsidRPr="006C09D8">
                <w:rPr>
                  <w:rStyle w:val="Hyperlink"/>
                  <w:bCs/>
                </w:rPr>
                <w:t xml:space="preserve"> Category B</w:t>
              </w:r>
            </w:hyperlink>
            <w:r>
              <w:rPr>
                <w:bCs/>
              </w:rPr>
              <w:t xml:space="preserve"> and </w:t>
            </w:r>
            <w:hyperlink r:id="rId8" w:history="1">
              <w:r w:rsidR="006C09D8">
                <w:rPr>
                  <w:rStyle w:val="Hyperlink"/>
                  <w:bCs/>
                </w:rPr>
                <w:t>MCVI 3.52 Packaging</w:t>
              </w:r>
              <w:r w:rsidRPr="00CA273F">
                <w:rPr>
                  <w:rStyle w:val="Hyperlink"/>
                  <w:bCs/>
                </w:rPr>
                <w:t xml:space="preserve"> Category A</w:t>
              </w:r>
            </w:hyperlink>
            <w:r w:rsidR="003403B6">
              <w:rPr>
                <w:bCs/>
              </w:rPr>
              <w:t xml:space="preserve"> for detailed  instructions</w:t>
            </w:r>
            <w:r>
              <w:rPr>
                <w:bCs/>
              </w:rPr>
              <w:t xml:space="preserve">. </w:t>
            </w:r>
          </w:p>
          <w:p w:rsidR="005C11EE" w:rsidRDefault="005C11EE">
            <w:pPr>
              <w:jc w:val="left"/>
              <w:rPr>
                <w:bCs/>
              </w:rPr>
            </w:pPr>
          </w:p>
          <w:p w:rsidR="00E813F7" w:rsidRDefault="00E813F7">
            <w:pPr>
              <w:jc w:val="left"/>
              <w:rPr>
                <w:bCs/>
              </w:rPr>
            </w:pPr>
          </w:p>
          <w:p w:rsidR="00A05256" w:rsidRPr="00A05256" w:rsidRDefault="00A05256" w:rsidP="00686B6B">
            <w:pPr>
              <w:pStyle w:val="List"/>
              <w:numPr>
                <w:ilvl w:val="0"/>
                <w:numId w:val="41"/>
              </w:numPr>
              <w:ind w:left="810"/>
              <w:rPr>
                <w:rFonts w:cs="Arial"/>
              </w:rPr>
            </w:pPr>
            <w:r>
              <w:rPr>
                <w:rFonts w:cs="Arial"/>
                <w:b/>
              </w:rPr>
              <w:t>Virology</w:t>
            </w:r>
            <w:r w:rsidR="00686B6B">
              <w:rPr>
                <w:rFonts w:cs="Arial"/>
                <w:b/>
              </w:rPr>
              <w:t xml:space="preserve"> or micro  i</w:t>
            </w:r>
            <w:r w:rsidR="00E813F7">
              <w:rPr>
                <w:rFonts w:cs="Arial"/>
                <w:b/>
              </w:rPr>
              <w:t xml:space="preserve">solates in </w:t>
            </w:r>
            <w:r>
              <w:rPr>
                <w:rFonts w:cs="Arial"/>
                <w:b/>
              </w:rPr>
              <w:t>tubes</w:t>
            </w:r>
          </w:p>
          <w:p w:rsidR="00A05256" w:rsidRDefault="00686B6B" w:rsidP="00E813F7">
            <w:pPr>
              <w:pStyle w:val="List"/>
              <w:numPr>
                <w:ilvl w:val="0"/>
                <w:numId w:val="42"/>
              </w:numPr>
              <w:ind w:left="3600" w:hanging="2430"/>
              <w:rPr>
                <w:rFonts w:cs="Arial"/>
              </w:rPr>
            </w:pPr>
            <w:r>
              <w:rPr>
                <w:rFonts w:cs="Arial"/>
              </w:rPr>
              <w:t>Prima</w:t>
            </w:r>
            <w:r w:rsidR="00D650A0">
              <w:rPr>
                <w:rFonts w:cs="Arial"/>
              </w:rPr>
              <w:t xml:space="preserve">ry </w:t>
            </w:r>
            <w:r w:rsidR="00E813F7">
              <w:rPr>
                <w:rFonts w:cs="Arial"/>
              </w:rPr>
              <w:t xml:space="preserve">receptacle = the patient </w:t>
            </w:r>
            <w:r>
              <w:rPr>
                <w:rFonts w:cs="Arial"/>
              </w:rPr>
              <w:t xml:space="preserve"> culture tube in a biohazard bag</w:t>
            </w:r>
            <w:r w:rsidR="00E813F7">
              <w:rPr>
                <w:rFonts w:cs="Arial"/>
              </w:rPr>
              <w:t xml:space="preserve"> with  absorbent DRIMOP</w:t>
            </w:r>
          </w:p>
          <w:p w:rsidR="00686B6B" w:rsidRDefault="00686B6B" w:rsidP="00686B6B">
            <w:pPr>
              <w:pStyle w:val="List"/>
              <w:numPr>
                <w:ilvl w:val="0"/>
                <w:numId w:val="42"/>
              </w:numPr>
              <w:ind w:hanging="990"/>
              <w:rPr>
                <w:rFonts w:cs="Arial"/>
              </w:rPr>
            </w:pPr>
            <w:r>
              <w:rPr>
                <w:rFonts w:cs="Arial"/>
              </w:rPr>
              <w:t xml:space="preserve">The secondary packaging = the plastic can </w:t>
            </w:r>
          </w:p>
          <w:p w:rsidR="00686B6B" w:rsidRDefault="00686B6B" w:rsidP="00686B6B">
            <w:pPr>
              <w:pStyle w:val="List"/>
              <w:numPr>
                <w:ilvl w:val="0"/>
                <w:numId w:val="42"/>
              </w:numPr>
              <w:ind w:hanging="990"/>
              <w:rPr>
                <w:rFonts w:cs="Arial"/>
              </w:rPr>
            </w:pPr>
            <w:r>
              <w:rPr>
                <w:rFonts w:cs="Arial"/>
              </w:rPr>
              <w:t>Rigid outer packaging= cardboard mailing can</w:t>
            </w:r>
          </w:p>
          <w:p w:rsidR="00E813F7" w:rsidRPr="00E813F7" w:rsidRDefault="00E813F7" w:rsidP="00E813F7">
            <w:pPr>
              <w:pStyle w:val="List"/>
              <w:numPr>
                <w:ilvl w:val="0"/>
                <w:numId w:val="41"/>
              </w:numPr>
              <w:ind w:hanging="1260"/>
              <w:rPr>
                <w:rFonts w:cs="Arial"/>
                <w:b/>
              </w:rPr>
            </w:pPr>
            <w:r w:rsidRPr="00E813F7">
              <w:rPr>
                <w:rFonts w:cs="Arial"/>
                <w:b/>
              </w:rPr>
              <w:t>Culture plates</w:t>
            </w:r>
          </w:p>
          <w:p w:rsidR="00E813F7" w:rsidRDefault="00E813F7" w:rsidP="00E813F7">
            <w:pPr>
              <w:pStyle w:val="List"/>
              <w:ind w:left="3600" w:hanging="2430"/>
              <w:rPr>
                <w:rFonts w:cs="Arial"/>
              </w:rPr>
            </w:pPr>
            <w:r>
              <w:rPr>
                <w:rFonts w:cs="Arial"/>
              </w:rPr>
              <w:t>a. Primary receptacle = the Petri dish in a biohazard bag with absorbent DRIMOP</w:t>
            </w:r>
          </w:p>
          <w:p w:rsidR="00E813F7" w:rsidRDefault="00E813F7" w:rsidP="00E813F7">
            <w:pPr>
              <w:pStyle w:val="List"/>
              <w:ind w:left="1530"/>
              <w:rPr>
                <w:rFonts w:cs="Arial"/>
              </w:rPr>
            </w:pPr>
            <w:r>
              <w:rPr>
                <w:rFonts w:cs="Arial"/>
              </w:rPr>
              <w:t>b. The secondary packaging = Tyvek envelope</w:t>
            </w:r>
          </w:p>
          <w:p w:rsidR="00E813F7" w:rsidRDefault="00E813F7" w:rsidP="00E813F7">
            <w:pPr>
              <w:pStyle w:val="List"/>
              <w:ind w:left="1530"/>
              <w:rPr>
                <w:rFonts w:cs="Arial"/>
              </w:rPr>
            </w:pPr>
            <w:r>
              <w:rPr>
                <w:rFonts w:cs="Arial"/>
              </w:rPr>
              <w:t>c. Rigid outer packaging= cardboard mailer</w:t>
            </w:r>
          </w:p>
          <w:p w:rsidR="00E813F7" w:rsidRDefault="00E813F7" w:rsidP="00E813F7">
            <w:pPr>
              <w:pStyle w:val="List"/>
              <w:ind w:left="1800" w:firstLine="0"/>
              <w:rPr>
                <w:rFonts w:cs="Arial"/>
              </w:rPr>
            </w:pPr>
          </w:p>
          <w:p w:rsidR="00A05256" w:rsidRDefault="00A05256" w:rsidP="00A05256">
            <w:pPr>
              <w:jc w:val="left"/>
              <w:rPr>
                <w:bCs/>
              </w:rPr>
            </w:pPr>
          </w:p>
          <w:p w:rsidR="0090182E" w:rsidRDefault="0090182E">
            <w:pPr>
              <w:jc w:val="left"/>
              <w:rPr>
                <w:bCs/>
              </w:rPr>
            </w:pPr>
          </w:p>
          <w:p w:rsidR="0090182E" w:rsidRDefault="0090182E">
            <w:pPr>
              <w:jc w:val="left"/>
              <w:rPr>
                <w:vertAlign w:val="superscript"/>
              </w:rPr>
            </w:pPr>
            <w:r>
              <w:t xml:space="preserve">According to MDH:   “If the specimen or referred cx is </w:t>
            </w:r>
            <w:r>
              <w:rPr>
                <w:u w:val="single"/>
              </w:rPr>
              <w:t>not</w:t>
            </w:r>
            <w:r>
              <w:t xml:space="preserve"> on the A list, it is Category B”. </w:t>
            </w:r>
            <w:r>
              <w:rPr>
                <w:vertAlign w:val="superscript"/>
              </w:rPr>
              <w:t>4</w:t>
            </w:r>
          </w:p>
          <w:p w:rsidR="0090182E" w:rsidRDefault="0090182E">
            <w:pPr>
              <w:jc w:val="left"/>
              <w:rPr>
                <w:bCs/>
              </w:rPr>
            </w:pPr>
          </w:p>
          <w:p w:rsidR="0090182E" w:rsidRDefault="0090182E">
            <w:pPr>
              <w:jc w:val="left"/>
              <w:rPr>
                <w:bCs/>
              </w:rPr>
            </w:pPr>
            <w:r>
              <w:rPr>
                <w:bCs/>
              </w:rPr>
              <w:t>List of examples of Category A, Infectious substances: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 xml:space="preserve">Bacillus anthracis </w:t>
            </w:r>
            <w:r>
              <w:rPr>
                <w:rFonts w:ascii="Verdana" w:hAnsi="Verdana" w:cs="Verdana"/>
                <w:sz w:val="16"/>
                <w:lang w:bidi="en-US"/>
              </w:rPr>
              <w:t>(cultures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Brucella abortus</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Brucella melitensis</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Brucella suis</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Burkholderia mallei - Pseudomonas mallei - Glanders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 xml:space="preserve">Burkholderia pseudomallei - </w:t>
            </w:r>
            <w:r>
              <w:rPr>
                <w:rFonts w:ascii="Verdana" w:hAnsi="Verdana" w:cs="Verdana"/>
                <w:i/>
                <w:iCs/>
                <w:sz w:val="16"/>
                <w:lang w:bidi="en-US"/>
              </w:rPr>
              <w:t>Pseudomonas pseudomallei</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Chlamydia psittaci</w:t>
            </w:r>
            <w:r>
              <w:rPr>
                <w:rFonts w:ascii="Verdana" w:hAnsi="Verdana" w:cs="Verdana"/>
                <w:sz w:val="16"/>
                <w:lang w:bidi="en-US"/>
              </w:rPr>
              <w:t xml:space="preserve"> - avian strains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Clostridium botulinum</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Coccidioides immitis</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Coxiella burnetii</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Crimean-Congo hemorrhagic fever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Dengue virus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Eastern equine encephalitis virus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Escherichia coli</w:t>
            </w:r>
            <w:r>
              <w:rPr>
                <w:rFonts w:ascii="Verdana" w:hAnsi="Verdana" w:cs="Verdana"/>
                <w:sz w:val="16"/>
                <w:lang w:bidi="en-US"/>
              </w:rPr>
              <w:t>, verotoxigenic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Ebola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Flexal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Francisella tularensis</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lastRenderedPageBreak/>
              <w:t>Guanarito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Hantaan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Hantaviruses causing hantavirus pulmonary syndrome</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Hendra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Hepatitis B virus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Herpes B virus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Human immunodeficiency virus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Highly pathogenic avian influenza virus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Japanese Encephalitis virus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Junin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Kyasanur Forest disease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Lassa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Machupo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Marburg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Monkeypox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Mycobacterium tuberculosis</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Nipah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Omsk hemorrhagic fever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Poliovirus</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Rabies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Rickettsia prowazekii</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Rickettsia rickettsii</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Rift Valley fever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Russian spring-summer encephalitis</w:t>
            </w:r>
            <w:r>
              <w:rPr>
                <w:rFonts w:ascii="Verdana" w:hAnsi="Verdana" w:cs="Verdana"/>
                <w:sz w:val="16"/>
                <w:lang w:bidi="en-US"/>
              </w:rPr>
              <w:t xml:space="preserve"> virus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Sabia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Shigella dyseteriae type 1</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Tick-borne encephalitis virus</w:t>
            </w:r>
            <w:r>
              <w:rPr>
                <w:rFonts w:ascii="Verdana" w:hAnsi="Verdana" w:cs="Verdana"/>
                <w:sz w:val="16"/>
                <w:lang w:bidi="en-US"/>
              </w:rPr>
              <w:t xml:space="preserve"> (cultures only)</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Variola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sz w:val="16"/>
                <w:lang w:bidi="en-US"/>
              </w:rPr>
              <w:t>Venezuelan equine encephalitis virus</w:t>
            </w:r>
          </w:p>
          <w:p w:rsidR="0090182E" w:rsidRDefault="0090182E">
            <w:pPr>
              <w:widowControl w:val="0"/>
              <w:numPr>
                <w:ilvl w:val="0"/>
                <w:numId w:val="36"/>
              </w:numPr>
              <w:tabs>
                <w:tab w:val="left" w:pos="220"/>
                <w:tab w:val="left" w:pos="720"/>
              </w:tabs>
              <w:autoSpaceDE w:val="0"/>
              <w:autoSpaceDN w:val="0"/>
              <w:adjustRightInd w:val="0"/>
              <w:ind w:hanging="720"/>
              <w:jc w:val="left"/>
              <w:rPr>
                <w:rFonts w:ascii="Verdana" w:hAnsi="Verdana" w:cs="Verdana"/>
                <w:sz w:val="16"/>
                <w:lang w:bidi="en-US"/>
              </w:rPr>
            </w:pPr>
            <w:r>
              <w:rPr>
                <w:rFonts w:ascii="Verdana" w:hAnsi="Verdana" w:cs="Verdana"/>
                <w:i/>
                <w:iCs/>
                <w:sz w:val="16"/>
                <w:lang w:bidi="en-US"/>
              </w:rPr>
              <w:t>West Nile virus</w:t>
            </w:r>
            <w:r>
              <w:rPr>
                <w:rFonts w:ascii="Verdana" w:hAnsi="Verdana" w:cs="Verdana"/>
                <w:sz w:val="16"/>
                <w:lang w:bidi="en-US"/>
              </w:rPr>
              <w:t xml:space="preserve"> (cultures only)</w:t>
            </w:r>
          </w:p>
          <w:p w:rsidR="0090182E" w:rsidRDefault="0090182E">
            <w:pPr>
              <w:jc w:val="left"/>
              <w:rPr>
                <w:rFonts w:ascii="Verdana" w:hAnsi="Verdana" w:cs="Verdana"/>
                <w:sz w:val="16"/>
                <w:lang w:bidi="en-US"/>
              </w:rPr>
            </w:pPr>
            <w:r>
              <w:rPr>
                <w:rFonts w:ascii="Verdana" w:hAnsi="Verdana" w:cs="Verdana"/>
                <w:i/>
                <w:iCs/>
                <w:sz w:val="16"/>
                <w:lang w:bidi="en-US"/>
              </w:rPr>
              <w:t xml:space="preserve">    Yellow fever virus</w:t>
            </w:r>
            <w:r>
              <w:rPr>
                <w:rFonts w:ascii="Verdana" w:hAnsi="Verdana" w:cs="Verdana"/>
                <w:sz w:val="16"/>
                <w:lang w:bidi="en-US"/>
              </w:rPr>
              <w:t xml:space="preserve"> (cultures only)</w:t>
            </w:r>
          </w:p>
          <w:p w:rsidR="0090182E" w:rsidRDefault="0090182E">
            <w:pPr>
              <w:jc w:val="left"/>
              <w:rPr>
                <w:rFonts w:ascii="Verdana" w:hAnsi="Verdana" w:cs="Verdana"/>
                <w:sz w:val="16"/>
                <w:lang w:bidi="en-US"/>
              </w:rPr>
            </w:pPr>
          </w:p>
          <w:p w:rsidR="0090182E" w:rsidRDefault="0090182E">
            <w:pPr>
              <w:jc w:val="left"/>
              <w:rPr>
                <w:vertAlign w:val="superscript"/>
              </w:rPr>
            </w:pPr>
          </w:p>
          <w:p w:rsidR="0090182E" w:rsidRDefault="0090182E">
            <w:pPr>
              <w:ind w:left="720"/>
              <w:jc w:val="left"/>
              <w:rPr>
                <w:rFonts w:cs="Arial"/>
              </w:rPr>
            </w:pPr>
          </w:p>
        </w:tc>
      </w:tr>
      <w:tr w:rsidR="0090182E">
        <w:trPr>
          <w:trHeight w:val="1403"/>
        </w:trPr>
        <w:tc>
          <w:tcPr>
            <w:tcW w:w="1800" w:type="dxa"/>
            <w:tcBorders>
              <w:top w:val="nil"/>
              <w:left w:val="nil"/>
              <w:bottom w:val="nil"/>
              <w:right w:val="nil"/>
            </w:tcBorders>
          </w:tcPr>
          <w:p w:rsidR="0090182E" w:rsidRDefault="0090182E">
            <w:pPr>
              <w:pStyle w:val="Custom2"/>
            </w:pPr>
            <w:r>
              <w:lastRenderedPageBreak/>
              <w:t>References:</w:t>
            </w:r>
          </w:p>
        </w:tc>
        <w:tc>
          <w:tcPr>
            <w:tcW w:w="8568" w:type="dxa"/>
            <w:tcBorders>
              <w:top w:val="single" w:sz="4" w:space="0" w:color="auto"/>
              <w:left w:val="nil"/>
              <w:bottom w:val="single" w:sz="4" w:space="0" w:color="auto"/>
              <w:right w:val="nil"/>
            </w:tcBorders>
          </w:tcPr>
          <w:p w:rsidR="0090182E" w:rsidRDefault="0090182E">
            <w:pPr>
              <w:numPr>
                <w:ilvl w:val="0"/>
                <w:numId w:val="37"/>
              </w:numPr>
              <w:jc w:val="left"/>
              <w:rPr>
                <w:bCs/>
              </w:rPr>
            </w:pPr>
            <w:r>
              <w:rPr>
                <w:bCs/>
              </w:rPr>
              <w:t xml:space="preserve">Transporting Dangerous Goods Training document.  Mayo </w:t>
            </w:r>
            <w:r w:rsidR="000922AD">
              <w:rPr>
                <w:bCs/>
              </w:rPr>
              <w:t>Medical Laboratories.  Sept 2014</w:t>
            </w:r>
          </w:p>
          <w:p w:rsidR="0090182E" w:rsidRDefault="0090182E">
            <w:pPr>
              <w:numPr>
                <w:ilvl w:val="0"/>
                <w:numId w:val="37"/>
              </w:numPr>
              <w:jc w:val="left"/>
              <w:rPr>
                <w:bCs/>
              </w:rPr>
            </w:pPr>
            <w:r>
              <w:rPr>
                <w:bCs/>
              </w:rPr>
              <w:t>MDH Healthcare System Preparedness Program (HSPP) March 30,2012</w:t>
            </w:r>
          </w:p>
          <w:p w:rsidR="0090182E" w:rsidRDefault="0090182E">
            <w:pPr>
              <w:numPr>
                <w:ilvl w:val="0"/>
                <w:numId w:val="37"/>
              </w:numPr>
              <w:jc w:val="left"/>
              <w:rPr>
                <w:bCs/>
              </w:rPr>
            </w:pPr>
            <w:r>
              <w:rPr>
                <w:bCs/>
              </w:rPr>
              <w:t>MDH Public Health Emergency Preparedness (PHEP) March 30, 2012</w:t>
            </w:r>
          </w:p>
          <w:p w:rsidR="0090182E" w:rsidRDefault="0090182E">
            <w:pPr>
              <w:numPr>
                <w:ilvl w:val="0"/>
                <w:numId w:val="37"/>
              </w:numPr>
              <w:jc w:val="left"/>
              <w:rPr>
                <w:bCs/>
              </w:rPr>
            </w:pPr>
            <w:r>
              <w:t>Nathan Kendrick, MS, M (ASCP).  State Laboratory Training Coordinator.  MDH. Public Health Laboratory Division.  Emergency Preparedness &amp; Response Unit.</w:t>
            </w:r>
          </w:p>
        </w:tc>
      </w:tr>
      <w:tr w:rsidR="00F35010" w:rsidTr="00F35010">
        <w:trPr>
          <w:trHeight w:val="1403"/>
        </w:trPr>
        <w:tc>
          <w:tcPr>
            <w:tcW w:w="1800" w:type="dxa"/>
            <w:tcBorders>
              <w:top w:val="nil"/>
              <w:left w:val="nil"/>
              <w:bottom w:val="nil"/>
              <w:right w:val="nil"/>
            </w:tcBorders>
          </w:tcPr>
          <w:p w:rsidR="00F35010" w:rsidRPr="00F35010" w:rsidRDefault="00F35010" w:rsidP="00F35010">
            <w:pPr>
              <w:pStyle w:val="Custom2"/>
            </w:pPr>
          </w:p>
          <w:p w:rsidR="00F35010" w:rsidRPr="00F35010" w:rsidRDefault="00F35010" w:rsidP="00F35010">
            <w:pPr>
              <w:pStyle w:val="Custom2"/>
            </w:pPr>
            <w:r w:rsidRPr="00F35010">
              <w:t>Appendices</w:t>
            </w:r>
          </w:p>
          <w:p w:rsidR="00F35010" w:rsidRPr="00F35010" w:rsidRDefault="00F35010" w:rsidP="00F35010">
            <w:pPr>
              <w:pStyle w:val="Custom2"/>
            </w:pPr>
          </w:p>
        </w:tc>
        <w:tc>
          <w:tcPr>
            <w:tcW w:w="8568" w:type="dxa"/>
            <w:tcBorders>
              <w:top w:val="single" w:sz="4" w:space="0" w:color="auto"/>
              <w:left w:val="nil"/>
              <w:bottom w:val="single" w:sz="4" w:space="0" w:color="auto"/>
              <w:right w:val="nil"/>
            </w:tcBorders>
          </w:tcPr>
          <w:p w:rsidR="00F35010" w:rsidRDefault="00F35010" w:rsidP="00F35010">
            <w:pPr>
              <w:pStyle w:val="Custom2"/>
              <w:rPr>
                <w:b w:val="0"/>
                <w:bCs w:val="0"/>
                <w:szCs w:val="20"/>
              </w:rPr>
            </w:pPr>
          </w:p>
          <w:p w:rsidR="00F35010" w:rsidRPr="008D76A7" w:rsidRDefault="00F35010" w:rsidP="00F35010">
            <w:pPr>
              <w:pStyle w:val="Custom2"/>
              <w:rPr>
                <w:szCs w:val="20"/>
                <w:u w:val="single"/>
              </w:rPr>
            </w:pPr>
            <w:r w:rsidRPr="008D76A7">
              <w:rPr>
                <w:b w:val="0"/>
                <w:bCs w:val="0"/>
                <w:szCs w:val="20"/>
              </w:rPr>
              <w:t>Ebola Standard Operating Procedure (SOP): Laboratory - Specimen transport to MDH</w:t>
            </w:r>
          </w:p>
          <w:p w:rsidR="00F35010" w:rsidRDefault="006F389F" w:rsidP="00F35010">
            <w:pPr>
              <w:pStyle w:val="Custom2"/>
              <w:rPr>
                <w:u w:val="single"/>
              </w:rPr>
            </w:pPr>
            <w:hyperlink r:id="rId9" w:history="1">
              <w:r w:rsidR="00F35010" w:rsidRPr="008A3AA7">
                <w:rPr>
                  <w:rStyle w:val="Hyperlink"/>
                </w:rPr>
                <w:t>http://khan.childrensmn.org/Web/Switchboards/209269.pdf</w:t>
              </w:r>
            </w:hyperlink>
          </w:p>
          <w:p w:rsidR="00F35010" w:rsidRPr="00F35010" w:rsidRDefault="00F35010" w:rsidP="00F35010">
            <w:pPr>
              <w:tabs>
                <w:tab w:val="num" w:pos="720"/>
              </w:tabs>
              <w:jc w:val="left"/>
              <w:rPr>
                <w:bCs/>
              </w:rPr>
            </w:pPr>
          </w:p>
        </w:tc>
      </w:tr>
    </w:tbl>
    <w:p w:rsidR="008D76A7" w:rsidRDefault="008D76A7">
      <w:pPr>
        <w:pStyle w:val="Custom2"/>
      </w:pPr>
    </w:p>
    <w:tbl>
      <w:tblPr>
        <w:tblW w:w="16560" w:type="dxa"/>
        <w:tblInd w:w="-1152" w:type="dxa"/>
        <w:tblBorders>
          <w:bottom w:val="single" w:sz="4" w:space="0" w:color="auto"/>
        </w:tblBorders>
        <w:tblLayout w:type="fixed"/>
        <w:tblLook w:val="0000"/>
      </w:tblPr>
      <w:tblGrid>
        <w:gridCol w:w="1792"/>
        <w:gridCol w:w="1442"/>
        <w:gridCol w:w="2702"/>
        <w:gridCol w:w="1803"/>
        <w:gridCol w:w="3429"/>
        <w:gridCol w:w="2696"/>
        <w:gridCol w:w="2696"/>
      </w:tblGrid>
      <w:tr w:rsidR="00F35010" w:rsidTr="00F35010">
        <w:trPr>
          <w:gridAfter w:val="2"/>
          <w:wAfter w:w="5392" w:type="dxa"/>
          <w:cantSplit/>
          <w:trHeight w:val="225"/>
        </w:trPr>
        <w:tc>
          <w:tcPr>
            <w:tcW w:w="1792" w:type="dxa"/>
            <w:tcBorders>
              <w:left w:val="nil"/>
              <w:right w:val="nil"/>
            </w:tcBorders>
          </w:tcPr>
          <w:p w:rsidR="00F35010" w:rsidRDefault="00F35010" w:rsidP="00F35010">
            <w:pPr>
              <w:rPr>
                <w:b/>
                <w:color w:val="0000FF"/>
              </w:rPr>
            </w:pPr>
            <w:r>
              <w:rPr>
                <w:b/>
                <w:color w:val="0000FF"/>
              </w:rPr>
              <w:t>Historical Record</w:t>
            </w:r>
          </w:p>
        </w:tc>
        <w:tc>
          <w:tcPr>
            <w:tcW w:w="1442" w:type="dxa"/>
            <w:tcBorders>
              <w:top w:val="single" w:sz="4" w:space="0" w:color="auto"/>
              <w:left w:val="nil"/>
              <w:bottom w:val="single" w:sz="4" w:space="0" w:color="auto"/>
              <w:right w:val="nil"/>
            </w:tcBorders>
          </w:tcPr>
          <w:p w:rsidR="00F35010" w:rsidRDefault="00F35010" w:rsidP="00F35010">
            <w:pPr>
              <w:jc w:val="left"/>
              <w:rPr>
                <w:b/>
              </w:rPr>
            </w:pPr>
          </w:p>
        </w:tc>
        <w:tc>
          <w:tcPr>
            <w:tcW w:w="2702" w:type="dxa"/>
            <w:tcBorders>
              <w:top w:val="single" w:sz="4" w:space="0" w:color="auto"/>
              <w:left w:val="nil"/>
              <w:bottom w:val="single" w:sz="4" w:space="0" w:color="auto"/>
              <w:right w:val="nil"/>
            </w:tcBorders>
          </w:tcPr>
          <w:p w:rsidR="00F35010" w:rsidRDefault="00F35010" w:rsidP="00F35010">
            <w:pPr>
              <w:jc w:val="left"/>
              <w:rPr>
                <w:b/>
              </w:rPr>
            </w:pPr>
          </w:p>
        </w:tc>
        <w:tc>
          <w:tcPr>
            <w:tcW w:w="1803" w:type="dxa"/>
            <w:tcBorders>
              <w:top w:val="single" w:sz="4" w:space="0" w:color="auto"/>
              <w:left w:val="nil"/>
              <w:bottom w:val="single" w:sz="4" w:space="0" w:color="auto"/>
              <w:right w:val="nil"/>
            </w:tcBorders>
          </w:tcPr>
          <w:p w:rsidR="00F35010" w:rsidRDefault="00F35010" w:rsidP="00F35010">
            <w:pPr>
              <w:jc w:val="left"/>
              <w:rPr>
                <w:b/>
              </w:rPr>
            </w:pPr>
          </w:p>
        </w:tc>
        <w:tc>
          <w:tcPr>
            <w:tcW w:w="3429" w:type="dxa"/>
            <w:tcBorders>
              <w:top w:val="single" w:sz="4" w:space="0" w:color="auto"/>
              <w:left w:val="nil"/>
              <w:bottom w:val="single" w:sz="4" w:space="0" w:color="auto"/>
              <w:right w:val="nil"/>
            </w:tcBorders>
          </w:tcPr>
          <w:p w:rsidR="00F35010" w:rsidRDefault="00F35010" w:rsidP="00F35010">
            <w:pPr>
              <w:jc w:val="left"/>
              <w:rPr>
                <w:b/>
              </w:rPr>
            </w:pPr>
          </w:p>
        </w:tc>
      </w:tr>
      <w:tr w:rsidR="00F35010" w:rsidTr="00F35010">
        <w:trPr>
          <w:gridAfter w:val="2"/>
          <w:wAfter w:w="5392" w:type="dxa"/>
          <w:cantSplit/>
          <w:trHeight w:val="225"/>
        </w:trPr>
        <w:tc>
          <w:tcPr>
            <w:tcW w:w="1792" w:type="dxa"/>
            <w:vMerge w:val="restart"/>
            <w:tcBorders>
              <w:left w:val="nil"/>
              <w:right w:val="single" w:sz="4" w:space="0" w:color="auto"/>
            </w:tcBorders>
          </w:tcPr>
          <w:p w:rsidR="00F35010" w:rsidRDefault="00F35010" w:rsidP="00F35010">
            <w:pPr>
              <w:rPr>
                <w:b/>
                <w:color w:val="0000FF"/>
              </w:rPr>
            </w:pPr>
          </w:p>
        </w:tc>
        <w:tc>
          <w:tcPr>
            <w:tcW w:w="1442" w:type="dxa"/>
            <w:tcBorders>
              <w:top w:val="single" w:sz="4" w:space="0" w:color="auto"/>
              <w:left w:val="single" w:sz="4" w:space="0" w:color="auto"/>
              <w:bottom w:val="single" w:sz="4" w:space="0" w:color="auto"/>
              <w:right w:val="single" w:sz="4" w:space="0" w:color="auto"/>
            </w:tcBorders>
          </w:tcPr>
          <w:p w:rsidR="00F35010" w:rsidRDefault="00F35010" w:rsidP="00F35010">
            <w:pPr>
              <w:rPr>
                <w:b/>
              </w:rPr>
            </w:pPr>
            <w:r>
              <w:rPr>
                <w:b/>
              </w:rPr>
              <w:t>Version</w:t>
            </w:r>
          </w:p>
        </w:tc>
        <w:tc>
          <w:tcPr>
            <w:tcW w:w="2702" w:type="dxa"/>
            <w:tcBorders>
              <w:top w:val="single" w:sz="4" w:space="0" w:color="auto"/>
              <w:left w:val="single" w:sz="4" w:space="0" w:color="auto"/>
              <w:bottom w:val="single" w:sz="4" w:space="0" w:color="auto"/>
              <w:right w:val="single" w:sz="4" w:space="0" w:color="auto"/>
            </w:tcBorders>
          </w:tcPr>
          <w:p w:rsidR="00F35010" w:rsidRDefault="00F35010" w:rsidP="00F35010">
            <w:pPr>
              <w:rPr>
                <w:b/>
              </w:rPr>
            </w:pPr>
            <w:r>
              <w:rPr>
                <w:b/>
              </w:rPr>
              <w:t>Written/Revised by:</w:t>
            </w:r>
          </w:p>
        </w:tc>
        <w:tc>
          <w:tcPr>
            <w:tcW w:w="1803" w:type="dxa"/>
            <w:tcBorders>
              <w:top w:val="single" w:sz="4" w:space="0" w:color="auto"/>
              <w:left w:val="single" w:sz="4" w:space="0" w:color="auto"/>
              <w:bottom w:val="single" w:sz="4" w:space="0" w:color="auto"/>
              <w:right w:val="single" w:sz="4" w:space="0" w:color="auto"/>
            </w:tcBorders>
          </w:tcPr>
          <w:p w:rsidR="00F35010" w:rsidRDefault="00F35010" w:rsidP="00F35010">
            <w:pPr>
              <w:rPr>
                <w:b/>
              </w:rPr>
            </w:pPr>
            <w:r>
              <w:rPr>
                <w:b/>
              </w:rPr>
              <w:t>Effective Date:</w:t>
            </w:r>
          </w:p>
        </w:tc>
        <w:tc>
          <w:tcPr>
            <w:tcW w:w="3429" w:type="dxa"/>
            <w:tcBorders>
              <w:top w:val="single" w:sz="4" w:space="0" w:color="auto"/>
              <w:left w:val="single" w:sz="4" w:space="0" w:color="auto"/>
              <w:bottom w:val="single" w:sz="4" w:space="0" w:color="auto"/>
              <w:right w:val="single" w:sz="4" w:space="0" w:color="auto"/>
            </w:tcBorders>
          </w:tcPr>
          <w:p w:rsidR="00F35010" w:rsidRDefault="00F35010" w:rsidP="00F35010">
            <w:pPr>
              <w:rPr>
                <w:b/>
              </w:rPr>
            </w:pPr>
            <w:r>
              <w:rPr>
                <w:b/>
              </w:rPr>
              <w:t>Summary of Revisions</w:t>
            </w:r>
          </w:p>
        </w:tc>
      </w:tr>
      <w:tr w:rsidR="00F35010" w:rsidTr="00D650A0">
        <w:trPr>
          <w:gridAfter w:val="2"/>
          <w:wAfter w:w="5392" w:type="dxa"/>
          <w:cantSplit/>
          <w:trHeight w:val="135"/>
        </w:trPr>
        <w:tc>
          <w:tcPr>
            <w:tcW w:w="1792" w:type="dxa"/>
            <w:vMerge/>
            <w:tcBorders>
              <w:left w:val="nil"/>
              <w:right w:val="single" w:sz="4" w:space="0" w:color="auto"/>
            </w:tcBorders>
          </w:tcPr>
          <w:p w:rsidR="00F35010" w:rsidRDefault="00F35010" w:rsidP="00F35010">
            <w:pPr>
              <w:rPr>
                <w:b/>
                <w:color w:val="0000FF"/>
              </w:rPr>
            </w:pPr>
          </w:p>
        </w:tc>
        <w:tc>
          <w:tcPr>
            <w:tcW w:w="1442"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t>1</w:t>
            </w:r>
          </w:p>
        </w:tc>
        <w:tc>
          <w:tcPr>
            <w:tcW w:w="2702"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t>5/1/2012</w:t>
            </w:r>
          </w:p>
        </w:tc>
        <w:tc>
          <w:tcPr>
            <w:tcW w:w="3429" w:type="dxa"/>
            <w:tcBorders>
              <w:top w:val="single" w:sz="4" w:space="0" w:color="auto"/>
              <w:left w:val="single" w:sz="4" w:space="0" w:color="auto"/>
              <w:bottom w:val="single" w:sz="4" w:space="0" w:color="auto"/>
              <w:right w:val="single" w:sz="4" w:space="0" w:color="auto"/>
            </w:tcBorders>
          </w:tcPr>
          <w:p w:rsidR="00F35010" w:rsidRDefault="00F35010" w:rsidP="00F35010">
            <w:r>
              <w:t>Initial Version</w:t>
            </w:r>
          </w:p>
        </w:tc>
      </w:tr>
      <w:tr w:rsidR="00F35010" w:rsidTr="00D650A0">
        <w:trPr>
          <w:gridAfter w:val="2"/>
          <w:wAfter w:w="5392" w:type="dxa"/>
          <w:cantSplit/>
          <w:trHeight w:val="143"/>
        </w:trPr>
        <w:tc>
          <w:tcPr>
            <w:tcW w:w="1792" w:type="dxa"/>
            <w:vMerge/>
            <w:tcBorders>
              <w:left w:val="nil"/>
              <w:bottom w:val="nil"/>
              <w:right w:val="single" w:sz="4" w:space="0" w:color="auto"/>
            </w:tcBorders>
          </w:tcPr>
          <w:p w:rsidR="00F35010" w:rsidRDefault="00F35010" w:rsidP="00F35010">
            <w:pPr>
              <w:rPr>
                <w:b/>
                <w:color w:val="0000FF"/>
              </w:rPr>
            </w:pPr>
          </w:p>
        </w:tc>
        <w:tc>
          <w:tcPr>
            <w:tcW w:w="1442"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rPr>
                <w:sz w:val="16"/>
                <w:szCs w:val="16"/>
              </w:rPr>
              <w:t>1.1</w:t>
            </w:r>
          </w:p>
        </w:tc>
        <w:tc>
          <w:tcPr>
            <w:tcW w:w="2702"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t>12/21/2012</w:t>
            </w:r>
          </w:p>
        </w:tc>
        <w:tc>
          <w:tcPr>
            <w:tcW w:w="3429" w:type="dxa"/>
            <w:tcBorders>
              <w:top w:val="single" w:sz="4" w:space="0" w:color="auto"/>
              <w:left w:val="single" w:sz="4" w:space="0" w:color="auto"/>
              <w:bottom w:val="single" w:sz="4" w:space="0" w:color="auto"/>
              <w:right w:val="single" w:sz="4" w:space="0" w:color="auto"/>
            </w:tcBorders>
          </w:tcPr>
          <w:p w:rsidR="00F35010" w:rsidRDefault="00F35010" w:rsidP="00F35010">
            <w:r>
              <w:rPr>
                <w:sz w:val="16"/>
                <w:szCs w:val="16"/>
              </w:rPr>
              <w:t>Removed QC organism shipping info</w:t>
            </w:r>
          </w:p>
        </w:tc>
      </w:tr>
      <w:tr w:rsidR="00F35010" w:rsidTr="00D650A0">
        <w:trPr>
          <w:gridAfter w:val="2"/>
          <w:wAfter w:w="5392" w:type="dxa"/>
          <w:cantSplit/>
        </w:trPr>
        <w:tc>
          <w:tcPr>
            <w:tcW w:w="1792" w:type="dxa"/>
            <w:vMerge/>
            <w:tcBorders>
              <w:top w:val="nil"/>
              <w:left w:val="nil"/>
              <w:bottom w:val="nil"/>
              <w:right w:val="single" w:sz="4" w:space="0" w:color="auto"/>
            </w:tcBorders>
          </w:tcPr>
          <w:p w:rsidR="00F35010" w:rsidRDefault="00F35010" w:rsidP="00F35010">
            <w:pPr>
              <w:rPr>
                <w:b/>
                <w:color w:val="0000FF"/>
              </w:rPr>
            </w:pPr>
          </w:p>
        </w:tc>
        <w:tc>
          <w:tcPr>
            <w:tcW w:w="1442"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rPr>
                <w:sz w:val="16"/>
                <w:szCs w:val="16"/>
              </w:rPr>
              <w:t>2</w:t>
            </w:r>
          </w:p>
        </w:tc>
        <w:tc>
          <w:tcPr>
            <w:tcW w:w="2702"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t>4/3/2015</w:t>
            </w:r>
          </w:p>
        </w:tc>
        <w:tc>
          <w:tcPr>
            <w:tcW w:w="3429" w:type="dxa"/>
            <w:tcBorders>
              <w:top w:val="single" w:sz="4" w:space="0" w:color="auto"/>
              <w:left w:val="single" w:sz="4" w:space="0" w:color="auto"/>
              <w:bottom w:val="single" w:sz="4" w:space="0" w:color="auto"/>
              <w:right w:val="single" w:sz="4" w:space="0" w:color="auto"/>
            </w:tcBorders>
          </w:tcPr>
          <w:p w:rsidR="00F35010" w:rsidRDefault="00F35010" w:rsidP="00F35010">
            <w:r>
              <w:rPr>
                <w:sz w:val="16"/>
                <w:szCs w:val="16"/>
              </w:rPr>
              <w:t>Re-numbered from MC 205</w:t>
            </w:r>
          </w:p>
        </w:tc>
      </w:tr>
      <w:tr w:rsidR="00F35010" w:rsidTr="00D650A0">
        <w:trPr>
          <w:cantSplit/>
          <w:trHeight w:val="255"/>
        </w:trPr>
        <w:tc>
          <w:tcPr>
            <w:tcW w:w="1792" w:type="dxa"/>
            <w:vMerge w:val="restart"/>
            <w:tcBorders>
              <w:top w:val="nil"/>
              <w:left w:val="nil"/>
              <w:right w:val="single" w:sz="4" w:space="0" w:color="auto"/>
            </w:tcBorders>
          </w:tcPr>
          <w:p w:rsidR="00F35010" w:rsidRDefault="00F35010" w:rsidP="00F35010">
            <w:pPr>
              <w:rPr>
                <w:b/>
                <w:color w:val="0000FF"/>
              </w:rPr>
            </w:pPr>
          </w:p>
        </w:tc>
        <w:tc>
          <w:tcPr>
            <w:tcW w:w="1442"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t>3</w:t>
            </w:r>
          </w:p>
        </w:tc>
        <w:tc>
          <w:tcPr>
            <w:tcW w:w="2702"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t>Helen Stefan</w:t>
            </w:r>
          </w:p>
        </w:tc>
        <w:tc>
          <w:tcPr>
            <w:tcW w:w="1803" w:type="dxa"/>
            <w:tcBorders>
              <w:top w:val="single" w:sz="4" w:space="0" w:color="auto"/>
              <w:left w:val="single" w:sz="4" w:space="0" w:color="auto"/>
              <w:bottom w:val="single" w:sz="4" w:space="0" w:color="auto"/>
              <w:right w:val="single" w:sz="4" w:space="0" w:color="auto"/>
            </w:tcBorders>
            <w:vAlign w:val="center"/>
          </w:tcPr>
          <w:p w:rsidR="00F35010" w:rsidRDefault="00F35010" w:rsidP="00D650A0">
            <w:pPr>
              <w:jc w:val="center"/>
            </w:pPr>
            <w:r>
              <w:t>4/8/2015</w:t>
            </w:r>
          </w:p>
        </w:tc>
        <w:tc>
          <w:tcPr>
            <w:tcW w:w="3429" w:type="dxa"/>
            <w:tcBorders>
              <w:top w:val="single" w:sz="4" w:space="0" w:color="auto"/>
              <w:left w:val="single" w:sz="4" w:space="0" w:color="auto"/>
              <w:bottom w:val="single" w:sz="4" w:space="0" w:color="auto"/>
              <w:right w:val="single" w:sz="4" w:space="0" w:color="auto"/>
            </w:tcBorders>
          </w:tcPr>
          <w:p w:rsidR="00F35010" w:rsidRPr="000922AD" w:rsidRDefault="000922AD" w:rsidP="00F35010">
            <w:pPr>
              <w:rPr>
                <w:bCs/>
                <w:sz w:val="16"/>
                <w:szCs w:val="16"/>
              </w:rPr>
            </w:pPr>
            <w:r w:rsidRPr="000922AD">
              <w:rPr>
                <w:bCs/>
                <w:sz w:val="16"/>
                <w:szCs w:val="16"/>
              </w:rPr>
              <w:t xml:space="preserve">Expanded MDH shipping section, added link </w:t>
            </w:r>
            <w:r>
              <w:rPr>
                <w:bCs/>
                <w:sz w:val="16"/>
                <w:szCs w:val="16"/>
              </w:rPr>
              <w:t xml:space="preserve">to </w:t>
            </w:r>
            <w:r w:rsidRPr="000922AD">
              <w:rPr>
                <w:bCs/>
                <w:sz w:val="16"/>
                <w:szCs w:val="16"/>
              </w:rPr>
              <w:t xml:space="preserve">Ebola </w:t>
            </w:r>
            <w:r>
              <w:rPr>
                <w:bCs/>
                <w:sz w:val="16"/>
                <w:szCs w:val="16"/>
              </w:rPr>
              <w:t xml:space="preserve">PUI specimen </w:t>
            </w:r>
            <w:r w:rsidRPr="000922AD">
              <w:rPr>
                <w:bCs/>
                <w:sz w:val="16"/>
                <w:szCs w:val="16"/>
              </w:rPr>
              <w:t>shipping information on intranet</w:t>
            </w:r>
          </w:p>
        </w:tc>
        <w:tc>
          <w:tcPr>
            <w:tcW w:w="2696" w:type="dxa"/>
          </w:tcPr>
          <w:p w:rsidR="00F35010" w:rsidRDefault="00F35010" w:rsidP="00F35010">
            <w:pPr>
              <w:jc w:val="left"/>
            </w:pPr>
          </w:p>
        </w:tc>
        <w:tc>
          <w:tcPr>
            <w:tcW w:w="2696" w:type="dxa"/>
          </w:tcPr>
          <w:p w:rsidR="00F35010" w:rsidRDefault="00F35010" w:rsidP="00F35010">
            <w:pPr>
              <w:jc w:val="left"/>
            </w:pPr>
          </w:p>
        </w:tc>
      </w:tr>
      <w:tr w:rsidR="00F35010" w:rsidTr="00F35010">
        <w:trPr>
          <w:gridAfter w:val="2"/>
          <w:wAfter w:w="5392" w:type="dxa"/>
          <w:cantSplit/>
          <w:trHeight w:val="172"/>
        </w:trPr>
        <w:tc>
          <w:tcPr>
            <w:tcW w:w="1792" w:type="dxa"/>
            <w:vMerge/>
            <w:tcBorders>
              <w:left w:val="nil"/>
              <w:right w:val="single" w:sz="4" w:space="0" w:color="auto"/>
            </w:tcBorders>
          </w:tcPr>
          <w:p w:rsidR="00F35010" w:rsidRDefault="00F35010" w:rsidP="00F35010">
            <w:pPr>
              <w:rPr>
                <w:b/>
                <w:color w:val="0000FF"/>
              </w:rPr>
            </w:pPr>
          </w:p>
        </w:tc>
        <w:tc>
          <w:tcPr>
            <w:tcW w:w="1442" w:type="dxa"/>
            <w:tcBorders>
              <w:top w:val="single" w:sz="4" w:space="0" w:color="auto"/>
              <w:left w:val="single" w:sz="4" w:space="0" w:color="auto"/>
              <w:bottom w:val="single" w:sz="4" w:space="0" w:color="auto"/>
              <w:right w:val="single" w:sz="4" w:space="0" w:color="auto"/>
            </w:tcBorders>
          </w:tcPr>
          <w:p w:rsidR="00F35010" w:rsidRDefault="004C02CC" w:rsidP="00F35010">
            <w:r>
              <w:t xml:space="preserve">         </w:t>
            </w:r>
            <w:r w:rsidR="00B37B44">
              <w:t>4</w:t>
            </w:r>
          </w:p>
        </w:tc>
        <w:tc>
          <w:tcPr>
            <w:tcW w:w="2702" w:type="dxa"/>
            <w:tcBorders>
              <w:top w:val="single" w:sz="4" w:space="0" w:color="auto"/>
              <w:left w:val="single" w:sz="4" w:space="0" w:color="auto"/>
              <w:bottom w:val="single" w:sz="4" w:space="0" w:color="auto"/>
              <w:right w:val="single" w:sz="4" w:space="0" w:color="auto"/>
            </w:tcBorders>
          </w:tcPr>
          <w:p w:rsidR="00F35010" w:rsidRDefault="00B37B44" w:rsidP="00F35010">
            <w:r>
              <w:t>Susan DeMeyere</w:t>
            </w:r>
          </w:p>
        </w:tc>
        <w:tc>
          <w:tcPr>
            <w:tcW w:w="1803" w:type="dxa"/>
            <w:tcBorders>
              <w:top w:val="single" w:sz="4" w:space="0" w:color="auto"/>
              <w:left w:val="single" w:sz="4" w:space="0" w:color="auto"/>
              <w:bottom w:val="single" w:sz="4" w:space="0" w:color="auto"/>
              <w:right w:val="single" w:sz="4" w:space="0" w:color="auto"/>
            </w:tcBorders>
          </w:tcPr>
          <w:p w:rsidR="00F35010" w:rsidRDefault="004D7330" w:rsidP="00F35010">
            <w:r>
              <w:t>10/13</w:t>
            </w:r>
            <w:r w:rsidR="00B37B44">
              <w:t xml:space="preserve">/2017 </w:t>
            </w:r>
          </w:p>
        </w:tc>
        <w:tc>
          <w:tcPr>
            <w:tcW w:w="3429" w:type="dxa"/>
            <w:tcBorders>
              <w:top w:val="single" w:sz="4" w:space="0" w:color="auto"/>
              <w:left w:val="single" w:sz="4" w:space="0" w:color="auto"/>
              <w:bottom w:val="single" w:sz="4" w:space="0" w:color="auto"/>
              <w:right w:val="single" w:sz="4" w:space="0" w:color="auto"/>
            </w:tcBorders>
          </w:tcPr>
          <w:p w:rsidR="00F35010" w:rsidRDefault="006C09D8" w:rsidP="00F35010">
            <w:r>
              <w:t>Update logo and add hyperlink to MCVI 3.51 and 3.52</w:t>
            </w:r>
            <w:r w:rsidR="004D7330">
              <w:t xml:space="preserve">. Change wording for tubes in secondary container. </w:t>
            </w:r>
          </w:p>
        </w:tc>
      </w:tr>
      <w:tr w:rsidR="00F35010" w:rsidTr="00F35010">
        <w:trPr>
          <w:gridAfter w:val="2"/>
          <w:wAfter w:w="5392" w:type="dxa"/>
          <w:cantSplit/>
          <w:trHeight w:val="277"/>
        </w:trPr>
        <w:tc>
          <w:tcPr>
            <w:tcW w:w="1792" w:type="dxa"/>
            <w:vMerge/>
            <w:tcBorders>
              <w:left w:val="nil"/>
              <w:bottom w:val="nil"/>
              <w:right w:val="single" w:sz="4" w:space="0" w:color="auto"/>
            </w:tcBorders>
          </w:tcPr>
          <w:p w:rsidR="00F35010" w:rsidRDefault="00F35010" w:rsidP="00F35010">
            <w:pPr>
              <w:rPr>
                <w:b/>
                <w:color w:val="0000FF"/>
              </w:rPr>
            </w:pPr>
          </w:p>
        </w:tc>
        <w:tc>
          <w:tcPr>
            <w:tcW w:w="1442" w:type="dxa"/>
            <w:tcBorders>
              <w:top w:val="single" w:sz="4" w:space="0" w:color="auto"/>
              <w:left w:val="single" w:sz="4" w:space="0" w:color="auto"/>
              <w:bottom w:val="single" w:sz="4" w:space="0" w:color="auto"/>
              <w:right w:val="single" w:sz="4" w:space="0" w:color="auto"/>
            </w:tcBorders>
          </w:tcPr>
          <w:p w:rsidR="00F35010" w:rsidRDefault="00F35010" w:rsidP="00F35010">
            <w:pPr>
              <w:jc w:val="left"/>
              <w:rPr>
                <w:b/>
              </w:rPr>
            </w:pPr>
            <w:r>
              <w:rPr>
                <w:b/>
              </w:rPr>
              <w:t>Archived by:</w:t>
            </w:r>
          </w:p>
        </w:tc>
        <w:tc>
          <w:tcPr>
            <w:tcW w:w="2702" w:type="dxa"/>
            <w:tcBorders>
              <w:top w:val="single" w:sz="4" w:space="0" w:color="auto"/>
              <w:left w:val="single" w:sz="4" w:space="0" w:color="auto"/>
              <w:bottom w:val="single" w:sz="4" w:space="0" w:color="auto"/>
              <w:right w:val="single" w:sz="4" w:space="0" w:color="auto"/>
            </w:tcBorders>
          </w:tcPr>
          <w:p w:rsidR="00F35010" w:rsidRDefault="00F35010" w:rsidP="00F35010">
            <w:pPr>
              <w:jc w:val="left"/>
            </w:pPr>
          </w:p>
        </w:tc>
        <w:tc>
          <w:tcPr>
            <w:tcW w:w="1803" w:type="dxa"/>
            <w:tcBorders>
              <w:top w:val="single" w:sz="4" w:space="0" w:color="auto"/>
              <w:left w:val="single" w:sz="4" w:space="0" w:color="auto"/>
              <w:bottom w:val="single" w:sz="4" w:space="0" w:color="auto"/>
              <w:right w:val="single" w:sz="4" w:space="0" w:color="auto"/>
            </w:tcBorders>
          </w:tcPr>
          <w:p w:rsidR="00F35010" w:rsidRDefault="00F35010" w:rsidP="00F35010">
            <w:pPr>
              <w:jc w:val="left"/>
              <w:rPr>
                <w:b/>
              </w:rPr>
            </w:pPr>
            <w:r>
              <w:rPr>
                <w:b/>
              </w:rPr>
              <w:t>Archived Date:</w:t>
            </w:r>
          </w:p>
        </w:tc>
        <w:tc>
          <w:tcPr>
            <w:tcW w:w="3429" w:type="dxa"/>
            <w:tcBorders>
              <w:top w:val="single" w:sz="4" w:space="0" w:color="auto"/>
              <w:left w:val="single" w:sz="4" w:space="0" w:color="auto"/>
              <w:bottom w:val="single" w:sz="4" w:space="0" w:color="auto"/>
              <w:right w:val="single" w:sz="4" w:space="0" w:color="auto"/>
            </w:tcBorders>
          </w:tcPr>
          <w:p w:rsidR="00F35010" w:rsidRDefault="00F35010" w:rsidP="00F35010">
            <w:pPr>
              <w:jc w:val="left"/>
            </w:pPr>
          </w:p>
        </w:tc>
      </w:tr>
    </w:tbl>
    <w:p w:rsidR="00F35010" w:rsidRDefault="00F35010" w:rsidP="00F35010">
      <w:pPr>
        <w:pStyle w:val="Header"/>
        <w:tabs>
          <w:tab w:val="clear" w:pos="4320"/>
          <w:tab w:val="clear" w:pos="8640"/>
        </w:tabs>
      </w:pPr>
    </w:p>
    <w:p w:rsidR="0090182E" w:rsidRDefault="0090182E" w:rsidP="00F35010"/>
    <w:sectPr w:rsidR="0090182E" w:rsidSect="006F389F">
      <w:headerReference w:type="default" r:id="rId10"/>
      <w:footerReference w:type="default" r:id="rId11"/>
      <w:pgSz w:w="12240" w:h="15840" w:code="1"/>
      <w:pgMar w:top="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9D8" w:rsidRDefault="006C09D8">
      <w:r>
        <w:separator/>
      </w:r>
    </w:p>
  </w:endnote>
  <w:endnote w:type="continuationSeparator" w:id="0">
    <w:p w:rsidR="006C09D8" w:rsidRDefault="006C0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9D8" w:rsidRDefault="006C09D8" w:rsidP="00D71B5E">
    <w:pPr>
      <w:pStyle w:val="Footer"/>
    </w:pPr>
    <w:r>
      <w:rPr>
        <w:rFonts w:cs="Arial"/>
        <w:sz w:val="16"/>
        <w:szCs w:val="16"/>
      </w:rPr>
      <w:tab/>
    </w:r>
    <w:r>
      <w:rPr>
        <w:rFonts w:cs="Arial"/>
        <w:sz w:val="16"/>
        <w:szCs w:val="16"/>
      </w:rPr>
      <w:tab/>
    </w:r>
    <w:r w:rsidRPr="0097323C">
      <w:rPr>
        <w:rFonts w:cs="Arial"/>
        <w:sz w:val="16"/>
        <w:szCs w:val="16"/>
      </w:rPr>
      <w:t xml:space="preserve">Page </w:t>
    </w:r>
    <w:r w:rsidR="006F389F" w:rsidRPr="0097323C">
      <w:rPr>
        <w:rFonts w:cs="Arial"/>
        <w:b/>
        <w:sz w:val="16"/>
        <w:szCs w:val="16"/>
      </w:rPr>
      <w:fldChar w:fldCharType="begin"/>
    </w:r>
    <w:r w:rsidRPr="0097323C">
      <w:rPr>
        <w:rFonts w:cs="Arial"/>
        <w:b/>
        <w:sz w:val="16"/>
        <w:szCs w:val="16"/>
      </w:rPr>
      <w:instrText xml:space="preserve"> PAGE </w:instrText>
    </w:r>
    <w:r w:rsidR="006F389F" w:rsidRPr="0097323C">
      <w:rPr>
        <w:rFonts w:cs="Arial"/>
        <w:b/>
        <w:sz w:val="16"/>
        <w:szCs w:val="16"/>
      </w:rPr>
      <w:fldChar w:fldCharType="separate"/>
    </w:r>
    <w:r w:rsidR="004D7330">
      <w:rPr>
        <w:rFonts w:cs="Arial"/>
        <w:b/>
        <w:noProof/>
        <w:sz w:val="16"/>
        <w:szCs w:val="16"/>
      </w:rPr>
      <w:t>2</w:t>
    </w:r>
    <w:r w:rsidR="006F389F" w:rsidRPr="0097323C">
      <w:rPr>
        <w:rFonts w:cs="Arial"/>
        <w:b/>
        <w:sz w:val="16"/>
        <w:szCs w:val="16"/>
      </w:rPr>
      <w:fldChar w:fldCharType="end"/>
    </w:r>
    <w:r w:rsidRPr="0097323C">
      <w:rPr>
        <w:rFonts w:cs="Arial"/>
        <w:sz w:val="16"/>
        <w:szCs w:val="16"/>
      </w:rPr>
      <w:t xml:space="preserve"> of </w:t>
    </w:r>
    <w:r w:rsidR="006F389F" w:rsidRPr="0097323C">
      <w:rPr>
        <w:rFonts w:cs="Arial"/>
        <w:b/>
        <w:sz w:val="16"/>
        <w:szCs w:val="16"/>
      </w:rPr>
      <w:fldChar w:fldCharType="begin"/>
    </w:r>
    <w:r w:rsidRPr="0097323C">
      <w:rPr>
        <w:rFonts w:cs="Arial"/>
        <w:b/>
        <w:sz w:val="16"/>
        <w:szCs w:val="16"/>
      </w:rPr>
      <w:instrText xml:space="preserve"> NUMPAGES  </w:instrText>
    </w:r>
    <w:r w:rsidR="006F389F" w:rsidRPr="0097323C">
      <w:rPr>
        <w:rFonts w:cs="Arial"/>
        <w:b/>
        <w:sz w:val="16"/>
        <w:szCs w:val="16"/>
      </w:rPr>
      <w:fldChar w:fldCharType="separate"/>
    </w:r>
    <w:r w:rsidR="004D7330">
      <w:rPr>
        <w:rFonts w:cs="Arial"/>
        <w:b/>
        <w:noProof/>
        <w:sz w:val="16"/>
        <w:szCs w:val="16"/>
      </w:rPr>
      <w:t>4</w:t>
    </w:r>
    <w:r w:rsidR="006F389F" w:rsidRPr="0097323C">
      <w:rPr>
        <w:rFonts w:cs="Arial"/>
        <w:b/>
        <w:sz w:val="16"/>
        <w:szCs w:val="16"/>
      </w:rPr>
      <w:fldChar w:fldCharType="end"/>
    </w:r>
  </w:p>
  <w:p w:rsidR="006C09D8" w:rsidRPr="008B6CFE" w:rsidRDefault="006C09D8" w:rsidP="00D71B5E">
    <w:pPr>
      <w:pStyle w:val="Footer"/>
      <w:rPr>
        <w:sz w:val="16"/>
        <w:szCs w:val="16"/>
      </w:rPr>
    </w:pPr>
    <w:r w:rsidRPr="008B6CFE">
      <w:rPr>
        <w:sz w:val="16"/>
        <w:szCs w:val="16"/>
      </w:rPr>
      <w:t>Children’s Hospitals and Clinics of Minnesota Laboratory, Mpls/St Paul MN</w:t>
    </w:r>
  </w:p>
  <w:p w:rsidR="006C09D8" w:rsidRPr="008B6CFE" w:rsidRDefault="006C09D8" w:rsidP="00D71B5E">
    <w:pPr>
      <w:pStyle w:val="Footer"/>
      <w:rPr>
        <w:sz w:val="16"/>
        <w:szCs w:val="16"/>
      </w:rPr>
    </w:pPr>
    <w:r w:rsidRPr="008B6CFE">
      <w:rPr>
        <w:sz w:val="16"/>
        <w:szCs w:val="16"/>
      </w:rPr>
      <w:t>Printed copy expires 2359 on day of print</w:t>
    </w:r>
  </w:p>
  <w:p w:rsidR="006C09D8" w:rsidRDefault="006C09D8">
    <w:pPr>
      <w:ind w:left="-1260" w:right="-1260"/>
      <w:rPr>
        <w:rFonts w:cs="Arial"/>
        <w:sz w:val="16"/>
      </w:rPr>
    </w:pPr>
    <w:r>
      <w:rPr>
        <w:rFonts w:cs="Arial"/>
        <w:sz w:val="16"/>
      </w:rPr>
      <w:tab/>
    </w:r>
    <w:r>
      <w:rPr>
        <w:rFonts w:cs="Arial"/>
        <w:sz w:val="16"/>
      </w:rPr>
      <w:tab/>
    </w:r>
    <w:r>
      <w:rPr>
        <w:rFonts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9D8" w:rsidRDefault="006C09D8">
      <w:r>
        <w:separator/>
      </w:r>
    </w:p>
  </w:footnote>
  <w:footnote w:type="continuationSeparator" w:id="0">
    <w:p w:rsidR="006C09D8" w:rsidRDefault="006C0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9D8" w:rsidRDefault="006F389F">
    <w:pPr>
      <w:ind w:left="-1260" w:right="-1260"/>
      <w:rPr>
        <w:rFonts w:cs="Arial"/>
        <w:sz w:val="18"/>
      </w:rPr>
    </w:pPr>
    <w:r>
      <w:rPr>
        <w:rFonts w:cs="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006C09D8">
      <w:rPr>
        <w:rFonts w:cs="Arial"/>
        <w:sz w:val="18"/>
      </w:rPr>
      <w:t>MCVI 3.5 Packing and Shipping Policy for Courier Transport</w:t>
    </w:r>
    <w:r w:rsidR="006C09D8">
      <w:rPr>
        <w:rFonts w:cs="Arial"/>
        <w:sz w:val="18"/>
      </w:rPr>
      <w:tab/>
    </w:r>
    <w:r w:rsidR="006C09D8">
      <w:rPr>
        <w:rFonts w:cs="Arial"/>
        <w:sz w:val="18"/>
      </w:rPr>
      <w:tab/>
    </w:r>
    <w:r w:rsidR="006C09D8">
      <w:rPr>
        <w:rFonts w:cs="Arial"/>
        <w:sz w:val="18"/>
      </w:rPr>
      <w:tab/>
    </w:r>
    <w:r w:rsidR="006C09D8">
      <w:rPr>
        <w:rFonts w:cs="Arial"/>
        <w:sz w:val="18"/>
      </w:rPr>
      <w:tab/>
    </w:r>
    <w:r w:rsidR="006C09D8">
      <w:rPr>
        <w:rFonts w:cs="Arial"/>
        <w:sz w:val="18"/>
      </w:rPr>
      <w:tab/>
    </w:r>
    <w:r w:rsidR="006C09D8">
      <w:rPr>
        <w:rFonts w:cs="Arial"/>
        <w:sz w:val="18"/>
      </w:rPr>
      <w:tab/>
    </w:r>
    <w:r w:rsidR="006C09D8">
      <w:rPr>
        <w:rFonts w:cs="Arial"/>
        <w:sz w:val="18"/>
      </w:rPr>
      <w:tab/>
    </w:r>
    <w:r w:rsidR="006C09D8">
      <w:rPr>
        <w:rFonts w:cs="Arial"/>
        <w:sz w:val="18"/>
      </w:rPr>
      <w:tab/>
    </w:r>
    <w:r w:rsidR="006C09D8">
      <w:rPr>
        <w:rFonts w:cs="Arial"/>
        <w:sz w:val="18"/>
      </w:rPr>
      <w:tab/>
    </w:r>
  </w:p>
  <w:p w:rsidR="006C09D8" w:rsidRDefault="006C09D8">
    <w:pPr>
      <w:ind w:left="-1260" w:right="-1260"/>
      <w:rPr>
        <w:rFonts w:cs="Arial"/>
        <w:sz w:val="18"/>
      </w:rPr>
    </w:pPr>
    <w:r>
      <w:rPr>
        <w:rFonts w:cs="Arial"/>
        <w:sz w:val="18"/>
      </w:rPr>
      <w:t>Version 4</w:t>
    </w:r>
  </w:p>
  <w:p w:rsidR="006C09D8" w:rsidRDefault="004D7330">
    <w:pPr>
      <w:ind w:left="-1260" w:right="-1260"/>
      <w:rPr>
        <w:rFonts w:cs="Arial"/>
        <w:sz w:val="18"/>
      </w:rPr>
    </w:pPr>
    <w:r>
      <w:rPr>
        <w:rFonts w:cs="Arial"/>
        <w:sz w:val="18"/>
      </w:rPr>
      <w:t>Effective Date:  10/13</w:t>
    </w:r>
    <w:r w:rsidR="006C09D8">
      <w:rPr>
        <w:rFonts w:cs="Arial"/>
        <w:sz w:val="18"/>
      </w:rPr>
      <w:t>/2017</w:t>
    </w:r>
  </w:p>
  <w:p w:rsidR="006C09D8" w:rsidRPr="00D71B5E" w:rsidRDefault="006C09D8" w:rsidP="00D71B5E">
    <w:pPr>
      <w:ind w:left="-1260" w:right="-1260"/>
      <w:rPr>
        <w:b/>
        <w:sz w:val="18"/>
      </w:rPr>
    </w:pPr>
    <w:r>
      <w:rPr>
        <w:rFonts w:cs="Arial"/>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BAB9F2"/>
    <w:lvl w:ilvl="0" w:tplc="1BCE07C6">
      <w:numFmt w:val="none"/>
      <w:lvlText w:val=""/>
      <w:lvlJc w:val="left"/>
      <w:pPr>
        <w:tabs>
          <w:tab w:val="num" w:pos="360"/>
        </w:tabs>
      </w:pPr>
    </w:lvl>
    <w:lvl w:ilvl="1" w:tplc="7C22B156">
      <w:numFmt w:val="decimal"/>
      <w:lvlText w:val=""/>
      <w:lvlJc w:val="left"/>
    </w:lvl>
    <w:lvl w:ilvl="2" w:tplc="AE069BA6">
      <w:numFmt w:val="decimal"/>
      <w:lvlText w:val=""/>
      <w:lvlJc w:val="left"/>
    </w:lvl>
    <w:lvl w:ilvl="3" w:tplc="CB76F04C">
      <w:numFmt w:val="decimal"/>
      <w:lvlText w:val=""/>
      <w:lvlJc w:val="left"/>
    </w:lvl>
    <w:lvl w:ilvl="4" w:tplc="30D0FD54">
      <w:numFmt w:val="decimal"/>
      <w:lvlText w:val=""/>
      <w:lvlJc w:val="left"/>
    </w:lvl>
    <w:lvl w:ilvl="5" w:tplc="2C2CE58C">
      <w:numFmt w:val="decimal"/>
      <w:lvlText w:val=""/>
      <w:lvlJc w:val="left"/>
    </w:lvl>
    <w:lvl w:ilvl="6" w:tplc="DFE61C8A">
      <w:numFmt w:val="decimal"/>
      <w:lvlText w:val=""/>
      <w:lvlJc w:val="left"/>
    </w:lvl>
    <w:lvl w:ilvl="7" w:tplc="24B820AE">
      <w:numFmt w:val="decimal"/>
      <w:lvlText w:val=""/>
      <w:lvlJc w:val="left"/>
    </w:lvl>
    <w:lvl w:ilvl="8" w:tplc="384884E6">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2">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nsid w:val="0BFA1687"/>
    <w:multiLevelType w:val="hybridMultilevel"/>
    <w:tmpl w:val="DF00B6CC"/>
    <w:lvl w:ilvl="0" w:tplc="00190409">
      <w:start w:val="1"/>
      <w:numFmt w:val="lowerLetter"/>
      <w:lvlText w:val="%1."/>
      <w:lvlJc w:val="lef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6">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nsid w:val="10C74338"/>
    <w:multiLevelType w:val="hybridMultilevel"/>
    <w:tmpl w:val="77100CFA"/>
    <w:lvl w:ilvl="0" w:tplc="3478648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Verdana"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nsid w:val="11981923"/>
    <w:multiLevelType w:val="hybridMultilevel"/>
    <w:tmpl w:val="41C80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Verdana"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2">
    <w:nsid w:val="15EB0317"/>
    <w:multiLevelType w:val="hybridMultilevel"/>
    <w:tmpl w:val="67A8FA6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1B652551"/>
    <w:multiLevelType w:val="hybridMultilevel"/>
    <w:tmpl w:val="8ED294E6"/>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26FE16EE"/>
    <w:multiLevelType w:val="hybridMultilevel"/>
    <w:tmpl w:val="7CD0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37D2A"/>
    <w:multiLevelType w:val="hybridMultilevel"/>
    <w:tmpl w:val="F1D4E75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2BCB355A"/>
    <w:multiLevelType w:val="hybridMultilevel"/>
    <w:tmpl w:val="04CEB512"/>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8">
    <w:nsid w:val="2DAF526E"/>
    <w:multiLevelType w:val="hybridMultilevel"/>
    <w:tmpl w:val="3E7A50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E6A5DAE"/>
    <w:multiLevelType w:val="hybridMultilevel"/>
    <w:tmpl w:val="57664FB0"/>
    <w:lvl w:ilvl="0" w:tplc="0538B44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26511B1"/>
    <w:multiLevelType w:val="hybridMultilevel"/>
    <w:tmpl w:val="47A0135E"/>
    <w:lvl w:ilvl="0" w:tplc="74F2C8EE">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2C26AEF"/>
    <w:multiLevelType w:val="hybridMultilevel"/>
    <w:tmpl w:val="62B6693A"/>
    <w:lvl w:ilvl="0" w:tplc="0019040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F232BB"/>
    <w:multiLevelType w:val="hybridMultilevel"/>
    <w:tmpl w:val="C144F04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24">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Verdana"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8">
    <w:nsid w:val="47D73615"/>
    <w:multiLevelType w:val="hybridMultilevel"/>
    <w:tmpl w:val="2940DF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nsid w:val="4D2E2599"/>
    <w:multiLevelType w:val="hybridMultilevel"/>
    <w:tmpl w:val="540E2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582F99"/>
    <w:multiLevelType w:val="hybridMultilevel"/>
    <w:tmpl w:val="8D4410A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524E3356"/>
    <w:multiLevelType w:val="hybridMultilevel"/>
    <w:tmpl w:val="26D2D0F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52A4184F"/>
    <w:multiLevelType w:val="hybridMultilevel"/>
    <w:tmpl w:val="7D882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5">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Verdana"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6">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7">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8">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9">
    <w:nsid w:val="5F5167CF"/>
    <w:multiLevelType w:val="hybridMultilevel"/>
    <w:tmpl w:val="9F262568"/>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41">
    <w:nsid w:val="6D2A2F3E"/>
    <w:multiLevelType w:val="hybridMultilevel"/>
    <w:tmpl w:val="3F8EB9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0182681"/>
    <w:multiLevelType w:val="hybridMultilevel"/>
    <w:tmpl w:val="B5CCC8C8"/>
    <w:lvl w:ilvl="0" w:tplc="52200B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4">
    <w:nsid w:val="72D93361"/>
    <w:multiLevelType w:val="hybridMultilevel"/>
    <w:tmpl w:val="A8B83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2F43E7F"/>
    <w:multiLevelType w:val="hybridMultilevel"/>
    <w:tmpl w:val="E118E0F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nsid w:val="7A723346"/>
    <w:multiLevelType w:val="hybridMultilevel"/>
    <w:tmpl w:val="561031F6"/>
    <w:lvl w:ilvl="0" w:tplc="38D68EC2">
      <w:start w:val="1"/>
      <w:numFmt w:val="decimal"/>
      <w:lvlText w:val="%1."/>
      <w:lvlJc w:val="left"/>
      <w:pPr>
        <w:tabs>
          <w:tab w:val="num" w:pos="1800"/>
        </w:tabs>
        <w:ind w:left="1800" w:hanging="360"/>
      </w:pPr>
      <w:rPr>
        <w:rFonts w:hint="default"/>
      </w:rPr>
    </w:lvl>
    <w:lvl w:ilvl="1" w:tplc="00190409">
      <w:start w:val="1"/>
      <w:numFmt w:val="lowerLetter"/>
      <w:lvlText w:val="%2."/>
      <w:lvlJc w:val="left"/>
      <w:pPr>
        <w:tabs>
          <w:tab w:val="num" w:pos="2520"/>
        </w:tabs>
        <w:ind w:left="2520" w:hanging="360"/>
      </w:pPr>
      <w:rPr>
        <w:rFonts w:hint="default"/>
      </w:rPr>
    </w:lvl>
    <w:lvl w:ilvl="2" w:tplc="001B0409">
      <w:start w:val="1"/>
      <w:numFmt w:val="lowerRoman"/>
      <w:lvlText w:val="%3."/>
      <w:lvlJc w:val="right"/>
      <w:pPr>
        <w:tabs>
          <w:tab w:val="num" w:pos="3240"/>
        </w:tabs>
        <w:ind w:left="3240" w:hanging="180"/>
      </w:pPr>
    </w:lvl>
    <w:lvl w:ilvl="3" w:tplc="000F0409">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47">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37"/>
  </w:num>
  <w:num w:numId="2">
    <w:abstractNumId w:val="27"/>
  </w:num>
  <w:num w:numId="3">
    <w:abstractNumId w:val="43"/>
  </w:num>
  <w:num w:numId="4">
    <w:abstractNumId w:val="4"/>
  </w:num>
  <w:num w:numId="5">
    <w:abstractNumId w:val="1"/>
  </w:num>
  <w:num w:numId="6">
    <w:abstractNumId w:val="34"/>
  </w:num>
  <w:num w:numId="7">
    <w:abstractNumId w:val="13"/>
  </w:num>
  <w:num w:numId="8">
    <w:abstractNumId w:val="25"/>
  </w:num>
  <w:num w:numId="9">
    <w:abstractNumId w:val="36"/>
  </w:num>
  <w:num w:numId="10">
    <w:abstractNumId w:val="23"/>
  </w:num>
  <w:num w:numId="11">
    <w:abstractNumId w:val="3"/>
  </w:num>
  <w:num w:numId="12">
    <w:abstractNumId w:val="24"/>
  </w:num>
  <w:num w:numId="13">
    <w:abstractNumId w:val="29"/>
  </w:num>
  <w:num w:numId="14">
    <w:abstractNumId w:val="7"/>
  </w:num>
  <w:num w:numId="15">
    <w:abstractNumId w:val="6"/>
  </w:num>
  <w:num w:numId="16">
    <w:abstractNumId w:val="9"/>
  </w:num>
  <w:num w:numId="17">
    <w:abstractNumId w:val="26"/>
  </w:num>
  <w:num w:numId="18">
    <w:abstractNumId w:val="38"/>
  </w:num>
  <w:num w:numId="19">
    <w:abstractNumId w:val="2"/>
  </w:num>
  <w:num w:numId="20">
    <w:abstractNumId w:val="11"/>
  </w:num>
  <w:num w:numId="21">
    <w:abstractNumId w:val="35"/>
  </w:num>
  <w:num w:numId="22">
    <w:abstractNumId w:val="40"/>
  </w:num>
  <w:num w:numId="23">
    <w:abstractNumId w:val="47"/>
  </w:num>
  <w:num w:numId="24">
    <w:abstractNumId w:val="28"/>
  </w:num>
  <w:num w:numId="25">
    <w:abstractNumId w:val="18"/>
  </w:num>
  <w:num w:numId="26">
    <w:abstractNumId w:val="41"/>
  </w:num>
  <w:num w:numId="27">
    <w:abstractNumId w:val="44"/>
  </w:num>
  <w:num w:numId="28">
    <w:abstractNumId w:val="22"/>
  </w:num>
  <w:num w:numId="29">
    <w:abstractNumId w:val="16"/>
  </w:num>
  <w:num w:numId="30">
    <w:abstractNumId w:val="32"/>
  </w:num>
  <w:num w:numId="31">
    <w:abstractNumId w:val="14"/>
  </w:num>
  <w:num w:numId="32">
    <w:abstractNumId w:val="39"/>
  </w:num>
  <w:num w:numId="33">
    <w:abstractNumId w:val="17"/>
  </w:num>
  <w:num w:numId="34">
    <w:abstractNumId w:val="46"/>
  </w:num>
  <w:num w:numId="35">
    <w:abstractNumId w:val="5"/>
  </w:num>
  <w:num w:numId="36">
    <w:abstractNumId w:val="0"/>
  </w:num>
  <w:num w:numId="37">
    <w:abstractNumId w:val="45"/>
  </w:num>
  <w:num w:numId="38">
    <w:abstractNumId w:val="31"/>
  </w:num>
  <w:num w:numId="39">
    <w:abstractNumId w:val="12"/>
  </w:num>
  <w:num w:numId="40">
    <w:abstractNumId w:val="21"/>
  </w:num>
  <w:num w:numId="41">
    <w:abstractNumId w:val="19"/>
  </w:num>
  <w:num w:numId="42">
    <w:abstractNumId w:val="20"/>
  </w:num>
  <w:num w:numId="43">
    <w:abstractNumId w:val="42"/>
  </w:num>
  <w:num w:numId="44">
    <w:abstractNumId w:val="8"/>
  </w:num>
  <w:num w:numId="45">
    <w:abstractNumId w:val="33"/>
  </w:num>
  <w:num w:numId="46">
    <w:abstractNumId w:val="10"/>
  </w:num>
  <w:num w:numId="47">
    <w:abstractNumId w:val="15"/>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80"/>
  <w:doNotTrackMoves/>
  <w:defaultTabStop w:val="720"/>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343"/>
    <w:rsid w:val="000922AD"/>
    <w:rsid w:val="003403B6"/>
    <w:rsid w:val="00494343"/>
    <w:rsid w:val="004C02CC"/>
    <w:rsid w:val="004D7330"/>
    <w:rsid w:val="005C11EE"/>
    <w:rsid w:val="00686B6B"/>
    <w:rsid w:val="006C09D8"/>
    <w:rsid w:val="006F389F"/>
    <w:rsid w:val="00750F9A"/>
    <w:rsid w:val="008A3AA7"/>
    <w:rsid w:val="008D76A7"/>
    <w:rsid w:val="0090182E"/>
    <w:rsid w:val="00A05256"/>
    <w:rsid w:val="00B37B44"/>
    <w:rsid w:val="00C23CB9"/>
    <w:rsid w:val="00CA273F"/>
    <w:rsid w:val="00D1506C"/>
    <w:rsid w:val="00D166C8"/>
    <w:rsid w:val="00D50022"/>
    <w:rsid w:val="00D650A0"/>
    <w:rsid w:val="00D71B5E"/>
    <w:rsid w:val="00D87952"/>
    <w:rsid w:val="00E813F7"/>
    <w:rsid w:val="00F350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9F"/>
    <w:pPr>
      <w:jc w:val="both"/>
    </w:pPr>
    <w:rPr>
      <w:rFonts w:ascii="Arial" w:hAnsi="Arial"/>
      <w:szCs w:val="24"/>
    </w:rPr>
  </w:style>
  <w:style w:type="paragraph" w:styleId="Heading1">
    <w:name w:val="heading 1"/>
    <w:basedOn w:val="Normal"/>
    <w:next w:val="Normal"/>
    <w:qFormat/>
    <w:rsid w:val="006F389F"/>
    <w:pPr>
      <w:keepNext/>
      <w:numPr>
        <w:numId w:val="5"/>
      </w:numPr>
      <w:outlineLvl w:val="0"/>
    </w:pPr>
    <w:rPr>
      <w:rFonts w:cs="Arial"/>
      <w:b/>
      <w:bCs/>
      <w:kern w:val="32"/>
      <w:sz w:val="26"/>
      <w:szCs w:val="32"/>
    </w:rPr>
  </w:style>
  <w:style w:type="paragraph" w:styleId="Heading2">
    <w:name w:val="heading 2"/>
    <w:basedOn w:val="Normal"/>
    <w:next w:val="Normal"/>
    <w:qFormat/>
    <w:rsid w:val="006F389F"/>
    <w:pPr>
      <w:keepNext/>
      <w:numPr>
        <w:ilvl w:val="1"/>
        <w:numId w:val="5"/>
      </w:numPr>
      <w:outlineLvl w:val="1"/>
    </w:pPr>
    <w:rPr>
      <w:rFonts w:cs="Arial"/>
      <w:b/>
      <w:bCs/>
      <w:iCs/>
      <w:sz w:val="24"/>
      <w:szCs w:val="28"/>
    </w:rPr>
  </w:style>
  <w:style w:type="paragraph" w:styleId="Heading3">
    <w:name w:val="heading 3"/>
    <w:basedOn w:val="Normal"/>
    <w:next w:val="Normal"/>
    <w:qFormat/>
    <w:rsid w:val="006F389F"/>
    <w:pPr>
      <w:keepNext/>
      <w:numPr>
        <w:ilvl w:val="2"/>
        <w:numId w:val="5"/>
      </w:numPr>
      <w:outlineLvl w:val="2"/>
    </w:pPr>
    <w:rPr>
      <w:rFonts w:cs="Arial"/>
      <w:b/>
      <w:bCs/>
      <w:szCs w:val="26"/>
    </w:rPr>
  </w:style>
  <w:style w:type="paragraph" w:styleId="Heading4">
    <w:name w:val="heading 4"/>
    <w:aliases w:val="Map Title"/>
    <w:basedOn w:val="Normal"/>
    <w:next w:val="Normal"/>
    <w:qFormat/>
    <w:rsid w:val="006F389F"/>
    <w:pPr>
      <w:keepNext/>
      <w:numPr>
        <w:ilvl w:val="3"/>
        <w:numId w:val="5"/>
      </w:numPr>
      <w:outlineLvl w:val="3"/>
    </w:pPr>
    <w:rPr>
      <w:bCs/>
      <w:szCs w:val="28"/>
    </w:rPr>
  </w:style>
  <w:style w:type="paragraph" w:styleId="Heading5">
    <w:name w:val="heading 5"/>
    <w:aliases w:val="Block Label"/>
    <w:basedOn w:val="Normal"/>
    <w:next w:val="Normal"/>
    <w:qFormat/>
    <w:rsid w:val="006F389F"/>
    <w:pPr>
      <w:keepNext/>
      <w:numPr>
        <w:ilvl w:val="4"/>
        <w:numId w:val="5"/>
      </w:numPr>
      <w:spacing w:before="20"/>
      <w:outlineLvl w:val="4"/>
    </w:pPr>
  </w:style>
  <w:style w:type="paragraph" w:styleId="Heading6">
    <w:name w:val="heading 6"/>
    <w:basedOn w:val="Normal"/>
    <w:next w:val="Normal"/>
    <w:qFormat/>
    <w:rsid w:val="006F389F"/>
    <w:pPr>
      <w:keepNext/>
      <w:numPr>
        <w:ilvl w:val="5"/>
        <w:numId w:val="5"/>
      </w:numPr>
      <w:outlineLvl w:val="5"/>
    </w:pPr>
    <w:rPr>
      <w:b/>
      <w:bCs/>
      <w:sz w:val="18"/>
    </w:rPr>
  </w:style>
  <w:style w:type="paragraph" w:styleId="Heading7">
    <w:name w:val="heading 7"/>
    <w:basedOn w:val="Normal"/>
    <w:next w:val="Normal"/>
    <w:qFormat/>
    <w:rsid w:val="006F389F"/>
    <w:pPr>
      <w:keepNext/>
      <w:numPr>
        <w:ilvl w:val="6"/>
        <w:numId w:val="5"/>
      </w:numPr>
      <w:outlineLvl w:val="6"/>
    </w:pPr>
    <w:rPr>
      <w:sz w:val="28"/>
    </w:rPr>
  </w:style>
  <w:style w:type="paragraph" w:styleId="Heading8">
    <w:name w:val="heading 8"/>
    <w:basedOn w:val="Normal"/>
    <w:next w:val="Normal"/>
    <w:qFormat/>
    <w:rsid w:val="006F389F"/>
    <w:pPr>
      <w:keepNext/>
      <w:numPr>
        <w:ilvl w:val="7"/>
        <w:numId w:val="5"/>
      </w:numPr>
      <w:jc w:val="center"/>
      <w:outlineLvl w:val="7"/>
    </w:pPr>
    <w:rPr>
      <w:b/>
      <w:bCs/>
    </w:rPr>
  </w:style>
  <w:style w:type="paragraph" w:styleId="Heading9">
    <w:name w:val="heading 9"/>
    <w:basedOn w:val="Normal"/>
    <w:next w:val="Normal"/>
    <w:qFormat/>
    <w:rsid w:val="006F389F"/>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F389F"/>
    <w:rPr>
      <w:rFonts w:ascii="Cambria" w:hAnsi="Cambria" w:cs="Times New Roman"/>
      <w:b/>
      <w:bCs/>
      <w:kern w:val="32"/>
      <w:sz w:val="32"/>
      <w:szCs w:val="32"/>
    </w:rPr>
  </w:style>
  <w:style w:type="character" w:customStyle="1" w:styleId="Heading2Char">
    <w:name w:val="Heading 2 Char"/>
    <w:basedOn w:val="DefaultParagraphFont"/>
    <w:rsid w:val="006F389F"/>
    <w:rPr>
      <w:rFonts w:ascii="Cambria" w:hAnsi="Cambria" w:cs="Times New Roman"/>
      <w:b/>
      <w:bCs/>
      <w:i/>
      <w:iCs/>
      <w:sz w:val="28"/>
      <w:szCs w:val="28"/>
    </w:rPr>
  </w:style>
  <w:style w:type="character" w:customStyle="1" w:styleId="Heading3Char">
    <w:name w:val="Heading 3 Char"/>
    <w:basedOn w:val="DefaultParagraphFont"/>
    <w:rsid w:val="006F389F"/>
    <w:rPr>
      <w:rFonts w:ascii="Cambria" w:hAnsi="Cambria" w:cs="Times New Roman"/>
      <w:b/>
      <w:bCs/>
      <w:sz w:val="26"/>
      <w:szCs w:val="26"/>
    </w:rPr>
  </w:style>
  <w:style w:type="character" w:customStyle="1" w:styleId="Heading4Char">
    <w:name w:val="Heading 4 Char"/>
    <w:aliases w:val="Map Title Char"/>
    <w:basedOn w:val="DefaultParagraphFont"/>
    <w:rsid w:val="006F389F"/>
    <w:rPr>
      <w:rFonts w:ascii="Calibri" w:hAnsi="Calibri" w:cs="Times New Roman"/>
      <w:b/>
      <w:bCs/>
      <w:sz w:val="28"/>
      <w:szCs w:val="28"/>
    </w:rPr>
  </w:style>
  <w:style w:type="character" w:customStyle="1" w:styleId="Heading5Char">
    <w:name w:val="Heading 5 Char"/>
    <w:aliases w:val="Block Label Char"/>
    <w:basedOn w:val="DefaultParagraphFont"/>
    <w:rsid w:val="006F389F"/>
    <w:rPr>
      <w:rFonts w:ascii="Calibri" w:hAnsi="Calibri" w:cs="Times New Roman"/>
      <w:b/>
      <w:bCs/>
      <w:i/>
      <w:iCs/>
      <w:sz w:val="26"/>
      <w:szCs w:val="26"/>
    </w:rPr>
  </w:style>
  <w:style w:type="character" w:customStyle="1" w:styleId="Heading6Char">
    <w:name w:val="Heading 6 Char"/>
    <w:basedOn w:val="DefaultParagraphFont"/>
    <w:rsid w:val="006F389F"/>
    <w:rPr>
      <w:rFonts w:ascii="Calibri" w:hAnsi="Calibri" w:cs="Times New Roman"/>
      <w:b/>
      <w:bCs/>
      <w:sz w:val="22"/>
      <w:szCs w:val="22"/>
    </w:rPr>
  </w:style>
  <w:style w:type="character" w:customStyle="1" w:styleId="Heading7Char">
    <w:name w:val="Heading 7 Char"/>
    <w:basedOn w:val="DefaultParagraphFont"/>
    <w:rsid w:val="006F389F"/>
    <w:rPr>
      <w:rFonts w:ascii="Calibri" w:hAnsi="Calibri" w:cs="Times New Roman"/>
      <w:sz w:val="24"/>
      <w:szCs w:val="24"/>
    </w:rPr>
  </w:style>
  <w:style w:type="character" w:customStyle="1" w:styleId="Heading8Char">
    <w:name w:val="Heading 8 Char"/>
    <w:basedOn w:val="DefaultParagraphFont"/>
    <w:rsid w:val="006F389F"/>
    <w:rPr>
      <w:rFonts w:ascii="Calibri" w:hAnsi="Calibri" w:cs="Times New Roman"/>
      <w:i/>
      <w:iCs/>
      <w:sz w:val="24"/>
      <w:szCs w:val="24"/>
    </w:rPr>
  </w:style>
  <w:style w:type="character" w:customStyle="1" w:styleId="Heading9Char">
    <w:name w:val="Heading 9 Char"/>
    <w:basedOn w:val="DefaultParagraphFont"/>
    <w:rsid w:val="006F389F"/>
    <w:rPr>
      <w:rFonts w:ascii="Cambria" w:hAnsi="Cambria" w:cs="Times New Roman"/>
      <w:sz w:val="22"/>
      <w:szCs w:val="22"/>
    </w:rPr>
  </w:style>
  <w:style w:type="paragraph" w:styleId="BodyText">
    <w:name w:val="Body Text"/>
    <w:basedOn w:val="Normal"/>
    <w:semiHidden/>
    <w:rsid w:val="006F389F"/>
    <w:rPr>
      <w:bCs/>
      <w:iCs/>
      <w:color w:val="000000"/>
    </w:rPr>
  </w:style>
  <w:style w:type="character" w:customStyle="1" w:styleId="BodyTextChar">
    <w:name w:val="Body Text Char"/>
    <w:basedOn w:val="DefaultParagraphFont"/>
    <w:rsid w:val="006F389F"/>
    <w:rPr>
      <w:rFonts w:ascii="Times New Roman" w:hAnsi="Times New Roman" w:cs="Times New Roman"/>
      <w:sz w:val="24"/>
      <w:szCs w:val="24"/>
    </w:rPr>
  </w:style>
  <w:style w:type="paragraph" w:styleId="Header">
    <w:name w:val="header"/>
    <w:basedOn w:val="Normal"/>
    <w:semiHidden/>
    <w:rsid w:val="006F389F"/>
    <w:pPr>
      <w:tabs>
        <w:tab w:val="center" w:pos="4320"/>
        <w:tab w:val="right" w:pos="8640"/>
      </w:tabs>
    </w:pPr>
  </w:style>
  <w:style w:type="character" w:customStyle="1" w:styleId="HeaderChar">
    <w:name w:val="Header Char"/>
    <w:basedOn w:val="DefaultParagraphFont"/>
    <w:rsid w:val="006F389F"/>
    <w:rPr>
      <w:rFonts w:ascii="Times New Roman" w:hAnsi="Times New Roman" w:cs="Times New Roman"/>
      <w:sz w:val="24"/>
      <w:szCs w:val="24"/>
    </w:rPr>
  </w:style>
  <w:style w:type="paragraph" w:styleId="List">
    <w:name w:val="List"/>
    <w:basedOn w:val="Normal"/>
    <w:semiHidden/>
    <w:rsid w:val="006F389F"/>
    <w:pPr>
      <w:ind w:left="360" w:hanging="360"/>
    </w:pPr>
  </w:style>
  <w:style w:type="paragraph" w:styleId="Title">
    <w:name w:val="Title"/>
    <w:basedOn w:val="Normal"/>
    <w:qFormat/>
    <w:rsid w:val="006F389F"/>
    <w:pPr>
      <w:spacing w:before="240" w:after="60"/>
      <w:jc w:val="center"/>
    </w:pPr>
    <w:rPr>
      <w:rFonts w:cs="Arial"/>
      <w:b/>
      <w:bCs/>
      <w:kern w:val="28"/>
      <w:sz w:val="28"/>
      <w:szCs w:val="32"/>
    </w:rPr>
  </w:style>
  <w:style w:type="character" w:customStyle="1" w:styleId="TitleChar">
    <w:name w:val="Title Char"/>
    <w:basedOn w:val="DefaultParagraphFont"/>
    <w:rsid w:val="006F389F"/>
    <w:rPr>
      <w:rFonts w:ascii="Cambria" w:hAnsi="Cambria" w:cs="Times New Roman"/>
      <w:b/>
      <w:bCs/>
      <w:kern w:val="28"/>
      <w:sz w:val="32"/>
      <w:szCs w:val="32"/>
    </w:rPr>
  </w:style>
  <w:style w:type="paragraph" w:styleId="BodyTextIndent">
    <w:name w:val="Body Text Indent"/>
    <w:basedOn w:val="Normal"/>
    <w:semiHidden/>
    <w:rsid w:val="006F389F"/>
    <w:pPr>
      <w:jc w:val="left"/>
    </w:pPr>
    <w:rPr>
      <w:b/>
      <w:bCs/>
      <w:color w:val="0000FF"/>
    </w:rPr>
  </w:style>
  <w:style w:type="character" w:customStyle="1" w:styleId="BodyText2Char">
    <w:name w:val="Body Text 2 Char"/>
    <w:basedOn w:val="DefaultParagraphFont"/>
    <w:rsid w:val="006F389F"/>
    <w:rPr>
      <w:rFonts w:ascii="Times New Roman" w:hAnsi="Times New Roman" w:cs="Times New Roman"/>
      <w:sz w:val="24"/>
      <w:szCs w:val="24"/>
    </w:rPr>
  </w:style>
  <w:style w:type="paragraph" w:styleId="Footer">
    <w:name w:val="footer"/>
    <w:basedOn w:val="Normal"/>
    <w:uiPriority w:val="99"/>
    <w:rsid w:val="006F389F"/>
    <w:pPr>
      <w:tabs>
        <w:tab w:val="center" w:pos="4320"/>
        <w:tab w:val="right" w:pos="8640"/>
      </w:tabs>
    </w:pPr>
  </w:style>
  <w:style w:type="character" w:customStyle="1" w:styleId="FooterChar">
    <w:name w:val="Footer Char"/>
    <w:basedOn w:val="DefaultParagraphFont"/>
    <w:uiPriority w:val="99"/>
    <w:rsid w:val="006F389F"/>
    <w:rPr>
      <w:rFonts w:ascii="Times New Roman" w:hAnsi="Times New Roman" w:cs="Times New Roman"/>
      <w:sz w:val="24"/>
      <w:szCs w:val="24"/>
    </w:rPr>
  </w:style>
  <w:style w:type="character" w:styleId="FootnoteReference">
    <w:name w:val="footnote reference"/>
    <w:basedOn w:val="DefaultParagraphFont"/>
    <w:semiHidden/>
    <w:rsid w:val="006F389F"/>
    <w:rPr>
      <w:rFonts w:ascii="Times New Roman" w:hAnsi="Times New Roman" w:cs="Times New Roman"/>
      <w:sz w:val="18"/>
      <w:vertAlign w:val="superscript"/>
    </w:rPr>
  </w:style>
  <w:style w:type="paragraph" w:customStyle="1" w:styleId="Heading">
    <w:name w:val="Heading"/>
    <w:basedOn w:val="Heading1"/>
    <w:next w:val="Normal"/>
    <w:rsid w:val="006F389F"/>
    <w:pPr>
      <w:numPr>
        <w:numId w:val="0"/>
      </w:numPr>
    </w:pPr>
  </w:style>
  <w:style w:type="paragraph" w:customStyle="1" w:styleId="TableText">
    <w:name w:val="Table Text"/>
    <w:basedOn w:val="Normal"/>
    <w:rsid w:val="006F389F"/>
    <w:pPr>
      <w:autoSpaceDE w:val="0"/>
      <w:autoSpaceDN w:val="0"/>
      <w:jc w:val="left"/>
    </w:pPr>
  </w:style>
  <w:style w:type="paragraph" w:customStyle="1" w:styleId="TableHeaderText">
    <w:name w:val="Table Header Text"/>
    <w:basedOn w:val="TableText"/>
    <w:rsid w:val="006F389F"/>
    <w:pPr>
      <w:jc w:val="center"/>
    </w:pPr>
    <w:rPr>
      <w:b/>
      <w:bCs/>
    </w:rPr>
  </w:style>
  <w:style w:type="paragraph" w:styleId="BodyText3">
    <w:name w:val="Body Text 3"/>
    <w:basedOn w:val="Normal"/>
    <w:semiHidden/>
    <w:rsid w:val="006F389F"/>
    <w:rPr>
      <w:b/>
      <w:color w:val="0000FF"/>
    </w:rPr>
  </w:style>
  <w:style w:type="character" w:customStyle="1" w:styleId="BodyText3Char">
    <w:name w:val="Body Text 3 Char"/>
    <w:basedOn w:val="DefaultParagraphFont"/>
    <w:rsid w:val="006F389F"/>
    <w:rPr>
      <w:rFonts w:ascii="Times New Roman" w:hAnsi="Times New Roman" w:cs="Times New Roman"/>
      <w:sz w:val="16"/>
      <w:szCs w:val="16"/>
    </w:rPr>
  </w:style>
  <w:style w:type="paragraph" w:customStyle="1" w:styleId="Custom">
    <w:name w:val="Custom"/>
    <w:basedOn w:val="Normal"/>
    <w:rsid w:val="006F389F"/>
    <w:rPr>
      <w:rFonts w:cs="Arial"/>
      <w:sz w:val="24"/>
    </w:rPr>
  </w:style>
  <w:style w:type="paragraph" w:customStyle="1" w:styleId="Custom2">
    <w:name w:val="Custom 2"/>
    <w:basedOn w:val="Normal"/>
    <w:rsid w:val="006F389F"/>
    <w:pPr>
      <w:jc w:val="left"/>
    </w:pPr>
    <w:rPr>
      <w:rFonts w:cs="Arial"/>
      <w:b/>
      <w:bCs/>
      <w:color w:val="0000FF"/>
    </w:rPr>
  </w:style>
  <w:style w:type="paragraph" w:customStyle="1" w:styleId="Custom3">
    <w:name w:val="Custom 3"/>
    <w:basedOn w:val="Normal"/>
    <w:rsid w:val="006F389F"/>
    <w:rPr>
      <w:rFonts w:cs="Arial"/>
      <w:b/>
      <w:color w:val="0000FF"/>
      <w:sz w:val="36"/>
    </w:rPr>
  </w:style>
  <w:style w:type="paragraph" w:styleId="NormalWeb">
    <w:name w:val="Normal (Web)"/>
    <w:basedOn w:val="Normal"/>
    <w:semiHidden/>
    <w:rsid w:val="006F389F"/>
    <w:pPr>
      <w:spacing w:before="100" w:beforeAutospacing="1" w:after="100" w:afterAutospacing="1"/>
      <w:jc w:val="left"/>
    </w:pPr>
    <w:rPr>
      <w:rFonts w:ascii="Arial Unicode MS" w:eastAsia="Arial Unicode MS" w:hAnsi="Arial Unicode MS" w:cs="Arial Unicode MS"/>
      <w:sz w:val="24"/>
    </w:rPr>
  </w:style>
  <w:style w:type="character" w:styleId="Hyperlink">
    <w:name w:val="Hyperlink"/>
    <w:basedOn w:val="DefaultParagraphFont"/>
    <w:uiPriority w:val="99"/>
    <w:unhideWhenUsed/>
    <w:rsid w:val="008D76A7"/>
    <w:rPr>
      <w:color w:val="0000FF"/>
      <w:u w:val="single"/>
    </w:rPr>
  </w:style>
  <w:style w:type="character" w:styleId="FollowedHyperlink">
    <w:name w:val="FollowedHyperlink"/>
    <w:basedOn w:val="DefaultParagraphFont"/>
    <w:uiPriority w:val="99"/>
    <w:semiHidden/>
    <w:unhideWhenUsed/>
    <w:rsid w:val="008D76A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Microbiology\micro%20forms\CATEGORY%20A%20and%20B%20FORMS%20and%20Packaging\INFECTIOUS%20SUBSTANCES%20PACKING%20AND%20SHIPPING\MCVI%203.52%20Packaging%20Category%20A%20Specimen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G:\LAB\Microbiology\micro%20forms\CATEGORY%20A%20and%20B%20FORMS%20and%20Packaging\INFECTIOUS%20SUBSTANCES%20PACKING%20AND%20SHIPPING\MCVI%203.51%20Packaging%20Category%20B%20Specimen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han.childrensmn.org/Web/Switchboards/20926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1064</Words>
  <Characters>6840</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7889</CharactersWithSpaces>
  <SharedDoc>false</SharedDoc>
  <HLinks>
    <vt:vector size="6" baseType="variant">
      <vt:variant>
        <vt:i4>3211390</vt:i4>
      </vt:variant>
      <vt:variant>
        <vt:i4>0</vt:i4>
      </vt:variant>
      <vt:variant>
        <vt:i4>0</vt:i4>
      </vt:variant>
      <vt:variant>
        <vt:i4>5</vt:i4>
      </vt:variant>
      <vt:variant>
        <vt:lpwstr>http://khan.childrensmn.org/Web/Switchboards/209269.pdf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4</cp:revision>
  <cp:lastPrinted>2015-04-08T17:23:00Z</cp:lastPrinted>
  <dcterms:created xsi:type="dcterms:W3CDTF">2017-09-22T19:14:00Z</dcterms:created>
  <dcterms:modified xsi:type="dcterms:W3CDTF">2017-09-28T21:05:00Z</dcterms:modified>
</cp:coreProperties>
</file>