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2702"/>
        <w:gridCol w:w="372"/>
        <w:gridCol w:w="1431"/>
        <w:gridCol w:w="3421"/>
        <w:gridCol w:w="8"/>
        <w:gridCol w:w="2696"/>
        <w:gridCol w:w="2696"/>
      </w:tblGrid>
      <w:tr w:rsidR="00563051">
        <w:trPr>
          <w:gridAfter w:val="2"/>
          <w:wAfter w:w="5392" w:type="dxa"/>
          <w:cantSplit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3051" w:rsidRPr="000E3481" w:rsidRDefault="00FC05C7" w:rsidP="000E3481">
            <w:pPr>
              <w:pStyle w:val="Title"/>
              <w:tabs>
                <w:tab w:val="center" w:pos="5476"/>
              </w:tabs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Title</w:t>
            </w:r>
            <w:r w:rsidR="00EF1E3C">
              <w:rPr>
                <w:rFonts w:ascii="Arial" w:hAnsi="Arial"/>
                <w:color w:val="0000FF"/>
              </w:rPr>
              <w:tab/>
            </w:r>
            <w:r w:rsidR="007D2EEC" w:rsidRPr="007D2EEC">
              <w:rPr>
                <w:rFonts w:ascii="Arial" w:hAnsi="Arial"/>
                <w:b w:val="0"/>
              </w:rPr>
              <w:t>MCVI 3.52</w:t>
            </w:r>
            <w:r w:rsidR="007D2EEC">
              <w:rPr>
                <w:rFonts w:ascii="Arial" w:hAnsi="Arial"/>
                <w:color w:val="0000FF"/>
              </w:rPr>
              <w:t xml:space="preserve"> </w:t>
            </w:r>
            <w:r w:rsidR="00B605E3">
              <w:rPr>
                <w:rFonts w:ascii="Arial" w:hAnsi="Arial"/>
                <w:b w:val="0"/>
              </w:rPr>
              <w:t>Packaging Category A</w:t>
            </w:r>
            <w:r w:rsidR="00EF1E3C" w:rsidRPr="00EF1E3C">
              <w:rPr>
                <w:rFonts w:ascii="Arial" w:hAnsi="Arial"/>
                <w:b w:val="0"/>
              </w:rPr>
              <w:t xml:space="preserve"> Specimens</w:t>
            </w:r>
          </w:p>
        </w:tc>
      </w:tr>
      <w:tr w:rsidR="00563051">
        <w:trPr>
          <w:gridAfter w:val="2"/>
          <w:wAfter w:w="5392" w:type="dxa"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63051" w:rsidRDefault="00EF1E3C" w:rsidP="00EC366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 purpose o</w:t>
            </w:r>
            <w:r w:rsidR="00EC3668">
              <w:rPr>
                <w:rFonts w:ascii="Arial" w:hAnsi="Arial"/>
              </w:rPr>
              <w:t>f this procedure is to provide</w:t>
            </w:r>
            <w:r>
              <w:rPr>
                <w:rFonts w:ascii="Arial" w:hAnsi="Arial"/>
              </w:rPr>
              <w:t xml:space="preserve"> detailed instructions for packaging Category A Specimens to MDH using INFECON 2000 and 3000 Instruction Guides</w:t>
            </w:r>
            <w:r w:rsidR="00EC3668">
              <w:rPr>
                <w:rFonts w:ascii="Arial" w:hAnsi="Arial"/>
              </w:rPr>
              <w:t>.</w:t>
            </w:r>
            <w:r w:rsidR="00EC3668">
              <w:rPr>
                <w:rFonts w:cs="Arial"/>
              </w:rPr>
              <w:t xml:space="preserve"> </w:t>
            </w:r>
          </w:p>
        </w:tc>
      </w:tr>
      <w:tr w:rsidR="00563051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652552" w:rsidP="00652552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Children’s Hospitals and Clinics of Minnesota </w:t>
            </w:r>
            <w:proofErr w:type="gramStart"/>
            <w:r>
              <w:rPr>
                <w:rFonts w:ascii="Arial" w:hAnsi="Arial" w:cs="Arial"/>
                <w:sz w:val="20"/>
              </w:rPr>
              <w:t>complies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with the U.S. Department of Transportation (DOT) regulations regarding the transport of patient specimens and culture isolates.</w:t>
            </w:r>
          </w:p>
        </w:tc>
      </w:tr>
      <w:tr w:rsidR="00563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563051" w:rsidRDefault="00563051" w:rsidP="00EF1E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 w:rsidP="00EF1E3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EF1E3C" w:rsidTr="00EF1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1E3C" w:rsidRDefault="00EF1E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C" w:rsidRDefault="00EF1E3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Supplies for packaging plates </w:t>
            </w:r>
          </w:p>
        </w:tc>
      </w:tr>
      <w:tr w:rsidR="00EF1E3C" w:rsidTr="00EF1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1E3C" w:rsidRDefault="00EF1E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 for packaging plates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C" w:rsidRPr="00EF1E3C" w:rsidRDefault="00EF1E3C" w:rsidP="00EF1E3C">
            <w:pPr>
              <w:jc w:val="left"/>
              <w:rPr>
                <w:rFonts w:ascii="Arial" w:hAnsi="Arial"/>
                <w:sz w:val="20"/>
              </w:rPr>
            </w:pPr>
            <w:r w:rsidRPr="00073153">
              <w:rPr>
                <w:sz w:val="28"/>
                <w:szCs w:val="28"/>
              </w:rPr>
              <w:t xml:space="preserve">Before you begin </w:t>
            </w:r>
            <w:r>
              <w:rPr>
                <w:sz w:val="28"/>
                <w:szCs w:val="28"/>
              </w:rPr>
              <w:t xml:space="preserve">packaging </w:t>
            </w:r>
            <w:r w:rsidRPr="00073153">
              <w:rPr>
                <w:sz w:val="28"/>
                <w:szCs w:val="28"/>
              </w:rPr>
              <w:t>you will need:</w:t>
            </w:r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infectious substance(s) that you are shipping securely closed with </w:t>
            </w:r>
            <w:proofErr w:type="spellStart"/>
            <w:r>
              <w:rPr>
                <w:szCs w:val="24"/>
              </w:rPr>
              <w:t>parafilm</w:t>
            </w:r>
            <w:proofErr w:type="spellEnd"/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completed MDH form(s) that accompany specimen(s)</w:t>
            </w:r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1 large category A shipper</w:t>
            </w:r>
          </w:p>
          <w:p w:rsidR="00EF1E3C" w:rsidRPr="00E704F9" w:rsidRDefault="00EF1E3C" w:rsidP="00EF1E3C">
            <w:pPr>
              <w:pStyle w:val="NoSpacing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1 completed Shipper’s Declaration Form with Emergency Response Information (2 pages total)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Pre-filled forms are located in manila folder in category A </w:t>
            </w:r>
            <w:proofErr w:type="spellStart"/>
            <w:r>
              <w:rPr>
                <w:szCs w:val="24"/>
              </w:rPr>
              <w:t>bin</w:t>
            </w:r>
            <w:proofErr w:type="spellEnd"/>
            <w:r>
              <w:rPr>
                <w:szCs w:val="24"/>
              </w:rPr>
              <w:t xml:space="preserve"> located on top shelf by culture desk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Choose correct form (positive EHEC, suspected category A or misc.) and fill in # of boxes and the total quantity of specimen being shipped. Note: if you are sending multiple specimens or multiple boxes they can be on the same form.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Sign and date the bottom of the form.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Make a copy and save in orange “Shipped Shipper’s Declarations” folder also located in category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bin for 2 years.</w:t>
            </w:r>
          </w:p>
          <w:p w:rsidR="00EF1E3C" w:rsidRDefault="00EF1E3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pStyle w:val="Custom2"/>
            </w:pPr>
          </w:p>
          <w:p w:rsidR="00563051" w:rsidRDefault="00EF1E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 for packaging tubes/vials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1E3C" w:rsidTr="00EF1E3C">
        <w:trPr>
          <w:gridAfter w:val="3"/>
          <w:wAfter w:w="5400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E3C" w:rsidRDefault="00EF1E3C">
            <w:pPr>
              <w:pStyle w:val="Custom2"/>
            </w:pPr>
          </w:p>
        </w:tc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3C" w:rsidRDefault="00EF1E3C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Supplies for packaging tubes/vials</w:t>
            </w:r>
          </w:p>
        </w:tc>
      </w:tr>
      <w:tr w:rsidR="00EF1E3C" w:rsidTr="00EF1E3C">
        <w:trPr>
          <w:gridAfter w:val="3"/>
          <w:wAfter w:w="5400" w:type="dxa"/>
          <w:cantSplit/>
          <w:trHeight w:val="82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E3C" w:rsidRDefault="00EF1E3C">
            <w:pPr>
              <w:pStyle w:val="Custom2"/>
            </w:pPr>
          </w:p>
        </w:tc>
        <w:tc>
          <w:tcPr>
            <w:tcW w:w="93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3C" w:rsidRPr="00073153" w:rsidRDefault="00EF1E3C" w:rsidP="00EF1E3C">
            <w:pPr>
              <w:pStyle w:val="NoSpacing"/>
              <w:ind w:firstLine="360"/>
              <w:rPr>
                <w:sz w:val="28"/>
                <w:szCs w:val="28"/>
              </w:rPr>
            </w:pPr>
            <w:r w:rsidRPr="00073153">
              <w:rPr>
                <w:sz w:val="28"/>
                <w:szCs w:val="28"/>
              </w:rPr>
              <w:t xml:space="preserve">Before you begin </w:t>
            </w:r>
            <w:r>
              <w:rPr>
                <w:sz w:val="28"/>
                <w:szCs w:val="28"/>
              </w:rPr>
              <w:t xml:space="preserve">packaging </w:t>
            </w:r>
            <w:r w:rsidRPr="00073153">
              <w:rPr>
                <w:sz w:val="28"/>
                <w:szCs w:val="28"/>
              </w:rPr>
              <w:t>you will need:</w:t>
            </w:r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infectious substance(s) that you are shipping securely closed with </w:t>
            </w:r>
            <w:proofErr w:type="spellStart"/>
            <w:r>
              <w:rPr>
                <w:szCs w:val="24"/>
              </w:rPr>
              <w:t>parafilm</w:t>
            </w:r>
            <w:proofErr w:type="spellEnd"/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completed MDH form(s) that accompany specimen(s)</w:t>
            </w:r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1 small category A shipper</w:t>
            </w:r>
          </w:p>
          <w:p w:rsidR="00EF1E3C" w:rsidRDefault="00EF1E3C" w:rsidP="00EF1E3C">
            <w:pPr>
              <w:pStyle w:val="NoSpacing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1 completed Shipper’s Declaration Form with Emergency Response Information (2 pages total)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Pre-filled forms are located in manila folder in category A </w:t>
            </w:r>
            <w:proofErr w:type="spellStart"/>
            <w:r>
              <w:rPr>
                <w:szCs w:val="24"/>
              </w:rPr>
              <w:t>bin</w:t>
            </w:r>
            <w:proofErr w:type="spellEnd"/>
            <w:r>
              <w:rPr>
                <w:szCs w:val="24"/>
              </w:rPr>
              <w:t xml:space="preserve"> located on top shelf by culture desk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Choose correct form (positive EHEC, suspected category A or misc.) and fill in # of boxes and the total quantity of specimen being shipped. Note: if you are sending multiple specimens or multiple boxes they can be on the same form.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Sign and date the bottom of the form.</w:t>
            </w:r>
          </w:p>
          <w:p w:rsidR="00EF1E3C" w:rsidRDefault="00EF1E3C" w:rsidP="00EF1E3C">
            <w:pPr>
              <w:pStyle w:val="NoSpacing"/>
              <w:numPr>
                <w:ilvl w:val="1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Make a copy and save in orange “Shipped Shipper’s Declarations” folder also located in category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bin for 2 years.</w:t>
            </w:r>
          </w:p>
          <w:p w:rsidR="00EF1E3C" w:rsidRDefault="00EF1E3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563051" w:rsidRDefault="0056305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63051" w:rsidRDefault="00563051">
            <w:pPr>
              <w:rPr>
                <w:rFonts w:ascii="Arial" w:hAnsi="Arial" w:cs="Arial"/>
                <w:sz w:val="20"/>
              </w:rPr>
            </w:pPr>
          </w:p>
          <w:p w:rsidR="00563051" w:rsidRDefault="00FC05C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Microbiology Procedure Manual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Virology Procedure Manual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56305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 Containment</w:t>
            </w:r>
          </w:p>
          <w:p w:rsidR="0056305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Safety in the Microbiology/Virology Laboratory</w:t>
            </w:r>
          </w:p>
          <w:p w:rsidR="00563051" w:rsidRDefault="00FC05C7" w:rsidP="00FC05C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Biohazardous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Spills</w:t>
            </w:r>
          </w:p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63051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1E3C" w:rsidRDefault="00EF1E3C" w:rsidP="00EF1E3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1E3C" w:rsidRDefault="00EF1E3C" w:rsidP="00EF1E3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 for Packaging plates</w:t>
            </w:r>
          </w:p>
          <w:p w:rsidR="00563051" w:rsidRDefault="00563051">
            <w:pPr>
              <w:rPr>
                <w:rFonts w:ascii="Arial" w:hAnsi="Arial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E3C" w:rsidRPr="00073153" w:rsidRDefault="00EF1E3C" w:rsidP="00EF1E3C">
            <w:pPr>
              <w:pStyle w:val="NoSpacing"/>
              <w:ind w:firstLine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</w:t>
            </w:r>
            <w:r w:rsidR="007D2EEC">
              <w:rPr>
                <w:sz w:val="28"/>
                <w:szCs w:val="28"/>
                <w:u w:val="single"/>
              </w:rPr>
              <w:t>ollow these steps for packaging plates: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Make sure lid o</w:t>
            </w:r>
            <w:r>
              <w:rPr>
                <w:sz w:val="28"/>
                <w:szCs w:val="28"/>
              </w:rPr>
              <w:t>f plate is securely closed with</w:t>
            </w:r>
            <w:r w:rsidRPr="005C2DE0">
              <w:rPr>
                <w:sz w:val="28"/>
                <w:szCs w:val="28"/>
              </w:rPr>
              <w:t xml:space="preserve"> </w:t>
            </w:r>
            <w:proofErr w:type="spellStart"/>
            <w:r w:rsidRPr="005C2DE0">
              <w:rPr>
                <w:sz w:val="28"/>
                <w:szCs w:val="28"/>
              </w:rPr>
              <w:t>parafilm</w:t>
            </w:r>
            <w:proofErr w:type="spellEnd"/>
            <w:r w:rsidRPr="005C2DE0">
              <w:rPr>
                <w:sz w:val="28"/>
                <w:szCs w:val="28"/>
              </w:rPr>
              <w:t>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Remove vessel assembly from foam insert inside box.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Remove bubble bag from </w:t>
            </w:r>
            <w:r w:rsidRPr="005C2DE0">
              <w:rPr>
                <w:sz w:val="28"/>
                <w:szCs w:val="28"/>
              </w:rPr>
              <w:t>vessel leaving absorbent sheet at the bottom of the vessel.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Cut/Tear bubble bag in half along center seam.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Fold one half of bag in half again and place in bottom of vessel.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Place securely closed plate on top.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Fold other half of bag in half and put on top of plate.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Fill any remaining void space with cushioning/ absorbent material.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sure o-ring is seated correctly on vessel.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>With vessel on a stable, flat surface,</w:t>
            </w:r>
            <w:r>
              <w:rPr>
                <w:sz w:val="28"/>
                <w:szCs w:val="28"/>
              </w:rPr>
              <w:t xml:space="preserve"> place lid on vessel with cap notches oriented between container notches</w:t>
            </w:r>
            <w:r w:rsidRPr="005C2DE0">
              <w:rPr>
                <w:sz w:val="28"/>
                <w:szCs w:val="28"/>
              </w:rPr>
              <w:t>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 xml:space="preserve">Secure lid by pressing down firmly and evenly over o-ring and </w:t>
            </w:r>
            <w:r>
              <w:rPr>
                <w:sz w:val="28"/>
                <w:szCs w:val="28"/>
              </w:rPr>
              <w:t>turning clockwise until cap notches hit stops on vessel notches</w:t>
            </w:r>
            <w:r w:rsidRPr="005C2DE0">
              <w:rPr>
                <w:sz w:val="28"/>
                <w:szCs w:val="28"/>
              </w:rPr>
              <w:t>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>Place vessel back into box by seating it in foam insert.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>Place MDH form (or other itemized list) into box.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 xml:space="preserve">Close inner flaps and then top flap and lock in </w:t>
            </w:r>
            <w:r>
              <w:rPr>
                <w:sz w:val="28"/>
                <w:szCs w:val="28"/>
              </w:rPr>
              <w:t>place with postal-lock tab. (May</w:t>
            </w:r>
            <w:r w:rsidRPr="005C2DE0">
              <w:rPr>
                <w:sz w:val="28"/>
                <w:szCs w:val="28"/>
              </w:rPr>
              <w:t xml:space="preserve"> secure with tape).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>Ensure correct labels are on the outside of box:</w:t>
            </w:r>
          </w:p>
          <w:p w:rsidR="00EF1E3C" w:rsidRPr="005C2DE0" w:rsidRDefault="00EF1E3C" w:rsidP="00EF1E3C">
            <w:pPr>
              <w:pStyle w:val="NoSpacing"/>
              <w:numPr>
                <w:ilvl w:val="2"/>
                <w:numId w:val="6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UN2814 infectious substance, affecting humans</w:t>
            </w:r>
          </w:p>
          <w:p w:rsidR="00EF1E3C" w:rsidRPr="00682D99" w:rsidRDefault="00EF1E3C" w:rsidP="00EF1E3C">
            <w:pPr>
              <w:pStyle w:val="NoSpacing"/>
              <w:numPr>
                <w:ilvl w:val="2"/>
                <w:numId w:val="6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Infectious substance hazard label</w:t>
            </w:r>
          </w:p>
          <w:p w:rsidR="00EF1E3C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DE0">
              <w:rPr>
                <w:sz w:val="28"/>
                <w:szCs w:val="28"/>
              </w:rPr>
              <w:t>Confirm addresses on outer box are correct.</w:t>
            </w:r>
          </w:p>
          <w:p w:rsidR="00EF1E3C" w:rsidRDefault="00EF1E3C" w:rsidP="00EF1E3C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Fold Shipper’s Declaration Form printed side out and attach to top of box.</w:t>
            </w:r>
          </w:p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563051" w:rsidRDefault="00EF1E3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 for Packaging tubes/vials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EF1E3C" w:rsidRPr="00073153" w:rsidRDefault="00EF1E3C" w:rsidP="00EF1E3C">
            <w:pPr>
              <w:pStyle w:val="NoSpacing"/>
              <w:ind w:firstLine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Follow these steps for packaging</w:t>
            </w:r>
            <w:r w:rsidR="007D2EEC">
              <w:rPr>
                <w:sz w:val="28"/>
                <w:szCs w:val="28"/>
                <w:u w:val="single"/>
              </w:rPr>
              <w:t xml:space="preserve"> tubes/vials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Make sure tu</w:t>
            </w:r>
            <w:r>
              <w:rPr>
                <w:sz w:val="28"/>
                <w:szCs w:val="28"/>
              </w:rPr>
              <w:t xml:space="preserve">bes/vials are leak proof and secured with </w:t>
            </w:r>
            <w:proofErr w:type="spellStart"/>
            <w:r w:rsidRPr="005C2DE0">
              <w:rPr>
                <w:sz w:val="28"/>
                <w:szCs w:val="28"/>
              </w:rPr>
              <w:t>parafilm</w:t>
            </w:r>
            <w:proofErr w:type="spellEnd"/>
            <w:r w:rsidRPr="005C2DE0">
              <w:rPr>
                <w:sz w:val="28"/>
                <w:szCs w:val="28"/>
              </w:rPr>
              <w:t>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Disassemble c</w:t>
            </w:r>
            <w:r w:rsidRPr="005C2DE0">
              <w:rPr>
                <w:sz w:val="28"/>
                <w:szCs w:val="28"/>
              </w:rPr>
              <w:t>ategory</w:t>
            </w:r>
            <w:r>
              <w:rPr>
                <w:sz w:val="28"/>
                <w:szCs w:val="28"/>
              </w:rPr>
              <w:t xml:space="preserve"> A shipper a</w:t>
            </w:r>
            <w:r w:rsidRPr="005C2DE0">
              <w:rPr>
                <w:sz w:val="28"/>
                <w:szCs w:val="28"/>
              </w:rPr>
              <w:t xml:space="preserve">nd verify that you have 1 of </w:t>
            </w:r>
            <w:r>
              <w:rPr>
                <w:sz w:val="28"/>
                <w:szCs w:val="28"/>
              </w:rPr>
              <w:t>each of the following items</w:t>
            </w:r>
            <w:r w:rsidRPr="005C2DE0">
              <w:rPr>
                <w:sz w:val="28"/>
                <w:szCs w:val="28"/>
              </w:rPr>
              <w:t xml:space="preserve"> (note: if </w:t>
            </w:r>
            <w:r>
              <w:rPr>
                <w:sz w:val="28"/>
                <w:szCs w:val="28"/>
              </w:rPr>
              <w:t xml:space="preserve">the shipper does </w:t>
            </w:r>
            <w:r w:rsidRPr="005C2DE0">
              <w:rPr>
                <w:sz w:val="28"/>
                <w:szCs w:val="28"/>
              </w:rPr>
              <w:t xml:space="preserve">not have everything listed </w:t>
            </w:r>
            <w:r>
              <w:rPr>
                <w:sz w:val="28"/>
                <w:szCs w:val="28"/>
              </w:rPr>
              <w:t xml:space="preserve">here </w:t>
            </w:r>
            <w:r>
              <w:rPr>
                <w:sz w:val="28"/>
                <w:szCs w:val="28"/>
              </w:rPr>
              <w:lastRenderedPageBreak/>
              <w:t>DO NOT USE</w:t>
            </w:r>
            <w:r w:rsidRPr="005C2D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EF1E3C" w:rsidRPr="005C2DE0" w:rsidRDefault="00EF1E3C" w:rsidP="00EF1E3C">
            <w:pPr>
              <w:pStyle w:val="NoSpacing"/>
              <w:numPr>
                <w:ilvl w:val="1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5C2DE0">
              <w:rPr>
                <w:sz w:val="28"/>
                <w:szCs w:val="28"/>
              </w:rPr>
              <w:t>n absorbent sheet</w:t>
            </w:r>
          </w:p>
          <w:p w:rsidR="00EF1E3C" w:rsidRPr="005C2DE0" w:rsidRDefault="00EF1E3C" w:rsidP="00EF1E3C">
            <w:pPr>
              <w:pStyle w:val="NoSpacing"/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a bubble pouch</w:t>
            </w:r>
            <w:r>
              <w:rPr>
                <w:sz w:val="28"/>
                <w:szCs w:val="28"/>
              </w:rPr>
              <w:t xml:space="preserve"> (see picture below)</w:t>
            </w:r>
          </w:p>
          <w:p w:rsidR="00EF1E3C" w:rsidRPr="005C2DE0" w:rsidRDefault="00EF1E3C" w:rsidP="00EF1E3C">
            <w:pPr>
              <w:pStyle w:val="NoSpacing"/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 xml:space="preserve">a pressure vessel </w:t>
            </w:r>
            <w:r>
              <w:rPr>
                <w:sz w:val="28"/>
                <w:szCs w:val="28"/>
              </w:rPr>
              <w:t>(</w:t>
            </w:r>
            <w:r w:rsidRPr="005C2DE0">
              <w:rPr>
                <w:sz w:val="28"/>
                <w:szCs w:val="28"/>
              </w:rPr>
              <w:t>w/ twist on lid</w:t>
            </w:r>
            <w:r>
              <w:rPr>
                <w:sz w:val="28"/>
                <w:szCs w:val="28"/>
              </w:rPr>
              <w:t>) that has a biohazard label attached</w:t>
            </w:r>
          </w:p>
          <w:p w:rsidR="00EF1E3C" w:rsidRPr="005C2DE0" w:rsidRDefault="00EF1E3C" w:rsidP="00EF1E3C">
            <w:pPr>
              <w:pStyle w:val="NoSpacing"/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an outer box with the following labels</w:t>
            </w:r>
            <w:r>
              <w:rPr>
                <w:sz w:val="28"/>
                <w:szCs w:val="28"/>
              </w:rPr>
              <w:t>:</w:t>
            </w:r>
          </w:p>
          <w:p w:rsidR="00EF1E3C" w:rsidRPr="005C2DE0" w:rsidRDefault="00EF1E3C" w:rsidP="00EF1E3C">
            <w:pPr>
              <w:pStyle w:val="NoSpacing"/>
              <w:numPr>
                <w:ilvl w:val="2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UN2814 infectious substance, affecting humans</w:t>
            </w:r>
          </w:p>
          <w:p w:rsidR="00EF1E3C" w:rsidRPr="005C2DE0" w:rsidRDefault="00EF1E3C" w:rsidP="00EF1E3C">
            <w:pPr>
              <w:pStyle w:val="NoSpacing"/>
              <w:numPr>
                <w:ilvl w:val="2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Infectious substance hazard label</w:t>
            </w:r>
          </w:p>
          <w:p w:rsidR="00EF1E3C" w:rsidRPr="00580B3F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580B3F">
              <w:rPr>
                <w:sz w:val="28"/>
                <w:szCs w:val="28"/>
              </w:rPr>
              <w:t>lace absorbent sheet inside pressure vessel.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Place tubes/vials into compartments of bubble pouch and roll it up.</w:t>
            </w:r>
          </w:p>
          <w:p w:rsidR="00EF1E3C" w:rsidRPr="005C2DE0" w:rsidRDefault="00545C8C" w:rsidP="00EF1E3C">
            <w:pPr>
              <w:pStyle w:val="NoSpacing"/>
              <w:ind w:left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position:absolute;left:0;text-align:left;margin-left:54pt;margin-top:0;width:96.75pt;height:84pt;z-index:251659264;visibility:visible;mso-wrap-style:square;mso-wrap-distance-left:9pt;mso-wrap-distance-top:0;mso-wrap-distance-right:9pt;mso-wrap-distance-bottom:0;mso-position-horizontal:absolute;mso-position-horizontal-relative:text;mso-position-vertical:top;mso-position-vertical-relative:text">
                  <v:imagedata r:id="rId7" o:title=""/>
                  <w10:wrap type="square"/>
                </v:shape>
              </w:pict>
            </w:r>
            <w:r w:rsidR="00EF1E3C">
              <w:rPr>
                <w:sz w:val="28"/>
                <w:szCs w:val="28"/>
              </w:rPr>
              <w:br w:type="textWrapping" w:clear="all"/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 xml:space="preserve">Put bubble pouch into vessel </w:t>
            </w:r>
            <w:r>
              <w:rPr>
                <w:sz w:val="28"/>
                <w:szCs w:val="28"/>
              </w:rPr>
              <w:t xml:space="preserve">with specimens upright </w:t>
            </w:r>
            <w:r w:rsidRPr="005C2DE0">
              <w:rPr>
                <w:sz w:val="28"/>
                <w:szCs w:val="28"/>
              </w:rPr>
              <w:t>and twist lid closed.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Wrap M</w:t>
            </w:r>
            <w:r>
              <w:rPr>
                <w:sz w:val="28"/>
                <w:szCs w:val="28"/>
              </w:rPr>
              <w:t>DH form(s)</w:t>
            </w:r>
            <w:r w:rsidRPr="005C2DE0">
              <w:rPr>
                <w:sz w:val="28"/>
                <w:szCs w:val="28"/>
              </w:rPr>
              <w:t xml:space="preserve"> around vessel.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Place vessel and form</w:t>
            </w:r>
            <w:r>
              <w:rPr>
                <w:sz w:val="28"/>
                <w:szCs w:val="28"/>
              </w:rPr>
              <w:t>(s)</w:t>
            </w:r>
            <w:r w:rsidRPr="005C2DE0">
              <w:rPr>
                <w:sz w:val="28"/>
                <w:szCs w:val="28"/>
              </w:rPr>
              <w:t xml:space="preserve"> into outer box and close flaps in correct order.</w:t>
            </w:r>
          </w:p>
          <w:p w:rsidR="00EF1E3C" w:rsidRPr="005C2DE0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Secure with tape.</w:t>
            </w:r>
          </w:p>
          <w:p w:rsidR="00EF1E3C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C2DE0">
              <w:rPr>
                <w:sz w:val="28"/>
                <w:szCs w:val="28"/>
              </w:rPr>
              <w:t>Confirm addresses on outer box are correct.</w:t>
            </w:r>
          </w:p>
          <w:p w:rsidR="00EF1E3C" w:rsidRDefault="00EF1E3C" w:rsidP="00EF1E3C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Fold Shipper’s Declaration Form printed side out and attach to top of box.</w:t>
            </w:r>
          </w:p>
          <w:p w:rsidR="00563051" w:rsidRDefault="0056305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563051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left w:val="nil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676673" w:rsidRDefault="00676673" w:rsidP="00676673">
            <w:pPr>
              <w:numPr>
                <w:ilvl w:val="0"/>
                <w:numId w:val="9"/>
              </w:numPr>
              <w:jc w:val="left"/>
              <w:rPr>
                <w:bCs/>
              </w:rPr>
            </w:pPr>
            <w:r>
              <w:rPr>
                <w:bCs/>
              </w:rPr>
              <w:t>Transporting Dangerous Goods Training document.  Mayo Medical Laboratories.  Sept 2014</w:t>
            </w:r>
          </w:p>
          <w:p w:rsidR="00676673" w:rsidRDefault="00676673" w:rsidP="00676673">
            <w:pPr>
              <w:numPr>
                <w:ilvl w:val="0"/>
                <w:numId w:val="9"/>
              </w:numPr>
              <w:jc w:val="left"/>
              <w:rPr>
                <w:bCs/>
              </w:rPr>
            </w:pPr>
            <w:r>
              <w:rPr>
                <w:bCs/>
              </w:rPr>
              <w:t>MDH Healthcare System Preparedness Program (HSPP) March 30,2012</w:t>
            </w:r>
          </w:p>
          <w:p w:rsidR="00676673" w:rsidRDefault="00676673" w:rsidP="00676673">
            <w:pPr>
              <w:numPr>
                <w:ilvl w:val="0"/>
                <w:numId w:val="9"/>
              </w:numPr>
              <w:jc w:val="left"/>
              <w:rPr>
                <w:bCs/>
              </w:rPr>
            </w:pPr>
            <w:r>
              <w:rPr>
                <w:bCs/>
              </w:rPr>
              <w:t>MDH Public Health Emergency Preparedness (PHEP) March 30, 2012</w:t>
            </w:r>
          </w:p>
          <w:p w:rsidR="00563051" w:rsidRDefault="00676673" w:rsidP="00676673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>
              <w:t>Nathan Kendrick, MS, M (ASCP).  State Laboratory Training Coordinator.  MDH. Public Health Laboratory Division.  Emergency Preparedness &amp; Response Unit.</w:t>
            </w:r>
          </w:p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Appendices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D94FA1" w:rsidRPr="008D76A7" w:rsidRDefault="00D94FA1" w:rsidP="00D94FA1">
            <w:pPr>
              <w:pStyle w:val="Custom2"/>
              <w:rPr>
                <w:szCs w:val="20"/>
                <w:u w:val="single"/>
              </w:rPr>
            </w:pPr>
            <w:r w:rsidRPr="008D76A7">
              <w:rPr>
                <w:b w:val="0"/>
                <w:bCs w:val="0"/>
                <w:szCs w:val="20"/>
              </w:rPr>
              <w:t>Ebola Standard Operating Procedure (SOP): Laboratory - Specimen transport to MDH</w:t>
            </w:r>
          </w:p>
          <w:p w:rsidR="00563051" w:rsidRDefault="00D94FA1" w:rsidP="00D94FA1">
            <w:pPr>
              <w:jc w:val="left"/>
            </w:pPr>
            <w:hyperlink r:id="rId8" w:history="1">
              <w:r w:rsidRPr="008A3AA7">
                <w:rPr>
                  <w:rStyle w:val="Hyperlink"/>
                </w:rPr>
                <w:t>http://khan.childrensmn.org/Web/Switchboards/209269.pdf</w:t>
              </w:r>
            </w:hyperlink>
          </w:p>
          <w:p w:rsidR="00D94FA1" w:rsidRDefault="00D94FA1" w:rsidP="00D94FA1">
            <w:pPr>
              <w:jc w:val="left"/>
            </w:pPr>
          </w:p>
          <w:p w:rsidR="00D94FA1" w:rsidRDefault="00D94FA1" w:rsidP="00D94FA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B605E3" w:rsidP="00F64548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Employee must read procedure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64548" w:rsidP="00F64548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B605E3" w:rsidRDefault="00B605E3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B605E3" w:rsidRDefault="00B605E3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B605E3" w:rsidRDefault="00B605E3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B605E3" w:rsidRDefault="00B605E3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B605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Jamie Berg, Susan </w:t>
            </w:r>
            <w:proofErr w:type="spellStart"/>
            <w:r>
              <w:rPr>
                <w:rFonts w:ascii="Arial" w:hAnsi="Arial"/>
                <w:sz w:val="20"/>
              </w:rPr>
              <w:t>DeMeyere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B605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10/11/2017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563051" w:rsidRDefault="0056305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563051" w:rsidSect="00563051">
      <w:headerReference w:type="default" r:id="rId9"/>
      <w:footerReference w:type="defaul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A1" w:rsidRDefault="00D94FA1">
      <w:r>
        <w:separator/>
      </w:r>
    </w:p>
  </w:endnote>
  <w:endnote w:type="continuationSeparator" w:id="0">
    <w:p w:rsidR="00D94FA1" w:rsidRDefault="00D9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A1" w:rsidRDefault="00D94FA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D94FA1" w:rsidRDefault="00D94FA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7D2EEC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G:\LAB\Micro Viro Procedure Reformatting 2010\Online ProcedureTemplate_MICRO version2.doc</w:t>
    </w:r>
    <w:r>
      <w:rPr>
        <w:rFonts w:ascii="Arial" w:hAnsi="Arial"/>
        <w:sz w:val="16"/>
      </w:rPr>
      <w:fldChar w:fldCharType="end"/>
    </w:r>
  </w:p>
  <w:p w:rsidR="00D94FA1" w:rsidRDefault="00D94FA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7D2EEC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7D2EEC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A1" w:rsidRDefault="00D94FA1">
      <w:r>
        <w:separator/>
      </w:r>
    </w:p>
  </w:footnote>
  <w:footnote w:type="continuationSeparator" w:id="0">
    <w:p w:rsidR="00D94FA1" w:rsidRDefault="00D9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A1" w:rsidRDefault="00D94FA1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 w:rsidRPr="00545C8C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8752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>MCVI 5.52 Packaging Category A Specimens</w:t>
    </w:r>
  </w:p>
  <w:p w:rsidR="00D94FA1" w:rsidRDefault="00D94FA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D94FA1" w:rsidRDefault="00D94FA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10/11/2017</w:t>
    </w:r>
  </w:p>
  <w:p w:rsidR="00D94FA1" w:rsidRDefault="00D94FA1" w:rsidP="00B605E3">
    <w:pPr>
      <w:ind w:right="-1260"/>
      <w:rPr>
        <w:b/>
        <w:sz w:val="18"/>
      </w:rPr>
    </w:pPr>
  </w:p>
  <w:p w:rsidR="00D94FA1" w:rsidRDefault="00D94FA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364214"/>
    <w:multiLevelType w:val="hybridMultilevel"/>
    <w:tmpl w:val="5CF6A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0BB"/>
    <w:multiLevelType w:val="hybridMultilevel"/>
    <w:tmpl w:val="4960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21DD"/>
    <w:multiLevelType w:val="hybridMultilevel"/>
    <w:tmpl w:val="57F4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>
    <w:nsid w:val="5AB63CAB"/>
    <w:multiLevelType w:val="hybridMultilevel"/>
    <w:tmpl w:val="43A2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37AED"/>
    <w:multiLevelType w:val="hybridMultilevel"/>
    <w:tmpl w:val="D13A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FD0"/>
    <w:multiLevelType w:val="hybridMultilevel"/>
    <w:tmpl w:val="6C463704"/>
    <w:lvl w:ilvl="0" w:tplc="15E69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F43E7F"/>
    <w:multiLevelType w:val="hybridMultilevel"/>
    <w:tmpl w:val="E118E0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8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E3481"/>
    <w:rsid w:val="00545C8C"/>
    <w:rsid w:val="00563051"/>
    <w:rsid w:val="00652552"/>
    <w:rsid w:val="00676673"/>
    <w:rsid w:val="00782E48"/>
    <w:rsid w:val="007D2EEC"/>
    <w:rsid w:val="00827FEA"/>
    <w:rsid w:val="00A17188"/>
    <w:rsid w:val="00B605E3"/>
    <w:rsid w:val="00D15DDA"/>
    <w:rsid w:val="00D94FA1"/>
    <w:rsid w:val="00EC3668"/>
    <w:rsid w:val="00EF1E3C"/>
    <w:rsid w:val="00F10DD5"/>
    <w:rsid w:val="00F64548"/>
    <w:rsid w:val="00FB584B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6305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6305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6305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6305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6305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6305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6305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6305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6305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63051"/>
    <w:rPr>
      <w:bCs/>
      <w:iCs/>
      <w:color w:val="000000"/>
    </w:rPr>
  </w:style>
  <w:style w:type="paragraph" w:styleId="Header">
    <w:name w:val="header"/>
    <w:basedOn w:val="Normal"/>
    <w:semiHidden/>
    <w:rsid w:val="0056305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63051"/>
    <w:pPr>
      <w:ind w:left="360" w:hanging="360"/>
    </w:pPr>
  </w:style>
  <w:style w:type="paragraph" w:styleId="Title">
    <w:name w:val="Title"/>
    <w:basedOn w:val="Normal"/>
    <w:qFormat/>
    <w:rsid w:val="0056305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6305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6305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6305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63051"/>
    <w:pPr>
      <w:numPr>
        <w:numId w:val="0"/>
      </w:numPr>
    </w:pPr>
  </w:style>
  <w:style w:type="paragraph" w:customStyle="1" w:styleId="TableText">
    <w:name w:val="Table Text"/>
    <w:basedOn w:val="Normal"/>
    <w:rsid w:val="0056305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6305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63051"/>
    <w:rPr>
      <w:b/>
      <w:color w:val="0000FF"/>
    </w:rPr>
  </w:style>
  <w:style w:type="paragraph" w:styleId="BodyTextIndent">
    <w:name w:val="Body Text Indent"/>
    <w:basedOn w:val="Normal"/>
    <w:semiHidden/>
    <w:rsid w:val="0056305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56305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56305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56305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56305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uiPriority w:val="99"/>
    <w:rsid w:val="0056305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63051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EF1E3C"/>
    <w:pPr>
      <w:jc w:val="left"/>
    </w:pPr>
    <w:rPr>
      <w:rFonts w:asciiTheme="minorHAnsi" w:eastAsiaTheme="minorHAnsi" w:hAnsiTheme="minorHAnsi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Web/Switchboards/20926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7</cp:revision>
  <cp:lastPrinted>2009-06-27T01:51:00Z</cp:lastPrinted>
  <dcterms:created xsi:type="dcterms:W3CDTF">2017-09-29T17:43:00Z</dcterms:created>
  <dcterms:modified xsi:type="dcterms:W3CDTF">2017-09-29T18:07:00Z</dcterms:modified>
</cp:coreProperties>
</file>